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23F" w:rsidRDefault="00F8023F" w:rsidP="00F8023F">
      <w:pPr>
        <w:jc w:val="center"/>
      </w:pPr>
      <w:r>
        <w:rPr>
          <w:noProof/>
        </w:rPr>
        <w:drawing>
          <wp:inline distT="0" distB="0" distL="0" distR="0">
            <wp:extent cx="1371600" cy="1133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rsidR="00A6058B" w:rsidRPr="004B303B" w:rsidRDefault="00A6058B" w:rsidP="00A6058B">
      <w:pPr>
        <w:jc w:val="center"/>
        <w:rPr>
          <w:spacing w:val="-5"/>
          <w:sz w:val="36"/>
          <w:szCs w:val="36"/>
        </w:rPr>
      </w:pPr>
      <w:r w:rsidRPr="004B303B">
        <w:rPr>
          <w:spacing w:val="-5"/>
          <w:sz w:val="36"/>
          <w:szCs w:val="36"/>
        </w:rPr>
        <w:t xml:space="preserve">Specialist Medical </w:t>
      </w:r>
      <w:r w:rsidRPr="004B303B">
        <w:rPr>
          <w:spacing w:val="-15"/>
          <w:sz w:val="36"/>
          <w:szCs w:val="36"/>
        </w:rPr>
        <w:t>Re</w:t>
      </w:r>
      <w:r w:rsidRPr="004B303B">
        <w:rPr>
          <w:spacing w:val="-5"/>
          <w:sz w:val="36"/>
          <w:szCs w:val="36"/>
        </w:rPr>
        <w:t>view Council</w:t>
      </w:r>
    </w:p>
    <w:p w:rsidR="00A6058B" w:rsidRPr="004B303B" w:rsidRDefault="00A6058B" w:rsidP="00A6058B">
      <w:pPr>
        <w:pStyle w:val="Heading7"/>
        <w:jc w:val="center"/>
        <w:rPr>
          <w:rFonts w:asciiTheme="minorHAnsi" w:hAnsiTheme="minorHAnsi"/>
          <w:sz w:val="28"/>
          <w:szCs w:val="28"/>
        </w:rPr>
      </w:pPr>
      <w:r>
        <w:rPr>
          <w:sz w:val="28"/>
          <w:szCs w:val="28"/>
        </w:rPr>
        <w:t>REASONS</w:t>
      </w:r>
    </w:p>
    <w:p w:rsidR="00A6058B" w:rsidRPr="004B303B" w:rsidRDefault="00A6058B" w:rsidP="00A6058B">
      <w:pPr>
        <w:pStyle w:val="BodyText"/>
        <w:jc w:val="center"/>
        <w:rPr>
          <w:rFonts w:asciiTheme="minorHAnsi" w:hAnsiTheme="minorHAnsi"/>
          <w:i/>
          <w:szCs w:val="24"/>
        </w:rPr>
      </w:pPr>
      <w:r w:rsidRPr="004B303B">
        <w:rPr>
          <w:rFonts w:asciiTheme="minorHAnsi" w:hAnsiTheme="minorHAnsi"/>
          <w:i/>
          <w:szCs w:val="24"/>
        </w:rPr>
        <w:t>Section 196W</w:t>
      </w:r>
      <w:r w:rsidRPr="004B303B">
        <w:rPr>
          <w:rFonts w:asciiTheme="minorHAnsi" w:hAnsiTheme="minorHAnsi"/>
          <w:i/>
          <w:szCs w:val="24"/>
        </w:rPr>
        <w:br/>
        <w:t>Veterans’ Entitlements Act 1986</w:t>
      </w:r>
    </w:p>
    <w:p w:rsidR="00A6058B" w:rsidRPr="004B303B" w:rsidRDefault="00A6058B" w:rsidP="00A6058B">
      <w:pPr>
        <w:ind w:right="1701"/>
        <w:jc w:val="center"/>
      </w:pPr>
    </w:p>
    <w:p w:rsidR="00A6058B" w:rsidRDefault="00A6058B" w:rsidP="00A6058B">
      <w:pPr>
        <w:ind w:left="2160" w:right="1701"/>
        <w:jc w:val="center"/>
        <w:rPr>
          <w:b/>
          <w:sz w:val="24"/>
        </w:rPr>
      </w:pPr>
      <w:r w:rsidRPr="00A66BD9">
        <w:rPr>
          <w:b/>
          <w:sz w:val="24"/>
        </w:rPr>
        <w:t xml:space="preserve">Re: Statements of Principles </w:t>
      </w:r>
      <w:r w:rsidRPr="00395532">
        <w:rPr>
          <w:b/>
          <w:sz w:val="24"/>
        </w:rPr>
        <w:t>No</w:t>
      </w:r>
      <w:r>
        <w:rPr>
          <w:b/>
          <w:sz w:val="24"/>
        </w:rPr>
        <w:t>s</w:t>
      </w:r>
      <w:r w:rsidRPr="00395532">
        <w:rPr>
          <w:b/>
          <w:sz w:val="24"/>
        </w:rPr>
        <w:t>.</w:t>
      </w:r>
      <w:r>
        <w:rPr>
          <w:b/>
          <w:sz w:val="24"/>
        </w:rPr>
        <w:t xml:space="preserve"> 67 &amp;</w:t>
      </w:r>
      <w:r w:rsidRPr="00395532">
        <w:rPr>
          <w:b/>
          <w:sz w:val="24"/>
        </w:rPr>
        <w:t xml:space="preserve"> </w:t>
      </w:r>
      <w:r>
        <w:rPr>
          <w:b/>
          <w:sz w:val="24"/>
        </w:rPr>
        <w:t>68 of 2013</w:t>
      </w:r>
      <w:r w:rsidRPr="00395532">
        <w:rPr>
          <w:b/>
          <w:sz w:val="24"/>
        </w:rPr>
        <w:t xml:space="preserve"> </w:t>
      </w:r>
    </w:p>
    <w:p w:rsidR="00A6058B" w:rsidRPr="00570D36" w:rsidRDefault="00A6058B" w:rsidP="00A6058B">
      <w:pPr>
        <w:ind w:left="2160" w:right="1701"/>
        <w:jc w:val="center"/>
        <w:rPr>
          <w:b/>
          <w:sz w:val="24"/>
        </w:rPr>
      </w:pPr>
      <w:r w:rsidRPr="00A66BD9">
        <w:rPr>
          <w:b/>
          <w:sz w:val="24"/>
        </w:rPr>
        <w:t>in respect of motor neuron</w:t>
      </w:r>
      <w:r w:rsidR="00DA4ED2">
        <w:rPr>
          <w:b/>
          <w:sz w:val="24"/>
        </w:rPr>
        <w:t>e</w:t>
      </w:r>
      <w:r w:rsidRPr="00A66BD9">
        <w:rPr>
          <w:b/>
          <w:sz w:val="24"/>
        </w:rPr>
        <w:t xml:space="preserve"> disease</w:t>
      </w:r>
    </w:p>
    <w:p w:rsidR="00A6058B" w:rsidRPr="00765472" w:rsidRDefault="00A6058B" w:rsidP="00A6058B">
      <w:pPr>
        <w:ind w:left="1701" w:right="1701"/>
        <w:jc w:val="center"/>
        <w:rPr>
          <w:sz w:val="24"/>
        </w:rPr>
      </w:pPr>
      <w:r w:rsidRPr="00765472">
        <w:rPr>
          <w:sz w:val="24"/>
        </w:rPr>
        <w:t>Request for Review Declaration No. 31</w:t>
      </w:r>
    </w:p>
    <w:p w:rsidR="00F8023F" w:rsidRPr="00F8023F" w:rsidRDefault="00F8023F" w:rsidP="00F8023F">
      <w:pPr>
        <w:jc w:val="center"/>
        <w:rPr>
          <w:b/>
          <w:sz w:val="24"/>
        </w:rPr>
      </w:pPr>
      <w:r w:rsidRPr="00F8023F">
        <w:rPr>
          <w:b/>
          <w:sz w:val="24"/>
        </w:rPr>
        <w:t>APPENDICES</w:t>
      </w:r>
    </w:p>
    <w:p w:rsidR="00F8023F" w:rsidRPr="00F93CEA" w:rsidRDefault="00F8023F" w:rsidP="00F8023F">
      <w:pPr>
        <w:jc w:val="center"/>
        <w:rPr>
          <w:b/>
          <w:sz w:val="24"/>
        </w:rPr>
      </w:pPr>
    </w:p>
    <w:p w:rsidR="00F8023F" w:rsidRPr="00F93CEA" w:rsidRDefault="00F8023F" w:rsidP="00F8023F">
      <w:pPr>
        <w:rPr>
          <w:rFonts w:cs="Times New Roman"/>
          <w:sz w:val="24"/>
        </w:rPr>
      </w:pPr>
      <w:r w:rsidRPr="00F93CEA">
        <w:rPr>
          <w:b/>
          <w:sz w:val="24"/>
        </w:rPr>
        <w:t>APPENDIX A</w:t>
      </w:r>
      <w:r w:rsidRPr="00F93CEA">
        <w:rPr>
          <w:sz w:val="24"/>
        </w:rPr>
        <w:t>:  THE CONSTITUTED COUNCIL AND LEGISLATIVE FRAMEWORK OF THE REVIEW</w:t>
      </w:r>
    </w:p>
    <w:p w:rsidR="00F8023F" w:rsidRPr="00F93CEA" w:rsidRDefault="00F8023F" w:rsidP="00F8023F">
      <w:pPr>
        <w:rPr>
          <w:sz w:val="24"/>
        </w:rPr>
      </w:pPr>
      <w:bookmarkStart w:id="0" w:name="_GoBack"/>
      <w:bookmarkEnd w:id="0"/>
    </w:p>
    <w:p w:rsidR="00F8023F" w:rsidRPr="00F93CEA" w:rsidRDefault="00F8023F" w:rsidP="00F8023F">
      <w:pPr>
        <w:rPr>
          <w:sz w:val="24"/>
        </w:rPr>
      </w:pPr>
      <w:r w:rsidRPr="00F93CEA">
        <w:rPr>
          <w:b/>
          <w:sz w:val="24"/>
        </w:rPr>
        <w:t>APPENDIX B</w:t>
      </w:r>
      <w:r w:rsidRPr="00F93CEA">
        <w:rPr>
          <w:sz w:val="24"/>
        </w:rPr>
        <w:t xml:space="preserve">:  </w:t>
      </w:r>
    </w:p>
    <w:p w:rsidR="003936A1" w:rsidRPr="00F93CEA" w:rsidRDefault="00F8023F" w:rsidP="001B55AF">
      <w:pPr>
        <w:pStyle w:val="ListParagraph"/>
        <w:numPr>
          <w:ilvl w:val="0"/>
          <w:numId w:val="1"/>
        </w:numPr>
        <w:rPr>
          <w:sz w:val="24"/>
          <w:szCs w:val="24"/>
        </w:rPr>
      </w:pPr>
      <w:r w:rsidRPr="00F93CEA">
        <w:rPr>
          <w:sz w:val="24"/>
          <w:szCs w:val="24"/>
        </w:rPr>
        <w:t xml:space="preserve">APPENDIX  B1: MATERIAL BEFORE THE RMA </w:t>
      </w:r>
    </w:p>
    <w:p w:rsidR="00F8023F" w:rsidRPr="00F93CEA" w:rsidRDefault="00F8023F" w:rsidP="001B55AF">
      <w:pPr>
        <w:pStyle w:val="ListParagraph"/>
        <w:numPr>
          <w:ilvl w:val="0"/>
          <w:numId w:val="1"/>
        </w:numPr>
        <w:rPr>
          <w:sz w:val="24"/>
          <w:szCs w:val="24"/>
        </w:rPr>
      </w:pPr>
      <w:r w:rsidRPr="00F93CEA">
        <w:rPr>
          <w:sz w:val="24"/>
          <w:szCs w:val="24"/>
        </w:rPr>
        <w:t>APPENDIX  B2: NEW MATERIAL WHICH WAS NOT BEFORE THE RMA</w:t>
      </w:r>
    </w:p>
    <w:p w:rsidR="003936A1" w:rsidRPr="00F93CEA" w:rsidRDefault="003936A1">
      <w:pPr>
        <w:spacing w:after="160" w:line="259" w:lineRule="auto"/>
        <w:rPr>
          <w:rFonts w:eastAsiaTheme="minorHAnsi" w:cs="Times New Roman"/>
          <w:sz w:val="24"/>
          <w:lang w:eastAsia="en-US"/>
        </w:rPr>
      </w:pPr>
      <w:r w:rsidRPr="00F93CEA">
        <w:rPr>
          <w:sz w:val="24"/>
        </w:rPr>
        <w:br w:type="page"/>
      </w:r>
    </w:p>
    <w:p w:rsidR="003936A1" w:rsidRPr="00E34051" w:rsidRDefault="003936A1" w:rsidP="003936A1">
      <w:pPr>
        <w:pStyle w:val="Heading7"/>
        <w:rPr>
          <w:sz w:val="24"/>
          <w:szCs w:val="24"/>
        </w:rPr>
      </w:pPr>
      <w:bookmarkStart w:id="1" w:name="_Toc495411577"/>
      <w:r w:rsidRPr="00E34051">
        <w:rPr>
          <w:sz w:val="24"/>
          <w:szCs w:val="24"/>
        </w:rPr>
        <w:lastRenderedPageBreak/>
        <w:t>APPENDIX A:  THE CONSTITUTED COUNCIL AND LEGISLATIVE FRAMEWORK OF THE REVIEW</w:t>
      </w:r>
      <w:bookmarkEnd w:id="1"/>
    </w:p>
    <w:p w:rsidR="003936A1" w:rsidRDefault="003936A1" w:rsidP="003936A1">
      <w:pPr>
        <w:pStyle w:val="Heading8"/>
      </w:pPr>
      <w:bookmarkStart w:id="2" w:name="_Toc495411578"/>
    </w:p>
    <w:p w:rsidR="00A6058B" w:rsidRPr="00395532" w:rsidRDefault="00A6058B" w:rsidP="00A6058B">
      <w:pPr>
        <w:pStyle w:val="Heading7"/>
      </w:pPr>
      <w:bookmarkStart w:id="3" w:name="_Toc515358702"/>
      <w:bookmarkEnd w:id="2"/>
      <w:r w:rsidRPr="00395532">
        <w:t>The Specialist Medical Review Council</w:t>
      </w:r>
      <w:bookmarkEnd w:id="3"/>
    </w:p>
    <w:p w:rsidR="00A6058B" w:rsidRPr="00F532D4" w:rsidRDefault="00A6058B" w:rsidP="00A6058B">
      <w:pPr>
        <w:pStyle w:val="NormalNumbered"/>
        <w:numPr>
          <w:ilvl w:val="0"/>
          <w:numId w:val="18"/>
        </w:numPr>
        <w:ind w:left="1070"/>
      </w:pPr>
      <w:r w:rsidRPr="00395532">
        <w:t xml:space="preserve">The composition of each Review Council changes from review to review depending on </w:t>
      </w:r>
      <w:r w:rsidRPr="00F532D4">
        <w:t xml:space="preserve">the issues relevant to the particular Statement/s of Principles under review. When a review is undertaken three to five Councillors selected by the Convener constitute the Council. </w:t>
      </w:r>
    </w:p>
    <w:p w:rsidR="00A6058B" w:rsidRPr="00F532D4" w:rsidRDefault="00A6058B" w:rsidP="00A6058B">
      <w:pPr>
        <w:pStyle w:val="NormalNumbered"/>
        <w:ind w:left="927"/>
      </w:pPr>
      <w:r w:rsidRPr="00F532D4">
        <w:t>The Minister must appoint one of the Councillors to be the Convener. If the Council does not include the Convener, the Convener must appoint one of the Councillors selected for the review to preside at all meetings as Presiding Councillor.</w:t>
      </w:r>
    </w:p>
    <w:p w:rsidR="00A6058B" w:rsidRPr="00F532D4" w:rsidRDefault="00A6058B" w:rsidP="00A6058B">
      <w:pPr>
        <w:pStyle w:val="NormalNumbered"/>
        <w:ind w:left="927"/>
        <w:rPr>
          <w:b/>
        </w:rPr>
      </w:pPr>
      <w:r w:rsidRPr="00F532D4">
        <w:rPr>
          <w:b/>
        </w:rPr>
        <w:t xml:space="preserve">Professor Lin Fritschi </w:t>
      </w:r>
      <w:r w:rsidRPr="00F532D4">
        <w:t>was the Presiding Councillor for this review. She is a John Curtin Distinguished Professor at Curtin University. Her research interests include cancer epidemiology, occupational causes of cancer, and exposure assessment in epidemiological studies.</w:t>
      </w:r>
      <w:r w:rsidRPr="00F532D4">
        <w:rPr>
          <w:b/>
        </w:rPr>
        <w:t xml:space="preserve"> </w:t>
      </w:r>
    </w:p>
    <w:p w:rsidR="00A6058B" w:rsidRPr="00F532D4" w:rsidRDefault="00A6058B" w:rsidP="00A6058B">
      <w:pPr>
        <w:pStyle w:val="NormalNumbered"/>
        <w:ind w:left="927"/>
      </w:pPr>
      <w:r w:rsidRPr="00F532D4">
        <w:t>The other members of the Council were:</w:t>
      </w:r>
      <w:bookmarkStart w:id="4" w:name="_Toc373244641"/>
    </w:p>
    <w:p w:rsidR="00A6058B" w:rsidRPr="00F532D4" w:rsidRDefault="00A6058B" w:rsidP="00BD5390">
      <w:pPr>
        <w:pStyle w:val="NormalBullet"/>
        <w:numPr>
          <w:ilvl w:val="0"/>
          <w:numId w:val="21"/>
        </w:numPr>
      </w:pPr>
      <w:r w:rsidRPr="00F532D4">
        <w:t xml:space="preserve">Dr Glenn McCulloch, former head of neurosurgery at The Queen Elizabeth Hospital in Adelaide, South Australia, and former president of the Neurosurgical Society of Australasia. He is currently the clinical director of the South </w:t>
      </w:r>
      <w:r>
        <w:t>Australian audit of peri</w:t>
      </w:r>
      <w:r w:rsidRPr="00F532D4">
        <w:t>operative mortality.</w:t>
      </w:r>
    </w:p>
    <w:p w:rsidR="00A6058B" w:rsidRPr="00F532D4" w:rsidRDefault="00A6058B" w:rsidP="00BD5390">
      <w:pPr>
        <w:pStyle w:val="NormalBullet"/>
        <w:numPr>
          <w:ilvl w:val="0"/>
          <w:numId w:val="21"/>
        </w:numPr>
      </w:pPr>
      <w:r w:rsidRPr="00F532D4">
        <w:t>Associate Professor John Worthington</w:t>
      </w:r>
      <w:r>
        <w:t xml:space="preserve">, </w:t>
      </w:r>
      <w:r w:rsidRPr="00F532D4">
        <w:t xml:space="preserve">a Conjoint Associate Professor of </w:t>
      </w:r>
      <w:r>
        <w:t>t</w:t>
      </w:r>
      <w:r w:rsidRPr="00F532D4">
        <w:t xml:space="preserve">he University of New South Wales (UNSW) Australia and a Senior Staff Specialist Neurologist at Royal Prince Alfred Hospital, Sydney. John’s research interests include Stroke and TIA, their prevention, management and outcomes as well as the epidemiology of neurological diseases. He is a co-author of the first Australian epidemiological studies of symptomatic </w:t>
      </w:r>
      <w:r>
        <w:t>myasthenia gravis and J</w:t>
      </w:r>
      <w:r w:rsidRPr="00F532D4">
        <w:t>akob-</w:t>
      </w:r>
      <w:r>
        <w:t>C</w:t>
      </w:r>
      <w:r w:rsidRPr="00F532D4">
        <w:t>reutzfeldt disease.</w:t>
      </w:r>
    </w:p>
    <w:p w:rsidR="00A6058B" w:rsidRPr="007A10AF" w:rsidRDefault="00A6058B" w:rsidP="00A6058B">
      <w:pPr>
        <w:pStyle w:val="Heading7"/>
        <w:rPr>
          <w:color w:val="0070C0"/>
        </w:rPr>
      </w:pPr>
      <w:bookmarkStart w:id="5" w:name="_Toc515358703"/>
      <w:r w:rsidRPr="007A10AF">
        <w:t>The Legislation</w:t>
      </w:r>
      <w:bookmarkEnd w:id="4"/>
      <w:bookmarkEnd w:id="5"/>
    </w:p>
    <w:p w:rsidR="00A6058B" w:rsidRPr="00395532" w:rsidRDefault="00A6058B" w:rsidP="00A6058B">
      <w:pPr>
        <w:pStyle w:val="NormalNumbered"/>
        <w:ind w:left="927"/>
      </w:pPr>
      <w:r w:rsidRPr="00395532">
        <w:t xml:space="preserve">The legislative scheme for the making of Statements of Principles is set out in Parts XIA and XIB of the VEA. Statements of Principles operate as templates. They are determined by the RMA, and set out those criteria (conditions or exposures), known as factors, that must as a minimum exist before it can be said that an injury, disease or death can be </w:t>
      </w:r>
      <w:r w:rsidRPr="00395532">
        <w:lastRenderedPageBreak/>
        <w:t>connected with service, on either or both of the two statutory tests, the reasonable hypothesis test</w:t>
      </w:r>
      <w:r w:rsidRPr="00395532">
        <w:rPr>
          <w:rStyle w:val="FootnoteReference"/>
          <w:sz w:val="24"/>
        </w:rPr>
        <w:footnoteReference w:id="1"/>
      </w:r>
      <w:r w:rsidRPr="00395532">
        <w:t xml:space="preserve"> and the balance of probabilities test.</w:t>
      </w:r>
      <w:r w:rsidRPr="00395532">
        <w:rPr>
          <w:rStyle w:val="FootnoteReference"/>
          <w:sz w:val="24"/>
        </w:rPr>
        <w:footnoteReference w:id="2"/>
      </w:r>
      <w:r w:rsidRPr="00395532">
        <w:t xml:space="preserve">  Statements of Principles are ultimately applied by decision-makers in determining individual claims for benefits under the VEA and the </w:t>
      </w:r>
      <w:r w:rsidRPr="00395532">
        <w:rPr>
          <w:i/>
        </w:rPr>
        <w:t>Military Rehabilitation and Compensation Act 2004</w:t>
      </w:r>
      <w:r w:rsidRPr="00395532">
        <w:t xml:space="preserve"> (the MRC</w:t>
      </w:r>
      <w:r>
        <w:t>A).</w:t>
      </w:r>
      <w:r w:rsidRPr="00395532">
        <w:rPr>
          <w:vertAlign w:val="superscript"/>
        </w:rPr>
        <w:footnoteReference w:id="3"/>
      </w:r>
    </w:p>
    <w:p w:rsidR="00A6058B" w:rsidRPr="00395532" w:rsidRDefault="00A6058B" w:rsidP="00A6058B">
      <w:pPr>
        <w:pStyle w:val="NumberLevel1"/>
        <w:rPr>
          <w:rFonts w:ascii="Calibri" w:hAnsi="Calibri"/>
          <w:sz w:val="24"/>
          <w:szCs w:val="24"/>
        </w:rPr>
      </w:pPr>
    </w:p>
    <w:p w:rsidR="00A6058B" w:rsidRPr="00395532" w:rsidRDefault="00A6058B" w:rsidP="00A6058B">
      <w:pPr>
        <w:jc w:val="both"/>
        <w:rPr>
          <w:sz w:val="24"/>
        </w:rPr>
      </w:pPr>
    </w:p>
    <w:p w:rsidR="00A6058B" w:rsidRPr="00395532" w:rsidRDefault="00A6058B" w:rsidP="00A6058B">
      <w:pPr>
        <w:rPr>
          <w:b/>
          <w:color w:val="0000FF"/>
          <w:sz w:val="24"/>
        </w:rPr>
      </w:pPr>
    </w:p>
    <w:p w:rsidR="00A6058B" w:rsidRDefault="00A6058B" w:rsidP="00A6058B">
      <w:pPr>
        <w:spacing w:line="240" w:lineRule="auto"/>
      </w:pPr>
      <w:r>
        <w:br w:type="page"/>
      </w:r>
    </w:p>
    <w:p w:rsidR="004F654F" w:rsidRPr="00F93CEA" w:rsidRDefault="004F654F" w:rsidP="004F654F">
      <w:pPr>
        <w:rPr>
          <w:sz w:val="24"/>
        </w:rPr>
      </w:pPr>
      <w:r w:rsidRPr="00F93CEA">
        <w:rPr>
          <w:b/>
          <w:sz w:val="24"/>
        </w:rPr>
        <w:lastRenderedPageBreak/>
        <w:t>APPENDIX B</w:t>
      </w:r>
      <w:r w:rsidRPr="00F93CEA">
        <w:rPr>
          <w:sz w:val="24"/>
        </w:rPr>
        <w:t xml:space="preserve">:  </w:t>
      </w:r>
    </w:p>
    <w:p w:rsidR="004F654F" w:rsidRPr="00037AE2" w:rsidRDefault="004F654F" w:rsidP="00037AE2">
      <w:pPr>
        <w:rPr>
          <w:sz w:val="24"/>
        </w:rPr>
      </w:pPr>
      <w:r w:rsidRPr="00037AE2">
        <w:rPr>
          <w:sz w:val="24"/>
        </w:rPr>
        <w:t xml:space="preserve">APPENDIX  B1: MATERIAL BEFORE THE RMA </w:t>
      </w:r>
    </w:p>
    <w:p w:rsidR="004C6217" w:rsidRDefault="004C6217" w:rsidP="004C6217">
      <w:pPr>
        <w:autoSpaceDE w:val="0"/>
        <w:autoSpaceDN w:val="0"/>
        <w:adjustRightInd w:val="0"/>
        <w:jc w:val="center"/>
        <w:rPr>
          <w:rFonts w:ascii="Arial" w:eastAsiaTheme="minorHAnsi" w:hAnsi="Arial"/>
          <w:b/>
          <w:bCs/>
          <w:sz w:val="28"/>
          <w:szCs w:val="28"/>
          <w:lang w:eastAsia="en-US"/>
        </w:rPr>
      </w:pPr>
      <w:r>
        <w:rPr>
          <w:rFonts w:ascii="Arial" w:eastAsiaTheme="minorHAnsi" w:hAnsi="Arial"/>
          <w:b/>
          <w:bCs/>
          <w:sz w:val="28"/>
          <w:szCs w:val="28"/>
          <w:lang w:eastAsia="en-US"/>
        </w:rPr>
        <w:t>MOTOR NEURONE DISEASE</w:t>
      </w:r>
    </w:p>
    <w:p w:rsidR="004C6217" w:rsidRDefault="004C6217" w:rsidP="004C6217">
      <w:pPr>
        <w:jc w:val="center"/>
      </w:pPr>
      <w:r>
        <w:rPr>
          <w:rFonts w:ascii="Arial" w:eastAsiaTheme="minorHAnsi" w:hAnsi="Arial"/>
          <w:szCs w:val="22"/>
          <w:lang w:eastAsia="en-US"/>
        </w:rPr>
        <w:t>Reference List for #RMA136-5 - Numerical order</w:t>
      </w:r>
    </w:p>
    <w:p w:rsidR="004C6217" w:rsidRDefault="004C6217" w:rsidP="004C621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8179"/>
      </w:tblGrid>
      <w:tr w:rsidR="004C6217" w:rsidRPr="004C6217" w:rsidTr="004C6217">
        <w:trPr>
          <w:cantSplit/>
        </w:trPr>
        <w:tc>
          <w:tcPr>
            <w:tcW w:w="464" w:type="pct"/>
            <w:shd w:val="clear" w:color="auto" w:fill="auto"/>
            <w:noWrap/>
            <w:vAlign w:val="center"/>
            <w:hideMark/>
          </w:tcPr>
          <w:p w:rsidR="004C6217" w:rsidRPr="004C6217" w:rsidRDefault="004C6217" w:rsidP="00941B98">
            <w:pPr>
              <w:rPr>
                <w:b/>
                <w:color w:val="000000"/>
                <w:szCs w:val="22"/>
              </w:rPr>
            </w:pPr>
            <w:r w:rsidRPr="004C6217">
              <w:rPr>
                <w:b/>
                <w:color w:val="000000"/>
                <w:szCs w:val="22"/>
              </w:rPr>
              <w:t>ID</w:t>
            </w:r>
          </w:p>
        </w:tc>
        <w:tc>
          <w:tcPr>
            <w:tcW w:w="4536" w:type="pct"/>
            <w:shd w:val="clear" w:color="auto" w:fill="auto"/>
            <w:vAlign w:val="bottom"/>
            <w:hideMark/>
          </w:tcPr>
          <w:p w:rsidR="004C6217" w:rsidRPr="004C6217" w:rsidRDefault="004C6217" w:rsidP="00941B98">
            <w:pPr>
              <w:rPr>
                <w:b/>
                <w:color w:val="000000"/>
                <w:szCs w:val="22"/>
              </w:rPr>
            </w:pPr>
            <w:r w:rsidRPr="004C6217">
              <w:rPr>
                <w:b/>
                <w:color w:val="000000"/>
                <w:szCs w:val="22"/>
              </w:rPr>
              <w:t>Reference</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5286</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Williams DB, Annegers JF, Kokmen E, O'Brien PC, Kurland LT (1991). Brain injury and neurologic sequelae: a cohort study of dementia, parkinsonism, and amyotrophic lateral sclerosis. Neurology, 41(10): 1554-7.</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5635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Gajdusek DC (1963). Motor-neuron disease in natives of New Guinea. NEJM, 268(9): 474-5.</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5636</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Gajdusek DC, Salazar AM (1982). Amyotrophic lateral sclerosis and parkinsonian syndromes in high incidence among the Auyu and Jakai people of West New Guinea. Neurology, 32: 107-26.</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5637</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Gajdusek DC (1979). A focus of high incidence amyotrophic lateral sclerosis and parkinsonism and dementia syndromes in a small population of Auyu and Jakai people of southern West New Guinea. [Tsubaki T, Toyokura T (Eds)]. Amyotrophic Lateral Sclerosis, : 287-305. University Park Press, (Japan Medical Research Foundation, Publ No 8).</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6726</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Brody JA, Edgar AH, Gillespie MM (1978). Amyotrophic lateral sclerosis: no increase among US construction workers in Guam. JAMA, 240(6): 551-2.</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6866</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Lieppman ME (1981). Accommodative and convergence insufficiency after decompression sickness. Arch Ophthalmol, 99: 453-6.</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7098</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Bharucha NE, Schoenberg BS, Raven RH, Pickle LW, et al (1983). Geographic Distribution of Motor Neuron Disease and Correlation with Possible Aetiologic Factors. Neurology, 33: 911-5.</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7099</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Bobowick AR Brody JA (1973). Epidemiology of Motor-Neuron Diseases. NEJM, 288(20): 1047-55.</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7100</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Currier RD, Haerer AF (1968). Amyotrophic Lateral Sclerosis and Metallic Toxins. Arch Environ Health, 17: 712-9.</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7101</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Davies K (1991). The Mystery of Motor Neurone Disease. New Scientist, 1782: l9-23.</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7102</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Deapen DM, Henderson BE (1986). A Case-Control Study of Amyotrophic Lateral Sclerosis. American Journal of Epidemiology, 123(5): 790-9.</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7103</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Gallagher JP, Sanders M (1987). Trauma and Amyotrophic Lateral Sclerosis. Acta Neurol Scand, l 75: 145-50.</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7104</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Gunnarsson L, Bodin L, Soderfeldt B, Axelson O (1992). A Case-Control Study of Motor Neurone Disease: Its Relation to Heritability, and Occupational Exposures, Particularly to Solvents. Br J Ind Med, 49: 791-8.</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7105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Hawkes CH, Cavanagh JB, Fox AJ (1989). Motoneuron Disease: A Disorder Secondary to Solvent Exposure? The Lancet, 14: 73-76.</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7106</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Iwami O, Moon C, Watanabe T, Ikeda M (1994). Association of Metal Concentrations in Drinking Water with the Incidence of Motor Neuron Disease in a Focus on the Kii Peninsula of Japan. Bull Environ Contam Toxicol, 52: 109-16.</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7107</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Kurtzke JF, Beebe GW (1980). Epidemiology of Amyotrophic Lateral Sclerosis: 1. A Case-Control Comparison Based on ALS Deaths. Neurology, 30: 453-62.</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7108</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Martyn CN (1989). Motoneuron Disease and Exposure to Solvents. The Lancet, 18: 394.</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lastRenderedPageBreak/>
              <w:t>7109</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Moriwaka F, Okumura H, Tashiro K, Hamada T,et al (1993). Motor Neuron Disease and Past Poliomyelitis. J Neurol, l 240: 13-6.</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7110</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Mulder DW, Kurland LT, Elveback LR (1983). Amyotrophic lateral sclerosis and pet exposure. NEJM, 309(22): 1388.</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7111</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Pamphlett RS (1991). Looking for Lead at Endplates in Motor Neurone Disease. Med J Aust, 154: 637.</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7112</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Roelofs-Iverson RA, Mulder DW, Elveback LR, Kurland LT, Molgaard CA (1984). ALS and Heavy Metals: A Pilot Case-Control Study. Neurology (Cleveland), 34: 393-5.</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7113</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Scarpa M, Colombo A, Panzetti P, Sorgato P (1988). Epidemiology of Amyotrophic Lateral Sclerosis in the Province of Modena, Italy. Influence of Environmental Exposure to Lead. Acta Neurol Scand, l 77: 456-60.</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7114</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Slenko DG, Davis JP, Taylor JA, Brooks BR (1990). Amyotrophic Lateral Sclerosis A Case-Control Study Following Detection of a Cluster in a Small Wisconsin Community. Arch Neurol, 47: 38-41.</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7115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Tylleskar T, Banea M, Bikangi N, Cooke RD, et al (1992). Cassava Cyanogens and Konzo, an Upper Motoneuron Disease Found in Africa. The Lancet, 339: 208-11.</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7116</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Thomas TL, Kang HK (1990). Mortality and morbidity among army chemical corps Vietnam veterans: A preliminary report. Am J Ind Med, 18: 665-73.</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7117</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Steventon GB, Waring RH, Williams AC (1990). Pesticide toxicity and motor neuron disease. Letters to the Editor. Journal of Neurology, Neurosurgery and Psychiatry, 53: 621-2.</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7118</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Pall HS, Williams AC, Waring R, Elias E (1987). Motorneurone disease as manifestation of pesticide toxicity. The Lancet, 19: 685.</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7119</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Neilson S, Gunnarsson LG, Robinson I (1994). Rising mortality from motor neurone disease in Sweden 1961-1990: the relative role of increased population life expectancy and environmental factors. Acta Neurol Scand, 90: 150-9.</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7120</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Martyn CN, Barker DJP (1988). Trends in mortality from motoneuron disease. The Lancet, 29: 958.</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7121</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Hawkes CH, Fox AJ (1981). Motor neurone disease in leather workers. The Lancet, 28: 507.</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7122</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Chancellor AM, Slattery JM, et al (1993). Risk factors for motor neuron disease: a case-control study based on patients from the Scottish Motor Neuron Disease Register. Journal of Neurology, Neurosurgery and Psychiatry, 56: 1200-6.</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7123</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Calne DB, McGeer E, et al (1986). Alzheimer's disease, Parkinson's disease and Motor Neurone Disease: Abiotrophic interaction between ageing and environment. The Lancet, 8: 1067-9.</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7124</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Provinciali L, Giovagnoli AR (1990). Antecedent events in Amyotrophic lateral sclerosis: Do they influence clinical onset and progression? Neuroepidemiology, 9: 255-62.</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7125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Kurtzke JF (1991). Risk factors in Amyotrophic Lateral Sclerosis. Advances. Neurology, 56: 245-70.</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7126</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Armon C, Daube JR, et al (1991). When is an apparent excess of neurologic cases epidemiologically significant? Neurology, 41: 1713-8.</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7127</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Granieri E, Carreras M et al (1988). Motor neuron disease in the province of Ferrara, Italy, in 1964-1982. Neurology, 38: 1604-7.</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7128</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Gresham LS, Molgaard CA, Golbeck AL, Smith R (1987). Amyotrophic lateral sclerosis and history of skeletal fracture: A case-control study. Neurology, l 37: 717-9.</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7129</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Gresham LS, Molgaard CA, Golbeck AL, Smith R (1986). Amyotrophic lateral sclerosis and occupational heavy metal exposure: A case control study. Neuroepidemiology, 5: 29-38.</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7130</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Garruto RM, Yase Y (1986). Neurodegenerative disorders of the western Pacific: the search for mechanisms of pathogenesis. TINS, Aug: 368-74.</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lastRenderedPageBreak/>
              <w:t>7131</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Kurland LT (1988). Amyotrophic lateral sclerosis and Parkinson's disease complex on Guam linked to an environmental neurotoxin. TINS, 11(2): 51-4.</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7132</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Kurland LT, Radhakrishnan K, Smith GE et al (1992). Mechanical trauma as a risk factor in classic amyotrophic lateral sclerosis: lack of epidemiologic evidence. Journal of the Neurological Sciences, 113: 133-43.</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7133</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Fonseca RG, Resende LAL, et al (1993). Chronic motor neuron disease possibly related to intoxication with organochlorine insecticides. Acta Neurol Scand, 88: 56-8.</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7134</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The Scottish Motor Neuron Disease Research Group (1992). The Scottish motor neuron disease register: a prospective study of adult onset motor neuron disease in Scotland. Methodology, dermography and clinical features of incident cases in 1989. Journal of Neurology, Neurosurgery and Psychiatry, 55: 536-41.</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7135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Garruto RM, Yanagihara R, Gajdusek DC (1985). Models of environmentally induced neurological disease: epidemiology and etiology of amyotrophic lateral sclerosis and parkinsonism-dementia in the Western Pacific. Environmental Geochemistry and Health, 12(1-2): 137-51.</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7136</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Garruto RM, Gajdusek DC (1984). Pacific Cultures: A paradigm for the study of late-onset neurological disorders. Risk factors for Senility, Rothschild H and Chapman CH (Eds),  6: 74-89. Oxford University Press, Oxford.</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7137</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Gajdusek DC, Garruto RM, Salazar AM (1980). Tropical Neurology. Tenth International Congress on Tropical Medicine and Malaria,  Nov 9-15: 382-4. Manila.</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7138</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Kondo K, Tsuhaki T (1981). Case-control studies of motor neuron disease. Association with mechanical injuries. Arch Neurol, 38: 224-5.</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7139</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Garruto RM, Yanagihara R, Gajdusek DC (1985). Disappearance of high-incidence amyotrophic lateral sclerosis and parkinsonism-dementia on Guam. Neurology, 35: 193-8.</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7140</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Kakulas BA (1991). VII International Congress on Neuromuscular diseases, Munich, Sept. 16-22, 1990. - Meeting reports. , : 134-136.</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7141</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Gibberd FB, Simmonds JP (1980). Neurological disease in ex-far-east prisoners of war. The Lancet, 19: 135-7.</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7142</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Tandan R, Bradley WG (1985). Amyotrophic lateral sclerosis: Part 2: Etiopathogenesis. Ann Neurol, 18: 419, 426.</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8289</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Gajdusek DC (1978). A focus of high incidence amyotrophic lateral sclerosis and Parkinsonism and dementia syndromes in a small population of Auyu and Jakai people of Southern West New Guinea. Japan Medical Research Foundation (Ed). "Amyotrophic Lateral Sclerosis" - Proceedings of the International Symposium on Amyotrophic Lateral Sclerosis, Tokyo Japan, : 287-305. University of Tokyo Press, Tokyo Japan.</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9645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Kondo K, Tsubaki T (1981). Case control studies of motor neurone disease. Arch Neurol, 38: 220-6.</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9646</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Riggs JE (1996). Amyotrophic lateral sclerosis, heterogeneous susceptibility, trauma, and epidemiology. Archives of Neurology, 53(3): 225-7.</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9647</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Gawel M, Zaowalla Z, Rose FC (1983). Antecedent events in motor neurone disease. J Neurol Neurosurg Psychiatry, 46: 1041-3.</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9648</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Mitchell JD, Davies RB, al-Hamad A, Gatrell AC, Batterby G (1995). MND risk factors: an epidemiological study in the north west of England. Journal of the Neurological Sciences, 129(Suppl): 61-4.</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9649</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Felmus MT, Patten BM, Swanke L (1976). Antecedent events in amyotrophic lateral sclerosis. Neurology, 26: 167-72.</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9650</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Kurtzke JF, Beebe GW (1980). Epidemiology of amyotrophic lateral sclerosis: 1. A case-control comparison based on ALS deaths. Neurology, 30: 453-62.</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9651</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Riggs JE (1995). Trauma, axonal injury, and amyotrophic lateral sclerosis: a clinical correlate of a neuropharmacologic model. Clinical Neuropharmacology, 18(3): 273-76.</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lastRenderedPageBreak/>
              <w:t>10135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Gunnarsson LG (1994). Motor neuron disease and exposure to chemicals - aetiological suggestions from a case-control study. Journal of the Neurological Sciences, 124(Supplement): 62-3.</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10136</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Schulte PA, Burnett CA, Boeniger MF, Johnson J (1996). Neurodegenerative diseases: occupational occurrence and potential risk factors, 1982 through 1991. American Journal of Public Health, 86(9): 1281-8.</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10137</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Seaton A (1993). Organic solvents and the nervous system: time for a reappraisal? Quarterly Journal of Medicine, New Series 84(305): 637-9.</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10138</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Seaton A, Jellinek EH, Kennedy P (1992). Major neurological disease and occupational exposure to organic solvents. Quarterly Journal of Medicine, New Series 84(305): 707-12.</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10317</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Chen R, Seaton A (1996). A meta-analysis of mortality among workers exposed to organic solvents. Occupational Medicine, 46: 337-44.</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10708</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Hawkes CH (1981). Motor neurone disease in leather workers. Lancet, 1: 507.</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10709</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Hawkes CH, Cavanagh, Fox AJ (1989). Motoneuron disease: A disorder secondary to solvent exposure? The Lancet, 1: 73-5.</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10724</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Abarbanel JM, Herishanu YO, Osimani A, Frisher S (1989). Motor neuron disease in textile factory workers. Acta Neurol Scand, 79: 347-9.</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11114</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McGuire V, Longstreth WT, Nelson LM, Koepsell TD, et al (1997). Occupational exposures and Amyotrophic Lateral Sclerosis. American Journal of Epidemiology, 145(12): 1076-88.</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11172</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Kurtzke JF (1982). Motor neuron(e) disease. British Medical Journal, 284: 141-2.</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11173</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Appel SH, Stefani E (1991). Amyotrophic lateral sclerosis: etiology and pathogenesis. Neurology,  Vol 11 Chapter 10: 287-311. .</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11472</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McGuire V, Longstreth WT, Nelson LM, Koepsell TD, Checkoway H, et al (1997). Occupational exposures and amyotrophic lateral sclerosis.: a population-based case-control study. American Journal of Epidemiology, 145(12): 1076-88.</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15917</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Moen BE, Riise T, Todnem K &amp; Fossan GO (1988). Seamen exposed to organic solvents. A cross-sectional study with special reference to the nervous system. Acta Neurol Scand, 78: 123-35.</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15992</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Williams DB, Annegers JF, Kokmen E, et al (1991). Brain injury and neurologic sequelae: A cohort study of dementia, parkinsonism, and amyotrophic lateral sclerosis. Neurology, 41: 1554-57.</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17918</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Oakes DJ, Pollack JK (1999). Effects of a herbicide formulation, tordon 75D and its individual components on the ocidative functions of mitochondria. Toxicology, 136: 41-52.</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17919</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Griffin DE, Johnson RT (19??). Host Responses to infection of the Nervous System. (Source Unknown), : 1288-97.</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17920</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Asbury AK, McKhann GM, McDonald WI (19??). Diseases of the Peripheral Nerve. Diseases of the Nervous System clinical Neurobiology, Second Edition,: 261-2. .</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17921</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Swash M, Schwartz MS (1991). Drug-induced and toxic neuropathies. Clinical Neurology, 2: 1256-63.</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17922</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Amdur MO, Doull J, Klaassen CD (19??). Casarett and Doull's Toxicology. The Basic Science of Poisons, Fourth Edition,: 416 &amp; 412. .</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17923</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Williams AC(Editor) (19??). Motor Neurone disease. Chapman &amp; Hall Medical, : 136-7,404-5.</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18025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Berger MM, Kopp N, Vital C, Redl B, Aymard M, Lina B (2000). Detection and cellular localization of enterovirus RNA sequences in spinal cord of patients with ALS. Neurology, 54(1): 20-5.</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18058</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Vietnam Veterans Validation Study MND/MS protocol (DRAFT). Department of Veterans' Affairs (DVA) &amp; Australian Institute of Health and Welfare (AIHW). Vietnam Veterans Validation Study MND/MS Protocol, . .</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lastRenderedPageBreak/>
              <w:t>19864</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Pritchard J &amp; Swingler RJ (2000). Motor neuron disease - a review. Scottish Medical Journal, 45(1): 4-7.</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19903</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Shaw PJ (1999). Motor neuron disease. BMJ, 318(7191): 1118-21.</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19928</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Muir P, van Loon AM (1997). Enterovirus infections of the central nervous system. Intervirology, 40: 153-66.</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19929</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Salazar-Grueso EF, Roos RP (1996). Amyotrophic lateral sclerosis and viruses. Clinical Neuroscience, 3: 360-7.</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19930</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Drory VE, Groozman GB, Rubinstein A, Korczyn AD (1999). Hypertriglyceridemia may cause a subclinical peripheral neuropathy. Electromyography &amp; Clinical Neurophysiology, 39(1): 39-41.</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19931</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Green SL, Tolwani RJ (1999). Animal models for motor neuron disease. Laboratory Animal Science, 49(5): 480-7.</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19934</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Khwaja S, Sripathi N, Ahmad BK, Lennon VA (1998). Paraneoplastic motor neuron disease with Type 1 Purkinje cell antibodies. Muscle Nerve, 21: 943-5.</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19935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Bartlett SE, Reynolds AJ, Hendry IA (1998). Retrograde axonal transport of neurotrophins: differences between neuronal populations and implications for motor neuron disease. Immunology &amp; Cell Biology, 76: 419-23.</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19936</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Mitchell JD, Gatrell AC, Al-Hamad A, et al (1998). Geographical epidemiology of residence of patients with motor neuron disease in Lancashire and south Cumbria. Journal of Neurology, Neurosurgery &amp; Psychiatry, 65: 842-7.</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19937</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Traynor BJ, Codd MB, Corr B, et al (1999). Incidence and prevalence of ALS in Ireland, 1995-1997. A population-based study. Neurology, 52: 504-9.</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19938</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Riggs JE, Schochet SS Jr, Hogg JP (1999). Delayed diffuse upper neuron syndrome after compressive thoracic myelopathy. Military Medicine, 164(9): 666-68.</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19939</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Savitz DA, Loomis DP, Tse CK J (1998). Electrical occupations and neurodegenerative disease: analysis of US mortality data. Archives of Environmental Health, 53(1): 71-4.</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19940</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White JR, Sachs GM, Gilchrist JM (1996). Multifocal motor neuropathy with conduction block and campylobacter jejuni. Neurology, 46: 562-3.</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19941</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Paradiso G (1997). Monomelic amyotrophy following trauma and immobilization in children. Muscle Nerve, 20: 425-30.</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19942</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Veiga-Cabo J, Almazan-Isla J, Sendra-Gutierrez JM, et al (1997). Differential features of motor neuron disease mortality in Spain. International Journal of Epidemiology, 26(5): 1024-32.</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19943</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Longstreth WT Jr, McGuire V, Koepsell TD, et al (1998). Risk of amyotrophic lateral sclerosis and history of physical activity. A population-based case-control study. Archives of Neurology, 55: 201-6.</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19944</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Yoshida S, Uebayashi Y, Kihira T, et al (1998). Epidemiology of motor neuron disease in the Kii Peninsula of Japan, 1989-1993: active or disappearing focus? Journal of Neurological Sciences, 155: 146-55.</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19945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Abbruzzese M, Reni L, Schenone A,et al (1997). Multifocal motor neuropathy with conduction block after campylobacter jejuni enteritis. Neurology, 48(1-2): 544.</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19946</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Eisen A (1995). Amyotrophic lateral sclerosis is a multifactorial disease. Muscle &amp; Nerve, 18: 741-52.</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19947</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Zhu J (1996). Comments on some new viruses associated with old diseases in China. Chinese Medical Journal, 109(1): 5-10.</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19948</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Walling AD (1999). Amyotrophic lateral sclerosis: Lou Gehrig's Disease. American Family Physician, 59(6): 1489-96.</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19949</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Emard JF, Thouez JP, Gauvreau D (1995). Neurodegenerative diseasea and risk factors: a literature review. Social Science &amp; Medicine, 40(6): 847-58.</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lastRenderedPageBreak/>
              <w:t>19953</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Graham AJ, Macdonald AM, Hawkes CH (1997). British motor neuron disease twin study. Journal of Neurology, Neurosurgery, and Psychiatry, 62: 562-9.</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19954</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De Belleroche J, Orrell RW, Virgo L (1996). Amyotrophic lateral sclerosis, recent advances in understanding disease mechanisms. Journal of Neuropathology and Experimental Neurology, 55(7): 747-57.</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19955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Gordon PH, Rowland LP, Younger DS, et al (1997). Lymphoproliferative disorders and motor neuron disease: an update. Neurology, 48: 1671-8.</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19956</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Roman GC (1996). Neuroepidemiology of amyotrophic lateral sclerosis: clues to aetiology and pathogenesis. Journal of Neurology, Neurosurgery, and Psychiatry, 61: 131-7.</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19957</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Smith RG, Siklos L, Alexianu ME, et al (1996). Autoimmunity and ALS. Neurology, 47(suppl 2): S40-S46.</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19958</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Ross MA (1997). Acquired motor neuron disorders. Neurologic Clinics, 15(3): 481-500.</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19959</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Galassi G, Gentilini M, Ferrari S, et al (1998). Motor neuron disease and HIV-1 infection in a 30-year-old HIV-positive heroin abuser: a causal relationship? Clinical Neuropathology, 17(3): 131-5.</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19960</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Brooks BR (1996). Clinical epidemiology of amyotrophic lateral sclerosis. Neurologic Clinics, 14(2): 399-420.</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19962</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Smith TC, Gray GC, Knoke JD (2000). Is systemic lupus erythematosus, amyotrophic lateral sclerosis, or fibromyalgia associated with Persian Gulf War service? An examination of Department of Defence hospitalization data. American Journal of Epidemiology, 151(11): 1053-9.</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19963</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Nelson LM, McGuire V, Longstreth WT Jr, et al (2000). Population-based case-control study of amyotrophic lateral sclerosis in Western Washington State. 1. Cigarette smoking and alcohol consumption. American Journal of Epidemiology, 151(2): 156-63.</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19964</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Nelson LM, Matkin C, Longstreth WT Jr, et al (2000). Population-based case-control study of amyotrophic lateral sclerosis in Western Washington State. 11. Diet. American Journal of Epidemiology, 151(2): 164-73.</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19965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Johansen C, Olsen JH (1998). Mortality from amyotrophic lateral sclerosis, other chronic disorders, and electric shocks among utility workers. American Journal of Epidemiology, 148(4): 362-8.</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19966</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Banea-Mayambu JP, Tylleskar T, Gitebo N, et al (1997). Geographical and seasonal association between linamarin and cyanide exposure from cassava and the upper motor neurone disease konzo in former Zaire. Journal of Tropical Medicine &amp; International health, 2(12): 1143-51.</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19967</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Otero-Siliceo E, Arriada-Mendicoa N, Corona-Vasquez T (1977). Frequency of motor neuron diseases in a Mexico city referral center. Revista de investigacion Clinica, 49(6): 445-8.</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19968</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Tallaksen CME, Jetne V, Fossa S (1997). Postradiation lower motor neuron syndrome. A case report and brief literature review. Acta Oncology, 36(3): 345-7.</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19970</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Ratnayake B, Emmanuel ER, Walker CC (1996). Neurological sequelae following a high voltage electrical burn. Burns, 22(7): 574-7.</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19971</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McGuire V, Longstreth WT Jr, Nelson LM, et al (1997). Occupational exposures and amyotrophic lateral sclerosis. A population-based case-control study. American Journal of Epidemiology, 145(12): 1076-88.</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19972</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Worrall BB, Rowland LP, Chin SS-M, et al (2000). Amyotrophy in Prion diseases. Archives of Neurology, 57: 33-8.</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19973</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Traynor BJ, Codd MB, Corr B, et al (2000). Amyotrophic lateral sclerosis mimic syndromes. A population-based study. Archives of Neurology, 57: 109-13.</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lastRenderedPageBreak/>
              <w:t>19974</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Ince PG, Lowe J, Shaw PJ (1998). Amyotrophic lateral sclerosis: a current issues in classification, pathogenesis and molecular pathology. Neuropathology &amp; Applied Neurobiology, 24: 104-17.</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19975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Ludolph AC, Munch C (1999). Neurotoxic mechanisms of degeneration in motor neuron diseases. Drug Metabolism Reviews, 31(3): 619-34.</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19976</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Spencer PS (1999). Food toxins, ampa receptors, and motor neuron diseases. Drug Metabolism Reviews, 31(3): 561-87.</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19977</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Ludolph AC, Spencer PS (1997). Toxic models of upper motor neuron disease. Journal of the Neurological Sciences, 139: 53-9.</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19978</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Donohoe DJ, Brady B (1997). Motor neuron disease: etiology, pathogenesis and treatment.  A review. Irish Journal of Medical Science, 165(3): 200-9.</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19979</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Kamel F, Umbach DM, Munsat TL, et al (1999). Association of cigarette smoking with amyotrophic lateral sclerosis. Neuroepidemiology, 18(4): 194-200.</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19980</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Davanipour Z, Sobel E, Bowman JD, et al (1997). Amyotrophic lateral sclerosis and occupational exposure to electromagnetic fields. Bioelectromagnetics, 18(1): 28-35.</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19981</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Cruz DC, Nelson LM, McGuire V, et al (1997). Physical trauma and family history of neurodegenerative diseases in amyotrophic lateral sclerosis: a population-based case-control study. Neuroepidemiology, 18(2): 101-10.</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19985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Svenson LW, Cwik VA, Martin WRW (1999). The prevalence of motor neurone disease in the Province of Alberta. Canadian Journal of Neurological Sciences, 26(2): 119-22.</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19986</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Durlach J, Bac P, Durlach V,et al (1997). Are age-related neurodegenerative diseases linked with various types of magnesium depletion? Magnesium Research, 10(4): 339-53.</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19987</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Yasui M, Ota K, Yoshida M (1997). Effects of low calcium and magnesium dietary intake on the central nervous system tissues of rats and calcium-magnesium related disorders in the amyotrophic lateral sclerosis focus in the Kii Peninsula of Japan. Magnesium Research, 10(1): 39-50.</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19988</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Savitz DA, Checkoway H, Loomis DP (1998). Magnetic field exposure and neurodegenerative disease mortality among electric utility workers. Epidemiology, 9(4): 398-404.</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19989</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Longnecker MP, Kamel F, Umbach DM, et al (2000). Dietary intake of calcium, magnesium and antioxidants in relation to risk of amyotrophic lateral sclerosis. Neuroepidemiology, 19(4): 210-6.</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19990</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Chio A, Cucatto A, Calvo A, et al (1999). Amyotrophic lateral sclerosis among the migrant population to Piemonte, northwestern Italy. Journal of Neurology, 246(3): 175-80.</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19991</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Biessels GJ, Franssen H, van den Berg LH, et al (1997). Multifocal motor neuropathy. Journal of Neurology, 244(3): 143-52.</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20014</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Bromberg MB (1999). Pathogenesis of amyotrophic lateral sclerosis: a critical review. Current Opinion in Neurology, 12(5): 581-88.</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20015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Fraser H, Behan W, Chree A, Crossland G, Behan P (1996). Mouse inoculation studies reveal no transmissible agent in amyotrophic lateral sclerosis. Brain Pathology, 6: 89-100.</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20023</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Watters MR (1995). Organic neurotoxins in seafoods. Clinical Neurology and Neurosurgery, 97: 119-124.</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20024</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Gross-Paju K, Oopik M, Luus SM, Kalbe I, Kaasik A-E (1999). The risk of motor neurone disease and multiple sclerosis is different in Estonians and Russians. Data from South Estonia. European Journal of Neurology, 6(2): 187-93.</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20905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Avoca and District Historical Society Inc (????). MND: What is motor neurone disease. .  Retrieved 14 March 2001, from http://avoca.vicnet.net.au/~mndri/wimnd.htm</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20911</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Burns CJ, Beard KK, Cartmill JB (2001). Mortality in chemical workers potentially exposed to 2, 4-dichorophenoxyacetic acid (2,4-D) 1945-49: an update. Occup Environ Med, 58: 24-30.</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lastRenderedPageBreak/>
              <w:t>21425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Page WF, Tanner CM (2000). Parkinson's disease and motor-neuron disease in former prisoners-of-war. The Lancet, 355(9206): 843.</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21785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Agency for Toxic Substances and Disease Registry (ATSDR) (1999). Toxicological Profile for Uranium, . US Department of Health and Human Services, Public Health Service, Atlanta, GA.</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21968</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Gallagher JP, Talbert OR (1991). Motor Neuron syndrome after electric shock. Acta Neurol Scand, 83: 79-82.</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22055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Ghosh D, Gupta A, Kohli A (1995). Electrical injury: cervical myelopathy with late onset progressive motor disease. Aust N Z J Med, 25: 263-4.</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22056</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Sirdofsky MD, Hawley RJ, Manz H (1991). Progressive motor neuron disease associated with electrical injury. Muscle &amp; Nerve, 14: 977-80.</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22110</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Anonymous (2001). Lightning link to muscle disease. .  Retrieved 8 July 2001, from http://news.bbc.co.uk/hi/english/health/newsid_1444000/1444045.stm</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22111</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Jafari H, Couratier P, Camu W (2001). Motor neuron disease after electric injury. J Neurol Neurosurg &amp; Psychiatry, 71: 265-7.</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25845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Kasarskis EJ, Horner RD, Kamins KG, Feussner JR, and the VA CSP Study Team (????). Amyotrophic lateral sclerosis in military veterans of the Persian Gulf War. This article was from Alex to be added to the database, : .</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26673</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Sharief MK, Priddin J, Delamont RS, Unwin C, Rose MR, David A, Wessely S (2002). Neurophysiologic analysis of neuromuscular symptoms in UK Gulf war veterans. Neurology, 59: 1518-25.</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28219</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Ahlbom A, Cardis E, Green A, Linet M, et al (2001). Review of the epidemiological literature on EMF and health. Environmental Health Perspectives, 109(Suppl 6): 911-33.</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28860</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Haley RW (2003). Excess incidence of ALS in young Gulf War veterans. Neurology, 61: 750-6.</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28873</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Rose MR (2003). Gulf war service is an uncertain trigger for ALS. Neurology, 61: 730-1.</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28874</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Horner RD, Kamins KG, Feussner JR, Grambow SC, et al (2003). Occurrence of amyotrophic lateral sclerosis among Gulf War veterans. Neurology, 61: 742-9.</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29956</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Kang HK, Bullman TA (2001). Mortality among US veterans of the Persian Gulf War: 7-year follow-up. Am J Epidemiol, 154(5): 399-405.</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30501</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Sheppard AR, Kavet R, Renew DC (2002). Exposure Guidelines for Low-Frequency Electric and Magnetic Fields: Report from the Brussels Workshop. Health Physics, 83(3): 324-32.</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30508</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Glass DC, Gray CN, Jolley DJ, et al (2003). Leukemia risk associated with low-level benzene exposure. Epidemiology, 14(5): 569-77.</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30514</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Kondo K; Neilson S, Robinson I, Rose FC (1997). [Comments] The correlation of motor neuron disease with radiation: an objection to the hypothesis of Neilson, et al. Journal of Neurology, 244: 56-8.</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30515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Gait R, Maginnis C, Lewis S, Pickering N, Antoniak M, Hubbard R, Lawson I, Britton J (2003). Occupational exposure to metals and solvents and the risk of motor neuron disease. Neuroepidemiology, 22(6): 353-6.</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30516</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Osoegawa JK, Murai IH, Ohyagi MM, Tobimatsu HF, Ochi KY (2002). History of allergic disorders in common neurologic diseases in Japanese patients. Acta Neurologica Scandinavica, 105: 215-20.</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30517</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Charles T, Swash M (2001). Amyotrophic lateral sclerosis: current understanding. Journal of Neuroscience Nursing, 33(5): 245-53.</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30518</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Armon C (2001). Environmental risk factors for amyotrophic lateral sclerosis. Neuroepidemiology, 20(1): 2-6.</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30519</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Graham AJ, Macdonald AM, Hawkes CH (1997). British motor neuron disease twin study. Journal of Neurology, Neurosurgery and Psychiatry, 62(6): 562-9.</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lastRenderedPageBreak/>
              <w:t>30520</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Armon C (2003). An evidence-based medicine approach to the evaluation of the role of exogenous risk factors in sporadic amyotrophic lateral sclerosis. Neuroepidemiology, 22(4): 217-28.</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30521</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Cruz DC, Nelson LM, McGuire V, Longstreth WT (1999). Physical trauma and family history of neurodegenerative diseases in amyotrophic lateral sclerosis: a population-based case-control study. Neuroepidemiology, 18(2): 101-10.</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30522</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Li CY, Sung FC (2003). Association between occupational exposure to power frequency electromagnetic fields and amyotrophic lateral sclerosis: a review. American Journal of Industrial Medicine, 43: 212-20.</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30523</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Savitz DA, Loomis DP, Tse CKJ (1998). Electrical occupations and neurodegenerative disease: analysis of US mortality data. Arch Environ Health, 53(1): 71-4.</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30524</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McGuire V, Longstreth WT, Nelson LM, Koepsell TD, Checkoway H, Morgan MS, van Belle G (1997). Occupational exposures and amyotrophic lateral sclerosis: a population-based case-control study. American Journal of Epidemiology, 145(12): 1076-88.</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30525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Martyn CN, Osmond C (1992). The environment in childhood and risk of motor neuron disease. J Neur, Neurosurg &amp; Psych, 55: 997-1001.</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30526</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Galassi G, Gentilini M, Ferrari S, Ficarra G, Zonari P, Mongiardo N, Tommelleri G, Di Rienzo B (1998). Motor neuron disease and HIV-1 infection in a 30-year-old HIV-positive heroin abuser: a causal relationship? Clinical Neuropathology, 17(3): 131-5.</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30533</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Ahlbom IC, Cardis E, Green A, Linet M, et al (2001). Review of the epidemiologic literature on EMF and Health. Environmental Health Perspectives, 109(Suppl 6): 911-33.</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30556</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Repacholi MH (2003). WHO's health risk assessment of ELF fields. Radiat Prot Dosimetry, 106(4): 297-9.</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30557</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Johansen C, Olsen JH (1998). Mortality from amyotrophic lateral sclerosis, other chronic disorders, and electric shocks among utility workers. American Journal of Epidemiology, 148(4): 362-8.</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30558</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Neilson S, Gunnarsson LG, Robinson I (1994). Rising mortality from motor neurone disease in Sweden 1961-1990: the relative role of increased population life expectancy and environmental factors. Acta Neurol Scand, 90: 150-9.</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30559</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Vinceti M, Guidetti D, Pinotti M, Rovesti S, Merlin M, Vescovi L, Bergomi M, Vivoli G (1996). Amyotrophic lateral sclerosis after long-term exposure to drinking water with high selenium content. Epidemiology, 7: 529-32.</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30561</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Mitsui T, Umaki Y, Nagasawa M, Akaike M, Ohtsuka S, Odomi M, Aki K, Matsumoto T (2003). Motor neuron involvement in a patient with long-term corticosteroid administration. Internal Medicine, 42: 862-6.</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30593</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Pritchard J, Swingler RJ (2000). Motor Neuron Disease - a review. Scot Med J, 45(1): 4-7.</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30594</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Brooks BR (2004). Risk factors in the early diagnosis of ALS: North American epidemiological studies. Amyotrophic Lateral Sclerosis &amp; Other Motor Neuron Disorders, 1(Suppl 1): S19-26.</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30595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Brooks BR (2002). Functional scales: summary. ALS and Other Motor Neuron Disorders, Suppl 1: S13-8.</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30634</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Martyn CN (1997). Infection in childhood and neurological diseases in adult life. British Medical Bulletin, 53(1): 24-39.</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31432</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Weisskopf MG, McCullough ML, Calle EE, Thun MJ, Cudkowicz M, Ascherio A (2004). Prospective study of cigarette smoking &amp; amyotrophic lateral sclerosis. American Journal of Epidemiology, 160(1): 26-33.</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33722</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Agency for Toxic Substances and Disease Registry (ATSDR) and the Environmental Protection Agency (EPA) (2002). Toxicological profile for beryllium. Toxicological Profiles, . US Department of Health &amp; Human Services, Public Health Service, Atlanta, GA.</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lastRenderedPageBreak/>
              <w:t>35227</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Agency for Toxic Substances and Disease Registry (ATSDR) (2001). Toxicological Profile for Asbestos, . Department of Human Services, Public Health Service, Atlanta, GA.</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35464</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Agency for Toxic Substances &amp; Disease Registry (2005). Toxicological Profile for Carbon Tetrachloride, . U.S Department of Health and Human Services.</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35500</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Kelsall H, Macdonell R, Sim M, Forbes A, et al (2005). Neurological status of Australian veterans of the 1991 Gulf War and the effect of medical and chemical exposures. Int J Epidemiol, 34: 810-9.</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36322</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Malik S, Boeve BF, Krahn LE, et al (2001). Narcolepsy associated with other central nervous system disorders. Neurology, 57: 539-41.</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37570</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Institute of Medicine (US) (2005). Fuels, combustion products, and propellants. Gulf War and Health,  Vol 3. National Academies Press (Washington, DC).</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38168</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Lim U, Schenk M, Kelemen LE, et al (2005). Dietary determinants of one-carbon metabolism and the risk of non-Hodgkin's lymphoma: NCI-SEER case-control study, 1998-2000. American Journal of Epidemiology, 162(10): 953-64.</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38169</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Mitchell JD (2000). Amyotrophic lateral sclerosis: toxins and environment. ALS and other motor neuron disorders, 1: 235-50.</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38170</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Veldink JH, Kalmijn S, Groeneveld GH, et al (2005). Physical activity and the association with sporadic ALS. Neurology, 64: 241-5.</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38171</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Gardner A (2004). Lung cancer link seen in gulf war fires. .  Retrieved 27 September 2005, from http://www.healthfinder.gov/news/newsstory.asp?docID=523005</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38172</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Macfarlane GJ, Hotopf M, Maconochie N, Blatchley N, Richards A, Lunt M (2005). Long-term mortality amongst Gulf War veterans: is there a relationship with experiences during deployment and subsequent morbidity? Int J Epidemiol, 34(6): 1403-8 [Epub ahead of print].</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38173</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Ma F, Fleming LE, Lee DJ, et al (2005). Mortality in Florida professional firefighters, 1972 to 1999. Am J Ind Med, 47: 509-17.</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38174</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Nicolson GL, Nicolson NL (2001). Autoimmune neurological &amp; rheumatic diseases: role of chronic infections in morbidity and progression [chronic fatigue syndrome &amp; fibromyalgia news]. Proc. 13th Int Symposium Integrative Medicine, 13: 104-12.</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38175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Brown RC, Lockwood AH, Sonawa BR (2005). Neurodegenerative diseases: an overview of environmental factors. Environ Health Perspect, 113(9): 1250-6.</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38176</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Hotopf M, Wessely S (2005). Can epidemiology clear the fog of war? Lessons from the 1990-91 Gulf War. Int J Epidemiology, 34: 791-800.</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38177</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Weisskopf MG, O'Reilly EJ, McCullough ML, et al (2005). Prospective study of military service and mortality from ALS. Neurology, 64(1): 32-7.</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38178</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Al-Chalabi A, Leigh PN (2005). Trouble on the pitch: are professional football players at increased risk of developing amyotrophic lateral sclerosis? Brain, 128: 451-3.</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38179</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Chio A, Benzi G, Dossena M, et al (2005). Severely increased risk of amyotrophic lateral sclerosis among Italian professional football players. Brain, 128: 472-6.</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38180</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Beghi E, Morrision KE (2005). ALS and military service. Neurology, 64(1): 6-7.</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38181</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Beghi E, Balzarini C, Bogliun G, et al (2002). Reliability of the el escorial diagnostic criteria for amyotrophic lateral sclerosis. Neuroepidemiology, 21: 265-70.</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38182</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Millul A, Beghi E, Logroscino G, et al (2005). Survival of patients with amyotrophic lateral sclerosis in a population-based registry. Neuroepidemiology, 25: 114-9.</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38183</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Coffman CJ, Horner RD, Grambow SC, et al (2005). Estimating the occurrence of amyotrophic lateral sclerosis among Gulf War (1990-1991) veterans using capture-recapture methods. Neuroepidemiology, 24: 141-50.</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38184</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Park RM, Schulte PA, Bowman JD, Walker JT, et al (2005). Potential occupational risks for neurodegenerative diseases. Am J Ind Med, 48: 63-77.</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lastRenderedPageBreak/>
              <w:t>38185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Feychting M, Jonsson F, Pedersen NL, et al (2003). Occupational magnetic field exposure and neurodegenerative disease. Epidemiology, 14(4): 413-9.</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38186</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Hakansson N, Gustavsson P, Johansen C, et al (2003). Neurodegenerative diseases in welders and other workers exposed to high levels of magnetic fields. Epidemiology, 14(4): 420-6.</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38187</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ATSDR (2002). Motor neuron disease / amyotrophic lateral sclerosis: preliminary review of environmental risk factors and mortality in Bexar County, Texas. Retrieved 24 January 2006, from http://www.atsdr.cdc.gov/NEWS/alsreport.html</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38188</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Armon C (2005). Primary lateral sclerosis. .  Retrieved 24 November 2005, from Www.emedicine.com?NEURO/topic324.htm</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38189</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Simon GE, Savarino J, Operskslski B, et al (2006). Suicide risk during antidepressant treatment. Am J Psychiatry, 163: 41-7.</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38190</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Meiering CD, Linial ML (2001). Historical perspective of foamy virus epidemiology and infection. Clin Microbiol Rev, 14(1): 165-76.</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38191</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Strong M, Rosenfeld J (2003). Amyotrophic lateral sclerosis: a review of current concepts. ALS and Other Motor Neuron Disorders, 4: 136-43.</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38192</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Ahlbom A, Green A, Kheifets L, et al (2004). Epidemiology of health effects of radiofrequency exposure. Environmental Health Perspectives, 112(17): 1741-54.</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38193</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Riggs JE, Hobbs GR (2003). Motor axonal injury and amyotrophic lateral sclerosis: risk assessment using a reverse probability analysis technique. Military Medicine, 168(2): 143-5.</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38194</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Chio A (2005). Mortality trends in ALS: an increasingly intricate puzzle. The Lancet Neurology, 4(8): 453-4.</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38195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Belli S, Vanacore N (2005). Proportionate mortality of Italian soccer players: is amyotrophic lateral sclerosis an occupational disease? Eur J Epidemiology, 20: 237-42.</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38196</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Valenti M, Pontieri FE, Conti F, Altobelli E, Manzoni T, Frati L (2005). Amyotrophic lateral sclerosis and sports: a case-control study. Eur J Neurol, 12: 223-5.</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38197</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Riggs JE (2001). The latency between traumatic axonal injury and the onset of amyotrophic lateral sclerosis in young adult men. Military Medicine, 166(8): 731-2.</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38198</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Swash M, Desai J (2000). Motor neuron disease: classification and nomenclature. ALS and Other Motor Neurone Disorders, 1: 105-12.</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38205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Corro from Feychting and colleagues (2003). The two studies examine the association between occupational exposures to electromagnetic fields and neurodegenerative diseases. Epidemiology, 14(4): 427-8.</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38206</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ATSDR (2005). Multiple sclerosis and amyotrophic lateral sclerosis-related projects. Ongoing and completed projects, Health investigations branch, Division of Health Studies. .  Retrieved 19 May 2005, from www.atsdr.cdc.gov/DHS/MS</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38207</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Anonymous (2001). Summary of progress in response to 21 research questions highlighted in the 1996 working plan for research on Persian Gulf Veterans' Illnesses. .  Retrieved 8 November 2005, from www.gulflink.osd.mil/medsearch/FocusAreas/ResearchQuestions/brain.shtml</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38208</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Veterans and Agent Orange Update (2004). Amyotrophic lateral sclerosis. : 420-4.  Retrieved 13 September 2005, from www.nap.edu/openbook/0309095980/gifmid/420.gif</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38209</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Anon (2001). Attributed risk, veterans, and Lou Gehrig's Disease. Stats, : .</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38210</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Chio A (2005). Mortality trends in ALS: an increasingly intricate puzzle. , 4: 453-4.</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38211</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Kuwana E (2003). Link between ALS and Persian Gulf War veterans confirmed. .  Retrieved 8 November 2005, from Http://faculty.washington.edu/chudler/alsgw,html</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lastRenderedPageBreak/>
              <w:t>38212</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Gilmore GJ (2003). Gulf war vets diagnosed with ALS are eligible for VA care. .  Retrieved 8 November 2006, from Www.defenselink.mil/news/Sep2003/n9302003_200309304.html</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38213</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Orr AA (2003). Occurrence of ALS higher in Gulf War veterans. .  Retrieved 8 November 2005, from Www.bcm.edu/fromthelab/vol102/is10/03oct_nl.htm</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41048</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ALS Association (2005). ALS in the Military. Unexpected consequences of military service. .  Retrieved 10 February 2006, from http://www.alsa.org</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41049</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Centers for Disease Control and Prevention (2006). Veterans' Health Activities. ????, : .</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41050</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Anon (2002). New study looks at Gulf War vets, ALS. .  Retrieved 8 November 2005, from http://www.rideforlife.com/archives/000295.html</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41051</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National Gulf War Resource Center, Inc (2005). New study reporting increased risk of brain cancer deaths among 1991 Gulf War veterans. .  Retrieved 8 November 2005, from http://www.ngwrc.org/index.cfm?page=article&amp;id=2057</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41052</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Australian Institute of Health and Welfare (2003). Cancer Incidence Study 2003: Australian Veterans of the Korean War. Chapter 3 Findings &amp; Chapter 4 Conclusions. ????, : .</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41053</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Agency for Toxic Substances and Disease Registry (2002). Toxicological Profile for DDT, DDE and DDD. Chapter 2 Relevance to Public Health. ????, : .</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50975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Horner RD, Feussner JR, Kasarskis EJ (2005). [Comments] Prospective study of military service and mortality from ALS (with response from Ascherio et al). Neurology, 65: 180-1. Comments on ID: 38177.</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50976</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Armon C; Brenner SR; Horner R, et al (2004). [Comments] Occurrence of amyotrophic lateral sclerosis among Gulf War veterans. Neurology, 62: 1027-9. Comments on ID: 28874.</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51306</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Agency for Toxic Substances and Disease Registry (2007). Toxicological Profile For Arsenic. US Department of Health and Human Services. Public Health Service, : .</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52135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Abhinav K, Al-Chalabi A, Hortobagyi T, et al (2006). Electrical injury and amyotrophic lateral sclerosis: a systematic review of the literature. J Neurol Neurosurg Psychiatry, 78: 450-3.</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54357</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Miranda ML, Overstreet Galeano MA, Tassone E, et al (2008). Spatial analysis of the etiology of amyotrophic lateral sclerosis among 1991 Gulf War veterans. NeuroToxicology, 29: 964-70.</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57090</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Committee on the review of the scientific literature on amyotrophic lateral sclerosis in veterans (2006). Amyotrophic lateral sclerosis in veterans. Review of the Scientific Literature, . National Academy Press - Washington, DC.</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57103</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Rose MR, Brix KA (2006). Neurological disorders in Gulf War veterans. Philos Trans R Soc Lond B Biol Sci, 361(1468): 605-18.</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58924</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Schmidt S, Kwee LC, Allen KD, Oddone EZ (2010). Association of ALS with head injury, cigarette smoking and APOE genotypes. J Neuro Sci, 291: 22-9.</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58925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McKee AC, Gavett BE, Stern RA, Nowinski CJ, t al (2010). TDP-43 proteinopathy and motor neuron disease in chronic traumatic encephalopathy. J Neuropathol Exp Neurol, 69(9): 918-29.</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61058</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Gavett BE, Stern RA, McKee AC (2011). Chronic traumatic encephalopathy: a potential late effect of sport-related concussive and subconcussive head trauma. Clin Sports Med, 30: 179-88.</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61070</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Bedlack RS, Genge A, Shiabani A, Jackson CE, et al; Armon C, Miller RG (2011). [Comments] TDP-43 proteinopathy and motor neurone disease in chronic traumatic encephalopathy. J Neuropathol Exp Neurol, 70(1): 96-98; Author's reply: 98-100. Comments on ID: 61071.</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lastRenderedPageBreak/>
              <w:t>64427</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Kamel F (2011). Amyotrophic lateral sclerosis (ALS Study). .  Retrieved 26 November 2012, from http://www.niehs.nih.gov/research/atniehs/labs/epi/studies/alss/index.cfm</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64964</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Johnson FO, Atchison W (2009). The role of environmental mercury, lead and pesticide exposure in development of amyotrophic lateral sclerosis. NeuroToxicology, 30(5): 761-5.</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64965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Shaw CA, Petrik MS (2009). Aluminium hydroxide injections lead to motor deficits and motor neuron degeneration. J Inorg Biochem, 103(11): 1555.</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64966</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Fang F, Quinlan P, Ye W, Barber MK, et al (2009). Workplace exposures and the risk of amyotrophic lateral sclerosis. Environ Health Perspect, 117(9): 1387-92.</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64967</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Alonso A, Logroscino G, Jick SS, Hernan MA (2010). Association of smoking with amyotrophic lateral sclerosis risk and survival in men and women: a prospective study. BMC Neurology, 10: 6.</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64968</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Department of Veterans Affairs (2009). Presumption of service connection for amyotrophic lateral sclerosis. Federal Register, 74(212): 57072-4.</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64969</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Fang F, Kwee LC, Allen KD, Umbach DM, et al (2010). Association between blood lead and the risk of amyotrophic lateral sclerosis. Am J Epidemiol, 171(10): 1126-33.</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64970</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Scott KM, Abhinav K, Wijesekera L, Ganesalingam J, et al (2010). The association between ALS and population density: a population based study. Amyotrophic Lateral Sclerosis, 11(5): 435-8.</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64971</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Sorensen HT, Riis AH, Lash TL, Pedersen L (2010). Statin use and risk of amyotrophic lateral sclerosis and other motor neuron disorders. Circ Cardiovasc Qual Outcomes, 3: 413-7.</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64972</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Manuel M, Heckman CJ (2011). Stronger is not always better: could a bodybuilding dietary supplement lead to ALS? Exp Neurol, 228(1): 5-8.</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65617</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Weisskopf MG, Morozova N, O'Reilly EJ, McCullough ML, et al (2009). Prospective study of chemical exposures and amyotrophic lateral sclerosis. J Neurol Neurosurg &amp; Psychiatry, 80: 558-61.</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65618</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Sutedja NA, Valdink JH, Fischer K, Kromhout H, et al (2009). Exposure to chemicals and metals and risk of amyotrophic lateral sclerosis: a systemic review. Amyotrophic Lateral Sclerosis, 10: 302-9.</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65619</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Mattsson P, Lonnstedt I, Nygren I, Askmark H (2012). Physical fitness, but not muscle strength, is a risk factor for death in amyotrophic lateral sclerosis at an early age. J Neurol Neurosurg &amp; Psychiatry, 83: 390-4.</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65620</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Pastula DM, Coffman CJ, Allen KD, Oddone EZ, et al (2009). Factors associated with survival in the National Registry of Veterans with ALS. Amyotrophic Lateral Sclerosis, 10: 332-8.</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65621</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Sutedja NA, Fischer K, Veldink JH, Van Der Heijden GJ, et al (2009). What we truly know about occupation as a risk factor for ALS: a critical and systemic review. Amyotrophic Lateral Sclerosis, 10: 295-301.</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65622</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Kasarskis EJ, Lindquist JH, Coffman CJ, Grambow SC, et al (2009). Clinical aspects of ALS in Gulf War veterans. Amyotrophic Lateral Sclerosis, 10: 35-41.</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65623</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Maier CM, Chan PH (2002). Role of superoxide dismutases in oxidative damage and neurodegenerative disorders. The Neuroscientist, 8(4): 323-34.</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65624</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McCrory P (2005). A cause for concern? Br J Sports Med, 39: 249.</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65625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Armon C, Nelson LM (2012). Is head trauma a risk factor for amyotrophic lateral sclerosis? An evidence based review. Amyotrophic Lateral Sclerosis, 13: 351-6.</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65626</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Chen H, Richard M, Sandler DP, Umbach DM, Kamel F (2007). Head injury and amyotrophic lateral sclerosis. Am J Epidemiol, 166(7): 810-6.</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lastRenderedPageBreak/>
              <w:t>65627</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Wicks P (2012). Hypothesis: higher prenatal testosterone predisposes ALS patients to improved athletic performance and manual professions. Amyotrophic Lateral Sclerosis, 13: 251-3.</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65628</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Piazza O, Siren AL, Ehrenreich H (2004). Soccer, neurotrauma and amyotrophic lateral sclerosis: is there a connection? Current Medical Research and Opinion, 20(4): 505-8.</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65630</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McLean J, Liu HN, Miletic D, Weng YC, et al (2010). Distinct biochemical signatures characterize peripherin isoform expression in both traumatic neuronal injury and motor neuron disease. J Neurochem, 114: 1177-92.</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65631</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Turner MR, Abisgold J, Yeates DG, Talbot K, Goldacre MJ (2010). Head and other physical trauma requiring hospitalisation is not a significant risk factor in the development of ALS. J Neurol Sci, 288: 45-8.</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65632</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Gavett BE,  Cantu RC, Shenton M, Lin AP, et al (2011). Clinical appraisal of chronic traumatic encephalopathy: current perspectives and future directions. Curr Opin Neurol, 24: 525-31.</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65633</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Pleasant JM, Carlson SW, Mao H, Scheff SW, Yang KH, Saatman KE (2011). Rate of neurodegeneration in the mouse controlled cortical impact model is influenced by impactor tip shape: implications for mechanistic and therapeutic studies. J Neurotrauma, 28: 2245-62.</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65651</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Zhang B, Huang Y, Su Z, Wang S, et al (2011). Neurological, functional, and biomechanical characteristics after high-velocity behind armor blunt trauma of the spine. J Trauma, 71(6): 1680-8.</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65652</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Horner RD, Grambow SC, Coffman CJ, Lindquist JH, et al (2008). Amyotrophic lateral sclerosis among 1991 Gulf War veterans: evidence for a time-limited outbreak. Neuroepidemiology, 31: 28-32.</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65653</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Dash PK, Mach SA, Moore AN (2000). Regional expression and role of cyclooxygenase-2 following experimental traumatic brain injury. J Neurotrauma, 17(1): 69-81.</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65654</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Allen KD, Dasarskis EJ, Bedlack RS, Rozear MP, et al (2008). The National Registry of veterans with amyotrophic lateral sclerosis. Neuroepidemiology, 30: 180-90.</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65655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Armon C; Horner R, Feussner J, Kasarskis E et al (2007). [Comments] Occurrence of amyotrophic lateral sclerosis among Gulf War veterans. Neurology, 68(13): 1083.</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65656</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Ascherio A, Weisskopf MG, O'Reilly EJ, McCullough ML, Calle EE, Thun MJ (2005). [Comment] ALS and military service. Neurology, 65: 972; Author's reply: 972.</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65657</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Stern RA, Riley DO, Daneshvar DH, Nowinski CJ, Cantu RC, McKee AC (2011). Long-term consequences of repetitive brain trauma: chronic traumatic encephalopathy. PM&amp;R, 3: S460-7.</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65658</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Malek AM, Barchowsky A, Bowser R, Youk A, Talbott EO (2012). Pesticide exposure as a risk factor for amyotrophic lateral sclerosis: a meta-analysis of epidemiological studies. Pesticide exposure as a risk factor for ALS. Environ Res, 117: 112-9.</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65659</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Vinceti M, Bottecchi I, Fan A, Finkelstein Y, Mandrioli J (2012). Are environmental exposures to selenium, heavy metals, and pesticides risk factors for amyotrophic lateral sclerosis? Rev Environ Health, 27(1): 19-41.</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65660</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Pamphlett R (2012). Exposure to environmental toxins and the risk of sporadic motor neuron disease: an expanded Australian case-control study. Eur J Neurol, 19: 1343-8.</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65661</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Kamel F, Umbach DM, Bedlack RS, Richards M, et al (2012). Pesticide exposure and amyotrophic lateral sclerosis. Neuro Toxicology, 33: 457-62.</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65662</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Bonvicini F, Marcello N, Mandrioli J, Pietrini V, Vinceti M (2010). Exposure to pesticides and risk of amyotrophic lateral sclerosis: a population-based case-control study. Ann 1st Super Sanita, 46(3): 284-7.</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65663</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Morahan JM, Pamphlett R (2006). Amyotrophic lateral sclerosis and exposure to environmental toxins: an Australian case-control study. Neuroepidemiology, 27: 130-5.</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lastRenderedPageBreak/>
              <w:t>65664</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Morahan JM, Yu B, Trent RJ, Pamphlett R (2007). Genetic susceptibility to environmental toxicants in ALS. Am J Med Genet B Neuropsychiatr Genet, 144B: 885-90.</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65665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Bertell R (2006). Depleted uranium: all the questions about DU and Gulf War syndrome are not yet answered. Int J Health Serv, 36(3): 503-20.</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65666</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Schuff N, Meyerhoff DJ, Mueller S, Chao L, et al (2006). N-acetylaspartate as a marker of neuronal injury in neurodegenerative disease. Adv Exp Med Biol, 576: 241-62; discussion 361-3.</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65667</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Strickland D, Smith SA, Dolliff G, Goldman L, Roelofs R (1996). Physical activity, trauma, and ALS: a case-control study. Acta Neurol Scand, 94: 45-50.</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65695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Adibhatla RM, Hatcher JF (2008). Altered lipid metabolism in brain injury and disorders. Lipids in Health and Disease,  Chapter 9: 241-68. Springer Science + Business Media.</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65877</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Peters D (2010). Reports claiming ALS caused by head trauma lacks scientific validation. Back to EurekAlert. .  Retrieved 20 November 2012, from http://www.eurekalert.org/pub_releases/2010-11/w-rcall111610.php</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65878</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Armon K, Stephenson T, MacFaul R, Hemingway P, Werneke U, Smith S (2003). An evidence and consensus based guideline for the management of a child after a seizure. Emerg Med J, 20: 13-20.</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65879</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Xiao S, Tjostheim S, Sanelli T, McLean JR, et al (2008). An aggregate-inducing peripherin isoform generated through intron retention is upregulated in amyotrophic lateral sclerosis and associated with disease pathology. J Neurosci, 28(8): 1833-40.</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65944</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Alonso A, Logroscino G, Hernan MA (2010). Smoking and the risk of amyotrophic lateral sclerosis: a systemic review and meta-analysis. J Neurol Neurosurg &amp; Psychiatry, 81: 1249-52.</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65945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Barth SK, Kang HK, Bullman TA, Wallin MT (2009). Neurological mortality among U.S. veterans of the Persian Gulf War: 13-year follow-up. Am J Ind Med, 52: 663-70.</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65946</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van Bregt DR, Thomas TC, Hinzman JM, Cao T, et al (2012). Substantia nigra vulnerability after a single moderate diffuse brain injury in the rat. Exp Neurol, 234: 8-19.</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65947</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Bartholet (2012). The collision syndrome. Scientific American, 306(2): 66-71.</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65948</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Appel SH, Cwik VA, Day JW (2010). Trauma, TDP-43, and amyotrophic lateral sclerosis. Muscle &amp; Nerve, 42: 851-2.</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66141</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Chio A, Mora G (2012). Physical fitness and amyotrophic lateral sclerosis: dangerous liaisons or common genetic pathways? J Neurol Neurosurg &amp; Psychiatry, 83(4): 389.</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66142</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Veldink JH, Kalmijn S, Groeneveld GJ, Wunderink W, et al (2007). Intake of polyunsaturated fatty acids and vitamin E reduces the risk of developing amyotrophic lateral sclerosis. J Neurol Neurosurg &amp; Psychiatry, 78: 367-71.</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66143</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Sutedja NA, van der Schouw YT, Fischer K, Sizoo EM, et al (2011). Beneficial vascular risk profile is associated with amyotrophic lateral sclerosis. J Neurol Neurosurg &amp; Psychiatry, 82: 638-42.</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66144</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Turner MR, Wotton C, Talbot K, Goldacre MJ (2012). Cardiovascular fitness as a risk factor for amyotrophic lateral sclerosis: indirect evidence from record linkage study. J Neurol Neurosurg &amp; Psychiatry, 83: 395-98.</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66145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Maraldi T, Riccio M, Zambonin L, Vinceti M, De Pol A, Hakim G (2011). Low levels of selenium compounds are selectively toxic for a human neuron cell line through ROS/RNS increase and apoptotic process activation. NeuroToxicology, 32: 180-7.</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66146</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Callaghan B, Feldman D, Gruis K, Feldman E (2011). The association of exposure to lead, mercury, and selenium and the development of amyotrophic lateral sclerosis and the epigenetic implications. Neurodegener Dis, 8: 1-8.</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66147</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Kiernan MC, Vucic S, Cheah BC, Turner MR, et al (2011). Amyotrophic lateral sclerosis. Lancet, 377: 942-55.</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lastRenderedPageBreak/>
              <w:t>66148</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Okamoto K, Kihira T, Kobashi G, Washio M, et al (2009). Fruit and vegetable intake and risk of amyotrophic lateral sclerosis in Japan. Neuroepidemiology, 32: 251-6.</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66149</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Ascherio A, Weisskopf MG, O'Reilly EJ, Jacobs EJ, et al (2005). Vitamin E intake and risk of amyotrophic lateral sclerosis. Ann Neurol, 57: 104-10.</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66150</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King OD, Gilter AD, Shorter J (2012). The tip of the iceberg: RNA-binding proteins with prion-like domains in neurodegenerative disease. Brain Res, 1462: 61-80.</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66151</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Pamphlett R, Ward EC (2012). Smoking is not a risk factor for sporadic amyotrophic lateral sclerosis in an Australian population. Neuroepidemiology, 38: 106-13.</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66152</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de Carvalho M, Swash M (2011). Amyotrophic lateral sclerosis: an update. Curr Opin Neurol, 24: 497-503.</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66153</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Mrabet H, Borhani-Haghighi A, Koseoglu E, Mutlu M, et al (2012). Association of amyotrophic lateral sclerosis and Behcet's disease: is there a relationship? A multi-national case series. Clin Rheumatol, 31: 733-8.</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66154</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Parlett LE, Bowman JD, van Wijngaarden E (2011). Evaluation of occupational exposure to magnetic fields and motor neuron disease mortality in a population-based cohort. JOEM, 53(12): 1447-51.</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66155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Kanavouras K, Tzatzarakis MN, Mastorodemos V, Plaitakis A, Tsatsakis AM (2011). A case report of motor neuron disease in a patient showing significant levels of DDTs, HCHs and organophosphate metabolites in hair as well as levels of hexane and toluene in blood. Toxicol Appl Pharmacol, 256: 399-404.</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66156</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Huynh W, Lam A, Vucic S, Cheah BC, Clouston P, Kiernan MC (2010). Corticospinal tract dysfunction and development of amyotrophic lateral sclerosis following electrical injury. Muscle &amp; Nerve, 42: 288-92.</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66157</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Zhou H, Chen G, Chen C, Yu Y, Xu Z (2012). Association between extremely low-frequency electromagnetic fields occupations and amyotrophic lateral sclerosis: a meta-analysis. PLoS One, 7(11): e48354.</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66158</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Zoccolella S, Masi G, Mezzapesa D, Carnicella F, et al (2008). Motoneuron disease after electric injury: a case report. Neurol Sci, 29: 47-9.</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66159</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Edwards IR, Star K, Kiuru A (2007). Statins, neuromuscular degenerative disease and an amyotrophic lateral sclerosis-like syndrome. Drug Safety, 30(6): 515-25.</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66160</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Goldstein MR, Mascitelli L, Pezzetta F (2008). [Comment] Stations, regulatory T cells and amyotrophic lateral sclerosis. Drug Safety, 31(2): 181; Author's reply: 182-3. Comment on ID: 66159.</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66221</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Kilness AW, Hochberg FH (1977). Amyotrophic lateral sclerosis in a high selenium environment. JAMA, 237(26): 2843-4.</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66222</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Ahmed A, Wicklund MP (2011). Amyotrophic lateral sclerosis: what role does environment play? Neurol Clin, 29: 689-711.</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66223</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Vinceti M, Fiore M, Signorelli C, Odone A et al (2012). Environmental risk factors for amyotrophic lateral sclerosis: methodological issues in epidemiologic studies. Ann Ig, 24: 407-15.</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66224</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Savica R, Parisi JE, Wold LE, Josephs KA, Ahlskog JE (2012). High school football and risk of neurodegeneration: a community-based study. Mayo Clin Proc, 87(4): 335-40.</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66226</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Armon C (2009). Smoking may be considered an established risk factor for sporadic ALS. Neurology, 73: 1693-8.</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66227</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Pupillo E, Messina P, Logroscino G, Zoccolella S, et al (2012). Trauma and amyotrophic lateral sclerosis: a case-control study from a population-based registry. Eur J Neurol, 19: 1509-17.</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66228</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Fordyce FM (1996). Report of field visit and initial data from investigations into the prediction and remediation of human selenium imbalances in Enshi District, Hubei Province, China 8 - 26 November 1995. Technical Report WC/96/7R, . British Geological Survey, Keyworth, Nottingham, 1996.</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lastRenderedPageBreak/>
              <w:t>66229</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Vinceti M, Bonvicini F, Rothman KJ, Vescovi L, Wang F (2010). The relation between amyotrophic lateral sclerosis and inorganic selenium in drinking water: a population-based case-control study. Environ Health, 9: 77.</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66230</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Das K, Nag C, Ghosh M (2012). Familial, environmental, and occupational risk factors in development of amyotrophic lateral sclerosis. N Am J Med Sci, 4(8): 350-5.</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66232</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Rowland LP (2011). HIV-related neuromuscular diseases: nemaline myopathy, amyotrophic lateral sclerosis and bibrachial amyotrophic diplegia. Acta Myologica, 30(1): 29-31.</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66233</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Vinceti M, Bonvicini F, Bergomi M, Malagoli C (2010). Possible involvement of overexposure to environmental selenium in the etiology of amyotrophic lateral sclerosis: a short review. Ann 1st Super Sanita, 46(3): 279-83.</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66234</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Wegorzewska I, Baloh RH (2011). TDP-43-based animal models of neurodegeneration: new insights into ALS pathology and pathophysiology. Neurodegenerative Dis, 8: 262-74.</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66235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Marin B, Couratier P, Preux PM, Logroscino G (2011). Can mortality data be used to estimate amyotrophic lateral sclerosis incidence? Neuroepidemiology, 36: 29-38.</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66236</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McCombe PA, Henderson RD (2011). The role of immune and inflammatory mechanisms in ALS. Current Molecular Medicine, 11: 246-54.</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66237</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Yang G, Wang S, Zhou R, Sun S (1983). Endemic selenium intoxication of humans in China. Am J Clin Nutr, 37: 872-81.</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66238</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Beghi E, Pupillo E, Messina P, Giussani G, et al (2011). Coffee and amyotrophic lateral sclerosis: a possible preventive role. Am J Epidemiol, 174(9): 1002-8.</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66239</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Fang F, Chen H, Wirdefeldt K, Ronnevi LO, et al (2011). Infection of the central nervous system, sepsis and amyotrophic lateral sclerosis. PLoS One, 6(12): e29749.</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66240</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Wang H, O'Reilly EJ, Weisskopf MG, Logroscino G, et al (2011). Vitamin E intake and risk of amyotrophic lateral sclerosis: a pooled analysis of data from 5 prospective cohort studies. Am J Epidemiol, 173(6): 595-602.</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66241</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Kamel F, Umbach DM, Stallone L, Richards M, Hu H, Sandler DP (2008). Association of lead exposure with survival in amyotrophic lateral sclerosis. Environ Health Perspect, 116(7): 943-7.</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66348</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Vinceti M, Maraldi T, Bergomi M, Malagoli C (2009). Risk of chronic low-dose selenium overexposure in humans: Insights from epidemiology and biochemistry. Rev Environ Health, 24(3): 231-48.</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66380</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Armon C (2007). Sports and trauma in amyotrophic lateral sclerosis revisited. Journal of the Neurological Sciences, 262: 45-3.</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66381</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Sorensen HT, Lash TL (2009). Statins and amyotrophic lateral sclerosis - the level of evidence for an association. Journal of Internal Medicine, 266: 520-6.</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66649</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Abel EL (2007). Football increases the risk of Lou Gehrig's disease, amyotrophic lateral sclerosis. Perceptual and Motor Skills, 104: 1251-4.</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66650</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Orsini M, de Freitas MR, Silva JG, Sohler MP, et al (2012). Motor neuron disease and acquired axonal neuropathy association in HIV infection: case report and update. Current HIV Research, 10: 694-9.</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66651</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Binazzi A, Belli S, Uccelli R, Desiato MT, et al (2009). An explanatory case-control study on spinal and bulbar forms of amyotrophic lateral sclerosis in the province of Rom. Amyotrophic Lateral Sclerosis, 10: 361-9.</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66652</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Brown RH (2012). Amyotrophic lateral sclerosis. Section 2, Chapter 374, .  Retrieved 16 January 2013, from http://accessmedicine.com/content.aspx?aid=9146812</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66653</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de Jong SW, Huisman MH, Sutedja NA, van der Kooi AJ, et al (2012). Smoking, alcohol consumption, and the risk of amyotrophic lateral sclerosis: a population-based study. Am J Epidemiol, 176(3): 233-9.</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66654</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Steele JC, McGeer PL (2008). The ALS/PDC syndrome of Guam and the cycad hypothesis. Neurology, 70(21): 1984-90. [Abstract]</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lastRenderedPageBreak/>
              <w:t>66655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Ohtani M, Sugita M, Maruyama k (2006). Amino acid mixture improves training efficiency in athletes. J Nutr, 136(2): 538S-43S. [Abstract]</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66656</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Khabazian I, Bains JS, Williams DE, Cheung J, et al (2002). Isolation of various forms of sterol beta-D-glucoside from the seed of Cycas circinalis: neurotoxicity and implications for ALS-parkinsonism dementia complex. J Neurochem, 82(3): 516-28. [Abstract]</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66657</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Kusama-Eguchi K, Yoshino N, Minoura A, Watanabe K, et al (2011). Sulfur amino acids deficiency caused by grass pea diet plays an important role in the toxicity of L-B-ODAP by increasing the oxidative stress: studies on a motor neuron cell line. Food Chem Toxicol, 49(3): 636-43. [Abstract]</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66658</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Calza L, Manfredi R, Freo E, Farneti B, et al (2004). Transient reversal of HIV-associated motor neuron disease following the introduction of highly active antiretroviral therapy. J Chemother, 16(1): 98-101. [Abstract]</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66660</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Jubelt B (1992). Motor neuron diseases and viruses: poliovirus, retroviruses, and lymphomas. Current Opinion in Neurology and Neurosurgery, 5(5): 655-8. [Abstract]</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66661</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Carunchio I, Curcio L, Pieri M, Pica F, et al (2010). Increased levels of P70S6 phosphorylation in the G93A mouse model of amyotrophic lateral sclerosis and in valine-exposed cortical neurons in culture. Exp Neurol, 226(1): 218-30. [Abstract]</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66662</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Marcilio I, Gouveia N, Pereira Filho ML, Kheifets L (2011). Adult mortality from leukemia, brain cancer, amyotrophic lateral sclerosis and magnetic fields from power lines: a case-control study in Brazil. Rev Bras Epidemiol, 14(4): 580-8. [Abstract]</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66663</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Lyons J, Venna N, Cho TA (2011). Atypical nervous system manifestations of HIV. Semin Neurol, 31(3): 254-65. [Abstract]</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66664</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Moulignier A, Moulonguet A, Pialoux G, Rozenbaum W (2001). Reversible ALS-like disorder in HIV infection. Neurology, 57(6): 995-1001. [Abstract]</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66665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US National Library of Medicine (2011). Lead levels - blood. .  Retrieved 17 January 2013, from http://www.nlm.nih.gov/medlineplus/ency/article/003360.htm</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66666</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Xie RG, Zheng DW, Xing JL, Zhang XJ, et al (2011). Blockade of persistent sodium currents contributes to the Riluzole-induced inhibitors of spontaneous activity and oscillations in injured DRG neurons. PLoS One, 6(4): e18681.</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66667</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Berger JR (2001). HIV-related motor neuron disease. .  Retrieved 17 January 2013, from http://neurology.jwatch.org/cgi/content/full/2001/1220/1</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66668</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Golomb B, Kwon EK, Koperski S, Evans MA (2009). Amyotrophic lateral sclerosis-like conditions in possible association with cholesterol-lowering drugs: an analysis of patient reports to the University of California, San Diego (UCSD) Statin Effects Study. Drug Saf, 32(8): 649-61. [Abstract]</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66669</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Ganrot PO (1986). Metabolism and possible health effects of aluminium. Environ Health Perspect, 65: 363-441.</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66670</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Wang H, O'Reilly EJ, Weisskopf MG, Logroscino G, et al (2011). Smoking and risk of amyotrophic lateral sclerosis: a pooled analysis of five prospective cohorts. Arch Neurol, 68(2): 207-13.</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66671</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Lee PN, Hamling J (2009). Systemic review of the relation between smokeless tobacco and cancer in Europe and North America. BMC Medicine, 7: 36.</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66672</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Murinson BB, Haughey NJ, Maragakis NJ (2012). Selected statins produce rapid spinal motor neuron loss in vitro. BMC Musculoskeletal Disorders, 13: 100.</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66793</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Lehman EJ, Hein MJ, Baron SL, Gersic CM (2012). Neurodegenerative causes of death among retired National Football League players. Neurology, 79: 1970-4.</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67124</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Peters TL, Fang F, Weibull CE, Sandler DP, et al (2013). Severe head injury and amyotrophic lateral sclerosis. Amyotrophic Lateral Sclerosis and Frontotemporal Degeneration, : Epub ahead of print.</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67281</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Institute of Medicine (2003). Oral, nasal, and laryngeal cancers. Gulf War and Health: Insecticides and Solvents,  Vol 2: 101-2. National Academies Press - Washington, DC.</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lastRenderedPageBreak/>
              <w:t>67282</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Institute of Medicine (2011). Amyotrophic lateral sclerosis. Veterans &amp; Agent Orange: Update 2010,  Chapter 9: 627-30. National Academies Press - Washington, DC.</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67283</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Institute of Medicine (2005). Amyotrophic lateral sclerosis. Veterans &amp; Agent Orange: Update 2004,  Chapter 8: 420-3. National Academies Press - Washington, DC.</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67284</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Pieri M, Carunchio I, Curcio L, Mercuri NB, et al (2009). Increased persistent sodium current determines cortical hyperexcitability in a genetic model of amyotrophic lateral sclerosis. Experimental Neurology, 215: 368-79.</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79714</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Seelen M, van Doormaal PT,Visser AE, et al (2014). Prior medical conditions and the risk of amyotrophic lateral sclerosis. J Neurol, 261(10): 1949-56.</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79715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Armon C, Albert SM (2015). A blow to the head trauma--ALS hypothesis. Neurology, 84(17): 1728-9.</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79945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Wang MD, Little J, Gomes J, et al (2016). Identification of risk factors associated with onset and progression of amyotrophic lateral sclerosis using systematic review and meta-analysis. Neurotoxicology, : Epub ahead of print.</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80148</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Weisskopf MG, Cudkowicz ME, Johnson N (2015). Military service and amyotrophic lateral sclerosis in a population-based cohort. Epidemiol, 26(6): 831-8.</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80149</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Seals RM, Kioumourtzoglou M-A, Hansen J,et al (2016). Amyotrophic lateral sclerosis and the military: a population-based study in the Danish Registries. Epidemiol, 27(2): 188-93.</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80150</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Seals RM, Hansen J, Gredal O, et al (2016). Physical trauma and amyotrophic lateral sclerosis: a population-based study using Danish National Registries. Am J Epidemiol, 183(4): 294-301.</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81005</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Beghi E (2013). Are professional soccer players at higher risk for ALS? Amyotrophic Lateral Sclerosis and Frontotemporal Degeneration, 14(7-8): 501-6.</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81006</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Drouet A, Desjeux G, Balaire C, et al (2010). Retrospective study of ALS in French military personnel [article in French]. Revue Neurologique, 166: 621-9.</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81007</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Daneshvar DH, Goldstein LE, Kiernan PT, et al (2015). Post-traumatic neurodegeneration and chronic traumatic encephalopathy. Molecular and Cellular Neuroscience, 66: 81-90.</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81008</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Fournier CN, Gearing M, Upadhyayula SR, et al (2015). Head injury does not alter disease progression or neuropathologic outcomes in ALS. Neurology, 84: 1788-95.</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81009</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Beard JD, Engel LS, Richardson DB, et al (2016). Military service, deployments, and exposures in relation to amyotrophic lateral sclerosis etiology. Environment International, 91: 104-15.</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81340</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Chio A, Meineri P, Tribolo A, et al (1991). Risk factors in motor neuron disease: a case-control study. Neuroepidemiology, 10(4): 174-84.</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81467</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Evans TM, Jaramillo CA, Sataranatarajan K, et al (2015). The effect of mild traumatic brain injury on peripheral nervous system pathology in wild type mice and the G93A mutant mouse model of motor neuron disease. Neuroscience, 298(410-23): .</w:t>
            </w:r>
          </w:p>
        </w:tc>
      </w:tr>
      <w:tr w:rsidR="004C6217" w:rsidRPr="00E35C06" w:rsidTr="004C6217">
        <w:trPr>
          <w:cantSplit/>
        </w:trPr>
        <w:tc>
          <w:tcPr>
            <w:tcW w:w="464" w:type="pct"/>
            <w:shd w:val="clear" w:color="auto" w:fill="auto"/>
            <w:noWrap/>
            <w:vAlign w:val="center"/>
            <w:hideMark/>
          </w:tcPr>
          <w:p w:rsidR="004C6217" w:rsidRPr="00E35C06" w:rsidRDefault="004C6217" w:rsidP="00941B98">
            <w:pPr>
              <w:jc w:val="right"/>
              <w:rPr>
                <w:color w:val="000000"/>
                <w:szCs w:val="22"/>
              </w:rPr>
            </w:pPr>
            <w:r w:rsidRPr="00E35C06">
              <w:rPr>
                <w:color w:val="000000"/>
                <w:szCs w:val="22"/>
              </w:rPr>
              <w:t>81471</w:t>
            </w:r>
          </w:p>
        </w:tc>
        <w:tc>
          <w:tcPr>
            <w:tcW w:w="4536" w:type="pct"/>
            <w:shd w:val="clear" w:color="auto" w:fill="auto"/>
            <w:vAlign w:val="bottom"/>
            <w:hideMark/>
          </w:tcPr>
          <w:p w:rsidR="004C6217" w:rsidRPr="00E35C06" w:rsidRDefault="004C6217" w:rsidP="004C6217">
            <w:pPr>
              <w:spacing w:line="240" w:lineRule="auto"/>
              <w:rPr>
                <w:color w:val="000000"/>
                <w:szCs w:val="22"/>
              </w:rPr>
            </w:pPr>
            <w:r w:rsidRPr="00E35C06">
              <w:rPr>
                <w:color w:val="000000"/>
                <w:szCs w:val="22"/>
              </w:rPr>
              <w:t>Thomsen GM, Vit JP, Lamb A, et al (2015). Acute traumatic brain injury does not exacerbate Amyotrophic Lateral Sclerosis in the SOD1 (G93A) Rat Model (1, 2, 3). eNeuro, 2: 1-8.</w:t>
            </w:r>
          </w:p>
        </w:tc>
      </w:tr>
    </w:tbl>
    <w:p w:rsidR="004C6217" w:rsidRDefault="004C6217" w:rsidP="004C6217"/>
    <w:p w:rsidR="004C6217" w:rsidRDefault="004C6217" w:rsidP="004C6217"/>
    <w:p w:rsidR="00037AE2" w:rsidRDefault="00037AE2" w:rsidP="00037AE2">
      <w:pPr>
        <w:pStyle w:val="BodyTextIndent"/>
        <w:ind w:hanging="720"/>
        <w:jc w:val="center"/>
        <w:rPr>
          <w:sz w:val="23"/>
          <w:szCs w:val="23"/>
        </w:rPr>
      </w:pPr>
      <w:r>
        <w:rPr>
          <w:noProof/>
          <w:sz w:val="23"/>
          <w:szCs w:val="23"/>
        </w:rPr>
        <w:lastRenderedPageBreak/>
        <w:drawing>
          <wp:anchor distT="0" distB="0" distL="114300" distR="114300" simplePos="0" relativeHeight="251659264" behindDoc="0" locked="0" layoutInCell="1" allowOverlap="1" wp14:anchorId="18908FBD" wp14:editId="7CE70439">
            <wp:simplePos x="0" y="0"/>
            <wp:positionH relativeFrom="column">
              <wp:posOffset>1395730</wp:posOffset>
            </wp:positionH>
            <wp:positionV relativeFrom="paragraph">
              <wp:posOffset>-568960</wp:posOffset>
            </wp:positionV>
            <wp:extent cx="3067050" cy="94297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7050" cy="942975"/>
                    </a:xfrm>
                    <a:prstGeom prst="rect">
                      <a:avLst/>
                    </a:prstGeom>
                    <a:noFill/>
                  </pic:spPr>
                </pic:pic>
              </a:graphicData>
            </a:graphic>
            <wp14:sizeRelH relativeFrom="page">
              <wp14:pctWidth>0</wp14:pctWidth>
            </wp14:sizeRelH>
            <wp14:sizeRelV relativeFrom="page">
              <wp14:pctHeight>0</wp14:pctHeight>
            </wp14:sizeRelV>
          </wp:anchor>
        </w:drawing>
      </w:r>
    </w:p>
    <w:p w:rsidR="00037AE2" w:rsidRPr="00B03B34" w:rsidRDefault="00037AE2" w:rsidP="00037AE2">
      <w:pPr>
        <w:pStyle w:val="BodyTextIndent"/>
        <w:ind w:hanging="720"/>
        <w:jc w:val="left"/>
        <w:rPr>
          <w:sz w:val="28"/>
          <w:szCs w:val="28"/>
        </w:rPr>
      </w:pPr>
      <w:r w:rsidRPr="00B03B34">
        <w:rPr>
          <w:sz w:val="28"/>
          <w:szCs w:val="28"/>
        </w:rPr>
        <w:t>APPENDIX A</w:t>
      </w:r>
    </w:p>
    <w:p w:rsidR="00037AE2" w:rsidRDefault="00037AE2" w:rsidP="00037AE2">
      <w:pPr>
        <w:pStyle w:val="BodyTextIndent"/>
        <w:ind w:hanging="720"/>
        <w:jc w:val="center"/>
        <w:rPr>
          <w:sz w:val="25"/>
          <w:szCs w:val="25"/>
        </w:rPr>
      </w:pPr>
    </w:p>
    <w:p w:rsidR="00037AE2" w:rsidRPr="00B03B34" w:rsidRDefault="00037AE2" w:rsidP="00037AE2">
      <w:pPr>
        <w:pStyle w:val="BodyTextIndent"/>
        <w:ind w:hanging="720"/>
        <w:jc w:val="center"/>
        <w:rPr>
          <w:sz w:val="24"/>
          <w:szCs w:val="24"/>
        </w:rPr>
      </w:pPr>
      <w:r w:rsidRPr="00B03B34">
        <w:rPr>
          <w:sz w:val="24"/>
          <w:szCs w:val="24"/>
        </w:rPr>
        <w:t xml:space="preserve">Information received in relation to investigation 136-5 </w:t>
      </w:r>
    </w:p>
    <w:p w:rsidR="00037AE2" w:rsidRPr="00B03B34" w:rsidRDefault="00037AE2" w:rsidP="00037AE2">
      <w:pPr>
        <w:pStyle w:val="BodyTextIndent"/>
        <w:ind w:hanging="720"/>
        <w:jc w:val="center"/>
        <w:rPr>
          <w:sz w:val="24"/>
          <w:szCs w:val="24"/>
        </w:rPr>
      </w:pPr>
      <w:r w:rsidRPr="00B03B34">
        <w:rPr>
          <w:sz w:val="24"/>
          <w:szCs w:val="24"/>
        </w:rPr>
        <w:t>concerning motor neurone disease as at 7 June 2017</w:t>
      </w:r>
    </w:p>
    <w:p w:rsidR="00037AE2" w:rsidRPr="00B03B34" w:rsidRDefault="00037AE2" w:rsidP="00037AE2">
      <w:pPr>
        <w:pStyle w:val="BodyText"/>
        <w:jc w:val="both"/>
        <w:rPr>
          <w:szCs w:val="24"/>
        </w:rPr>
      </w:pPr>
    </w:p>
    <w:p w:rsidR="00037AE2" w:rsidRPr="00B03B34" w:rsidRDefault="00037AE2" w:rsidP="00037AE2">
      <w:pPr>
        <w:spacing w:after="120"/>
        <w:jc w:val="both"/>
        <w:outlineLvl w:val="0"/>
        <w:rPr>
          <w:b/>
          <w:sz w:val="24"/>
        </w:rPr>
      </w:pPr>
      <w:r w:rsidRPr="00B03B34">
        <w:rPr>
          <w:b/>
          <w:sz w:val="24"/>
        </w:rPr>
        <w:t>1.</w:t>
      </w:r>
      <w:r w:rsidRPr="00B03B34">
        <w:rPr>
          <w:b/>
          <w:sz w:val="24"/>
        </w:rPr>
        <w:tab/>
        <w:t>Submissions</w:t>
      </w:r>
    </w:p>
    <w:p w:rsidR="00037AE2" w:rsidRPr="00B03B34" w:rsidRDefault="00037AE2" w:rsidP="00037AE2">
      <w:pPr>
        <w:numPr>
          <w:ilvl w:val="1"/>
          <w:numId w:val="19"/>
        </w:numPr>
        <w:spacing w:line="240" w:lineRule="auto"/>
        <w:jc w:val="both"/>
        <w:rPr>
          <w:sz w:val="24"/>
        </w:rPr>
      </w:pPr>
      <w:r w:rsidRPr="00AF05E8">
        <w:rPr>
          <w:sz w:val="24"/>
          <w:highlight w:val="black"/>
        </w:rPr>
        <w:t>Mr Tim McCombe,</w:t>
      </w:r>
      <w:r w:rsidRPr="00B03B34">
        <w:rPr>
          <w:sz w:val="24"/>
        </w:rPr>
        <w:t xml:space="preserve"> State President VVAA NSW, 19 November 1994 (unable to be located);</w:t>
      </w:r>
    </w:p>
    <w:p w:rsidR="00037AE2" w:rsidRPr="00B03B34" w:rsidRDefault="00037AE2" w:rsidP="00037AE2">
      <w:pPr>
        <w:numPr>
          <w:ilvl w:val="1"/>
          <w:numId w:val="19"/>
        </w:numPr>
        <w:spacing w:line="240" w:lineRule="auto"/>
        <w:jc w:val="both"/>
        <w:rPr>
          <w:sz w:val="24"/>
        </w:rPr>
      </w:pPr>
      <w:r w:rsidRPr="00AF05E8">
        <w:rPr>
          <w:sz w:val="24"/>
          <w:highlight w:val="black"/>
        </w:rPr>
        <w:t>Ms Sue Boone,</w:t>
      </w:r>
      <w:r w:rsidRPr="00B03B34">
        <w:rPr>
          <w:sz w:val="24"/>
        </w:rPr>
        <w:t xml:space="preserve"> Department of Veterans' Affairs (Manager VAN), 20 January 1995 (176468R);</w:t>
      </w:r>
    </w:p>
    <w:p w:rsidR="00037AE2" w:rsidRPr="00B03B34" w:rsidRDefault="00037AE2" w:rsidP="00037AE2">
      <w:pPr>
        <w:numPr>
          <w:ilvl w:val="1"/>
          <w:numId w:val="19"/>
        </w:numPr>
        <w:spacing w:line="240" w:lineRule="auto"/>
        <w:jc w:val="both"/>
        <w:rPr>
          <w:sz w:val="24"/>
        </w:rPr>
      </w:pPr>
      <w:r w:rsidRPr="00B03B34">
        <w:rPr>
          <w:sz w:val="24"/>
        </w:rPr>
        <w:t>Department of Veterans’ Affairs, 13 April 1995 (submission for consideration of the Authority prior to the initial determination of SOPs concerning motor neuron disease Numbers 245 and 246 of 1995, including draft SOPs and reference list) (14332R &amp; 176471R);</w:t>
      </w:r>
    </w:p>
    <w:p w:rsidR="00037AE2" w:rsidRPr="00B03B34" w:rsidRDefault="00037AE2" w:rsidP="00037AE2">
      <w:pPr>
        <w:numPr>
          <w:ilvl w:val="1"/>
          <w:numId w:val="19"/>
        </w:numPr>
        <w:spacing w:line="240" w:lineRule="auto"/>
        <w:jc w:val="both"/>
        <w:rPr>
          <w:sz w:val="24"/>
        </w:rPr>
      </w:pPr>
      <w:r w:rsidRPr="00AF05E8">
        <w:rPr>
          <w:sz w:val="24"/>
          <w:highlight w:val="black"/>
        </w:rPr>
        <w:t>Mr Geoff Trevor-Hunt</w:t>
      </w:r>
      <w:r w:rsidRPr="00B03B34">
        <w:rPr>
          <w:sz w:val="24"/>
        </w:rPr>
        <w:t>, National Secretary, VVAA, 25 April 1995 (156319R);</w:t>
      </w:r>
    </w:p>
    <w:p w:rsidR="00037AE2" w:rsidRPr="00B03B34" w:rsidRDefault="00037AE2" w:rsidP="00037AE2">
      <w:pPr>
        <w:numPr>
          <w:ilvl w:val="1"/>
          <w:numId w:val="19"/>
        </w:numPr>
        <w:spacing w:line="240" w:lineRule="auto"/>
        <w:jc w:val="both"/>
        <w:rPr>
          <w:sz w:val="24"/>
        </w:rPr>
      </w:pPr>
      <w:r w:rsidRPr="00AF05E8">
        <w:rPr>
          <w:sz w:val="24"/>
          <w:highlight w:val="black"/>
        </w:rPr>
        <w:t>Mr Geoff Trevor-Hunt</w:t>
      </w:r>
      <w:r w:rsidRPr="00B03B34">
        <w:rPr>
          <w:sz w:val="24"/>
        </w:rPr>
        <w:t>, National Secretary, VVAA, undated (received 10 May 1995) (156320R);</w:t>
      </w:r>
    </w:p>
    <w:p w:rsidR="00037AE2" w:rsidRPr="00B03B34" w:rsidRDefault="00037AE2" w:rsidP="00037AE2">
      <w:pPr>
        <w:numPr>
          <w:ilvl w:val="1"/>
          <w:numId w:val="19"/>
        </w:numPr>
        <w:spacing w:line="240" w:lineRule="auto"/>
        <w:jc w:val="both"/>
        <w:rPr>
          <w:sz w:val="24"/>
        </w:rPr>
      </w:pPr>
      <w:r w:rsidRPr="00B03B34">
        <w:rPr>
          <w:sz w:val="24"/>
        </w:rPr>
        <w:t>RMA medical researcher letter, 15 May 1995 (176460R);</w:t>
      </w:r>
    </w:p>
    <w:p w:rsidR="00037AE2" w:rsidRPr="00B03B34" w:rsidRDefault="00037AE2" w:rsidP="00037AE2">
      <w:pPr>
        <w:numPr>
          <w:ilvl w:val="1"/>
          <w:numId w:val="19"/>
        </w:numPr>
        <w:spacing w:line="240" w:lineRule="auto"/>
        <w:jc w:val="both"/>
        <w:rPr>
          <w:sz w:val="24"/>
        </w:rPr>
      </w:pPr>
      <w:r w:rsidRPr="00AF05E8">
        <w:rPr>
          <w:sz w:val="24"/>
          <w:highlight w:val="black"/>
        </w:rPr>
        <w:t>Mr Clive Brickhill,</w:t>
      </w:r>
      <w:r w:rsidRPr="00B03B34">
        <w:rPr>
          <w:sz w:val="24"/>
        </w:rPr>
        <w:t xml:space="preserve"> 26 June 1996 (156321R);</w:t>
      </w:r>
    </w:p>
    <w:p w:rsidR="00037AE2" w:rsidRPr="00B03B34" w:rsidRDefault="00037AE2" w:rsidP="00037AE2">
      <w:pPr>
        <w:numPr>
          <w:ilvl w:val="1"/>
          <w:numId w:val="19"/>
        </w:numPr>
        <w:spacing w:line="240" w:lineRule="auto"/>
        <w:jc w:val="both"/>
        <w:rPr>
          <w:sz w:val="24"/>
        </w:rPr>
      </w:pPr>
      <w:r w:rsidRPr="00AF05E8">
        <w:rPr>
          <w:sz w:val="24"/>
          <w:highlight w:val="black"/>
        </w:rPr>
        <w:t>Mr Len Asmith,</w:t>
      </w:r>
      <w:r w:rsidRPr="00B03B34">
        <w:rPr>
          <w:sz w:val="24"/>
        </w:rPr>
        <w:t xml:space="preserve"> RSL Queensland Branch, 24 September 1996 (156331R);</w:t>
      </w:r>
    </w:p>
    <w:p w:rsidR="00037AE2" w:rsidRPr="00B03B34" w:rsidRDefault="00037AE2" w:rsidP="00037AE2">
      <w:pPr>
        <w:numPr>
          <w:ilvl w:val="1"/>
          <w:numId w:val="19"/>
        </w:numPr>
        <w:spacing w:line="240" w:lineRule="auto"/>
        <w:jc w:val="both"/>
        <w:rPr>
          <w:sz w:val="24"/>
        </w:rPr>
      </w:pPr>
      <w:r w:rsidRPr="00AF05E8">
        <w:rPr>
          <w:sz w:val="24"/>
          <w:highlight w:val="black"/>
        </w:rPr>
        <w:t>Mr W Scales</w:t>
      </w:r>
      <w:r w:rsidRPr="00B03B34">
        <w:rPr>
          <w:sz w:val="24"/>
        </w:rPr>
        <w:t>, Chairman Adelaide Legacy, 24 March 1997 (148062R);</w:t>
      </w:r>
    </w:p>
    <w:p w:rsidR="00037AE2" w:rsidRPr="00B03B34" w:rsidRDefault="00037AE2" w:rsidP="00037AE2">
      <w:pPr>
        <w:numPr>
          <w:ilvl w:val="1"/>
          <w:numId w:val="19"/>
        </w:numPr>
        <w:spacing w:line="240" w:lineRule="auto"/>
        <w:jc w:val="both"/>
        <w:rPr>
          <w:sz w:val="24"/>
        </w:rPr>
      </w:pPr>
      <w:r w:rsidRPr="00AF05E8">
        <w:rPr>
          <w:sz w:val="24"/>
          <w:highlight w:val="black"/>
        </w:rPr>
        <w:t>Mr Alan Gawlor,</w:t>
      </w:r>
      <w:r w:rsidRPr="00B03B34">
        <w:rPr>
          <w:sz w:val="24"/>
        </w:rPr>
        <w:t xml:space="preserve"> Chairman Legacy National Pensions Committee, 23 April 1997 (148061R);</w:t>
      </w:r>
    </w:p>
    <w:p w:rsidR="00037AE2" w:rsidRPr="00B03B34" w:rsidRDefault="00037AE2" w:rsidP="00037AE2">
      <w:pPr>
        <w:numPr>
          <w:ilvl w:val="1"/>
          <w:numId w:val="19"/>
        </w:numPr>
        <w:spacing w:line="240" w:lineRule="auto"/>
        <w:jc w:val="both"/>
        <w:rPr>
          <w:sz w:val="24"/>
        </w:rPr>
      </w:pPr>
      <w:r w:rsidRPr="00B03B34">
        <w:rPr>
          <w:sz w:val="24"/>
        </w:rPr>
        <w:t>RMA medical researcher file minute ‘Correspondence re Motor Neuron Disease and exposure to heavy metals’, 24 April 1997 (148058R);</w:t>
      </w:r>
    </w:p>
    <w:p w:rsidR="00037AE2" w:rsidRPr="00B03B34" w:rsidRDefault="00037AE2" w:rsidP="00037AE2">
      <w:pPr>
        <w:numPr>
          <w:ilvl w:val="1"/>
          <w:numId w:val="19"/>
        </w:numPr>
        <w:spacing w:line="240" w:lineRule="auto"/>
        <w:jc w:val="both"/>
        <w:rPr>
          <w:sz w:val="24"/>
        </w:rPr>
      </w:pPr>
      <w:r w:rsidRPr="00B03B34">
        <w:rPr>
          <w:sz w:val="24"/>
        </w:rPr>
        <w:t>RMA medical researcher file minute ‘Trauma and Motor Neuron Disease’, undated 1997 (</w:t>
      </w:r>
      <w:r>
        <w:rPr>
          <w:sz w:val="24"/>
        </w:rPr>
        <w:t>148060R</w:t>
      </w:r>
      <w:r w:rsidRPr="00B03B34">
        <w:rPr>
          <w:sz w:val="24"/>
        </w:rPr>
        <w:t>);</w:t>
      </w:r>
    </w:p>
    <w:p w:rsidR="00037AE2" w:rsidRPr="00B03B34" w:rsidRDefault="00037AE2" w:rsidP="00037AE2">
      <w:pPr>
        <w:numPr>
          <w:ilvl w:val="1"/>
          <w:numId w:val="19"/>
        </w:numPr>
        <w:spacing w:line="240" w:lineRule="auto"/>
        <w:jc w:val="both"/>
        <w:rPr>
          <w:sz w:val="24"/>
        </w:rPr>
      </w:pPr>
      <w:r w:rsidRPr="00B03B34">
        <w:rPr>
          <w:sz w:val="24"/>
        </w:rPr>
        <w:t>RMA medical researcher discussion paper re Motor Neuron Disease, 12 August 1997 (147674R);</w:t>
      </w:r>
    </w:p>
    <w:p w:rsidR="00037AE2" w:rsidRPr="00B03B34" w:rsidRDefault="00037AE2" w:rsidP="00037AE2">
      <w:pPr>
        <w:numPr>
          <w:ilvl w:val="1"/>
          <w:numId w:val="19"/>
        </w:numPr>
        <w:spacing w:line="240" w:lineRule="auto"/>
        <w:jc w:val="both"/>
        <w:rPr>
          <w:sz w:val="24"/>
        </w:rPr>
      </w:pPr>
      <w:r w:rsidRPr="00AF05E8">
        <w:rPr>
          <w:sz w:val="24"/>
          <w:highlight w:val="black"/>
        </w:rPr>
        <w:t>Mr Trevor Peterson,</w:t>
      </w:r>
      <w:r w:rsidRPr="00B03B34">
        <w:rPr>
          <w:sz w:val="24"/>
        </w:rPr>
        <w:t xml:space="preserve"> 19 January 1998 (156348R);</w:t>
      </w:r>
    </w:p>
    <w:p w:rsidR="00037AE2" w:rsidRPr="00B03B34" w:rsidRDefault="00037AE2" w:rsidP="00037AE2">
      <w:pPr>
        <w:numPr>
          <w:ilvl w:val="1"/>
          <w:numId w:val="19"/>
        </w:numPr>
        <w:spacing w:line="240" w:lineRule="auto"/>
        <w:jc w:val="both"/>
        <w:rPr>
          <w:sz w:val="24"/>
        </w:rPr>
      </w:pPr>
      <w:r w:rsidRPr="00AF05E8">
        <w:rPr>
          <w:sz w:val="24"/>
          <w:highlight w:val="black"/>
        </w:rPr>
        <w:t>Mr Alan Lockett,</w:t>
      </w:r>
      <w:r w:rsidRPr="00B03B34">
        <w:rPr>
          <w:sz w:val="24"/>
        </w:rPr>
        <w:t xml:space="preserve"> Regular Defence Force Welfare Association, 17 June 1999 (request for investigation) (156349R);</w:t>
      </w:r>
    </w:p>
    <w:p w:rsidR="00037AE2" w:rsidRPr="00B03B34" w:rsidRDefault="00037AE2" w:rsidP="00037AE2">
      <w:pPr>
        <w:numPr>
          <w:ilvl w:val="1"/>
          <w:numId w:val="19"/>
        </w:numPr>
        <w:spacing w:line="240" w:lineRule="auto"/>
        <w:jc w:val="both"/>
        <w:rPr>
          <w:sz w:val="24"/>
        </w:rPr>
      </w:pPr>
      <w:r w:rsidRPr="00AF05E8">
        <w:rPr>
          <w:sz w:val="24"/>
          <w:highlight w:val="black"/>
        </w:rPr>
        <w:t>Mrs Jean Williams</w:t>
      </w:r>
      <w:r w:rsidRPr="00B03B34">
        <w:rPr>
          <w:sz w:val="24"/>
        </w:rPr>
        <w:t>, 26 June 1999 (156350R);</w:t>
      </w:r>
    </w:p>
    <w:p w:rsidR="00037AE2" w:rsidRPr="00B03B34" w:rsidRDefault="00037AE2" w:rsidP="00037AE2">
      <w:pPr>
        <w:numPr>
          <w:ilvl w:val="1"/>
          <w:numId w:val="19"/>
        </w:numPr>
        <w:spacing w:line="240" w:lineRule="auto"/>
        <w:jc w:val="both"/>
        <w:rPr>
          <w:sz w:val="24"/>
        </w:rPr>
      </w:pPr>
      <w:r w:rsidRPr="00AF05E8">
        <w:rPr>
          <w:sz w:val="24"/>
          <w:highlight w:val="black"/>
        </w:rPr>
        <w:t>Mr Robert Keates</w:t>
      </w:r>
      <w:r w:rsidRPr="00B03B34">
        <w:rPr>
          <w:sz w:val="24"/>
        </w:rPr>
        <w:t>, 24 January 2000 (156365R);</w:t>
      </w:r>
    </w:p>
    <w:p w:rsidR="00037AE2" w:rsidRPr="00B03B34" w:rsidRDefault="00037AE2" w:rsidP="00037AE2">
      <w:pPr>
        <w:numPr>
          <w:ilvl w:val="1"/>
          <w:numId w:val="19"/>
        </w:numPr>
        <w:spacing w:line="240" w:lineRule="auto"/>
        <w:jc w:val="both"/>
        <w:rPr>
          <w:sz w:val="24"/>
        </w:rPr>
      </w:pPr>
      <w:r w:rsidRPr="00B03B34">
        <w:rPr>
          <w:sz w:val="24"/>
        </w:rPr>
        <w:t>RMA medical researcher briefing paper ‘Motor Neuron Disease’, April 2001 (156366R);</w:t>
      </w:r>
    </w:p>
    <w:p w:rsidR="00037AE2" w:rsidRPr="00B03B34" w:rsidRDefault="00037AE2" w:rsidP="00037AE2">
      <w:pPr>
        <w:numPr>
          <w:ilvl w:val="1"/>
          <w:numId w:val="19"/>
        </w:numPr>
        <w:spacing w:line="240" w:lineRule="auto"/>
        <w:jc w:val="both"/>
        <w:rPr>
          <w:sz w:val="24"/>
        </w:rPr>
      </w:pPr>
      <w:r w:rsidRPr="00B03B34">
        <w:rPr>
          <w:sz w:val="24"/>
        </w:rPr>
        <w:t>RMA medical researcher letter, 12 December 2002 (156351R);</w:t>
      </w:r>
    </w:p>
    <w:p w:rsidR="00037AE2" w:rsidRPr="00B03B34" w:rsidRDefault="00037AE2" w:rsidP="00037AE2">
      <w:pPr>
        <w:numPr>
          <w:ilvl w:val="1"/>
          <w:numId w:val="19"/>
        </w:numPr>
        <w:spacing w:line="240" w:lineRule="auto"/>
        <w:jc w:val="both"/>
        <w:rPr>
          <w:sz w:val="24"/>
        </w:rPr>
      </w:pPr>
      <w:r w:rsidRPr="00B03B34">
        <w:rPr>
          <w:sz w:val="24"/>
        </w:rPr>
        <w:t>Mrs Jean Martin, 4 March 2004 (request for investigation) (156371R);</w:t>
      </w:r>
    </w:p>
    <w:p w:rsidR="00037AE2" w:rsidRPr="00B03B34" w:rsidRDefault="00037AE2" w:rsidP="00037AE2">
      <w:pPr>
        <w:numPr>
          <w:ilvl w:val="1"/>
          <w:numId w:val="19"/>
        </w:numPr>
        <w:spacing w:line="240" w:lineRule="auto"/>
        <w:jc w:val="both"/>
        <w:rPr>
          <w:sz w:val="24"/>
        </w:rPr>
      </w:pPr>
      <w:r w:rsidRPr="00B03B34">
        <w:rPr>
          <w:sz w:val="24"/>
        </w:rPr>
        <w:t>RMA medical researcher discussion paper ‘Motor neurone disease and stress’, April 2004 (156373R);</w:t>
      </w:r>
    </w:p>
    <w:p w:rsidR="00037AE2" w:rsidRPr="00B03B34" w:rsidRDefault="00037AE2" w:rsidP="00037AE2">
      <w:pPr>
        <w:numPr>
          <w:ilvl w:val="1"/>
          <w:numId w:val="19"/>
        </w:numPr>
        <w:spacing w:line="240" w:lineRule="auto"/>
        <w:jc w:val="both"/>
        <w:rPr>
          <w:sz w:val="24"/>
        </w:rPr>
      </w:pPr>
      <w:r w:rsidRPr="00AF05E8">
        <w:rPr>
          <w:sz w:val="24"/>
          <w:highlight w:val="black"/>
        </w:rPr>
        <w:lastRenderedPageBreak/>
        <w:t>Mr Ian Wills</w:t>
      </w:r>
      <w:r w:rsidRPr="00B03B34">
        <w:rPr>
          <w:sz w:val="24"/>
        </w:rPr>
        <w:t>, Canberra Legacy, 5 May 2004 (156369R);</w:t>
      </w:r>
    </w:p>
    <w:p w:rsidR="00037AE2" w:rsidRPr="00B03B34" w:rsidRDefault="00037AE2" w:rsidP="00037AE2">
      <w:pPr>
        <w:numPr>
          <w:ilvl w:val="1"/>
          <w:numId w:val="19"/>
        </w:numPr>
        <w:spacing w:line="240" w:lineRule="auto"/>
        <w:jc w:val="both"/>
        <w:rPr>
          <w:sz w:val="24"/>
        </w:rPr>
      </w:pPr>
      <w:r w:rsidRPr="00AF05E8">
        <w:rPr>
          <w:sz w:val="24"/>
          <w:highlight w:val="black"/>
        </w:rPr>
        <w:t>Ms Christine Brown</w:t>
      </w:r>
      <w:r w:rsidRPr="00B03B34">
        <w:rPr>
          <w:sz w:val="24"/>
        </w:rPr>
        <w:t>,; 27 August 2004 (156370R);</w:t>
      </w:r>
    </w:p>
    <w:p w:rsidR="00037AE2" w:rsidRPr="00B03B34" w:rsidRDefault="00037AE2" w:rsidP="00037AE2">
      <w:pPr>
        <w:numPr>
          <w:ilvl w:val="1"/>
          <w:numId w:val="19"/>
        </w:numPr>
        <w:spacing w:line="240" w:lineRule="auto"/>
        <w:jc w:val="both"/>
        <w:rPr>
          <w:sz w:val="24"/>
        </w:rPr>
      </w:pPr>
      <w:r w:rsidRPr="00B03B34">
        <w:rPr>
          <w:sz w:val="24"/>
        </w:rPr>
        <w:t>Motor Neurone Disease Association of Victoria Inc., 8 September 2004 (156368R);</w:t>
      </w:r>
    </w:p>
    <w:p w:rsidR="00037AE2" w:rsidRPr="00B03B34" w:rsidRDefault="00037AE2" w:rsidP="00037AE2">
      <w:pPr>
        <w:numPr>
          <w:ilvl w:val="1"/>
          <w:numId w:val="19"/>
        </w:numPr>
        <w:spacing w:line="240" w:lineRule="auto"/>
        <w:jc w:val="both"/>
        <w:rPr>
          <w:sz w:val="24"/>
        </w:rPr>
      </w:pPr>
      <w:r w:rsidRPr="00B03B34">
        <w:rPr>
          <w:sz w:val="24"/>
        </w:rPr>
        <w:t>RMA medical researcher briefing paper concerning ‘Motor Neurone Disease’, February 2006 (13112850R);</w:t>
      </w:r>
    </w:p>
    <w:p w:rsidR="00037AE2" w:rsidRPr="00B03B34" w:rsidRDefault="00037AE2" w:rsidP="00037AE2">
      <w:pPr>
        <w:numPr>
          <w:ilvl w:val="1"/>
          <w:numId w:val="19"/>
        </w:numPr>
        <w:spacing w:line="240" w:lineRule="auto"/>
        <w:jc w:val="both"/>
        <w:rPr>
          <w:sz w:val="24"/>
        </w:rPr>
      </w:pPr>
      <w:r w:rsidRPr="00B03B34">
        <w:rPr>
          <w:sz w:val="24"/>
        </w:rPr>
        <w:t>RMA medical researcher briefing paper concerning ‘Motor Neurone Disease and electrical injury’, June 2009 (13112889R);</w:t>
      </w:r>
    </w:p>
    <w:p w:rsidR="00037AE2" w:rsidRPr="00B03B34" w:rsidRDefault="00037AE2" w:rsidP="00037AE2">
      <w:pPr>
        <w:numPr>
          <w:ilvl w:val="1"/>
          <w:numId w:val="19"/>
        </w:numPr>
        <w:spacing w:line="240" w:lineRule="auto"/>
        <w:jc w:val="both"/>
        <w:rPr>
          <w:sz w:val="24"/>
        </w:rPr>
      </w:pPr>
      <w:r w:rsidRPr="00AF05E8">
        <w:rPr>
          <w:sz w:val="24"/>
          <w:highlight w:val="black"/>
        </w:rPr>
        <w:t>Mr Tim McCombe</w:t>
      </w:r>
      <w:r w:rsidRPr="00B03B34">
        <w:rPr>
          <w:sz w:val="24"/>
        </w:rPr>
        <w:t>, National President VVF, request for investigation, 29 October 2010 (156388R);</w:t>
      </w:r>
    </w:p>
    <w:p w:rsidR="00037AE2" w:rsidRPr="00B03B34" w:rsidRDefault="00037AE2" w:rsidP="00037AE2">
      <w:pPr>
        <w:numPr>
          <w:ilvl w:val="1"/>
          <w:numId w:val="19"/>
        </w:numPr>
        <w:spacing w:line="240" w:lineRule="auto"/>
        <w:jc w:val="both"/>
        <w:rPr>
          <w:sz w:val="24"/>
        </w:rPr>
      </w:pPr>
      <w:r w:rsidRPr="00AF05E8">
        <w:rPr>
          <w:sz w:val="24"/>
          <w:highlight w:val="black"/>
        </w:rPr>
        <w:t>Mr John Shields</w:t>
      </w:r>
      <w:r w:rsidRPr="00B03B34">
        <w:rPr>
          <w:sz w:val="24"/>
        </w:rPr>
        <w:t xml:space="preserve"> - email request for review of SOPs concerning motor neurone disease - 5 June 2012 (176475R);</w:t>
      </w:r>
    </w:p>
    <w:p w:rsidR="00037AE2" w:rsidRPr="00B03B34" w:rsidRDefault="00037AE2" w:rsidP="00037AE2">
      <w:pPr>
        <w:numPr>
          <w:ilvl w:val="1"/>
          <w:numId w:val="19"/>
        </w:numPr>
        <w:spacing w:line="240" w:lineRule="auto"/>
        <w:jc w:val="both"/>
        <w:rPr>
          <w:sz w:val="24"/>
        </w:rPr>
      </w:pPr>
      <w:r w:rsidRPr="00AF05E8">
        <w:rPr>
          <w:sz w:val="24"/>
          <w:highlight w:val="black"/>
        </w:rPr>
        <w:t>Mr David Watts</w:t>
      </w:r>
      <w:r w:rsidRPr="00B03B34">
        <w:rPr>
          <w:sz w:val="24"/>
        </w:rPr>
        <w:t xml:space="preserve"> - Request for investigation - Amyotrophic lateral sclerosis - </w:t>
      </w:r>
      <w:r w:rsidRPr="00AF05E8">
        <w:rPr>
          <w:sz w:val="24"/>
          <w:highlight w:val="black"/>
        </w:rPr>
        <w:t>Mr David Watts -</w:t>
      </w:r>
      <w:r w:rsidRPr="00B03B34">
        <w:rPr>
          <w:sz w:val="24"/>
        </w:rPr>
        <w:t xml:space="preserve"> 1 April 2013 (1326096R);</w:t>
      </w:r>
    </w:p>
    <w:p w:rsidR="00037AE2" w:rsidRPr="00B03B34" w:rsidRDefault="00037AE2" w:rsidP="00037AE2">
      <w:pPr>
        <w:numPr>
          <w:ilvl w:val="1"/>
          <w:numId w:val="19"/>
        </w:numPr>
        <w:spacing w:line="240" w:lineRule="auto"/>
        <w:jc w:val="both"/>
        <w:rPr>
          <w:sz w:val="24"/>
        </w:rPr>
      </w:pPr>
      <w:r w:rsidRPr="00B03B34">
        <w:rPr>
          <w:sz w:val="24"/>
        </w:rPr>
        <w:t>DVA adviser comments for RMA meeting August 2013 – 30 July 2013 (1374817R);</w:t>
      </w:r>
    </w:p>
    <w:p w:rsidR="00037AE2" w:rsidRPr="00B03B34" w:rsidRDefault="00037AE2" w:rsidP="00037AE2">
      <w:pPr>
        <w:numPr>
          <w:ilvl w:val="1"/>
          <w:numId w:val="19"/>
        </w:numPr>
        <w:spacing w:line="240" w:lineRule="auto"/>
        <w:jc w:val="both"/>
        <w:rPr>
          <w:sz w:val="24"/>
        </w:rPr>
      </w:pPr>
      <w:r w:rsidRPr="00B03B34">
        <w:rPr>
          <w:sz w:val="24"/>
        </w:rPr>
        <w:t>RMA medical researcher briefing paper - motor neurone disease - August 2013 (1352309R);</w:t>
      </w:r>
    </w:p>
    <w:p w:rsidR="00037AE2" w:rsidRPr="00B03B34" w:rsidRDefault="00037AE2" w:rsidP="00037AE2">
      <w:pPr>
        <w:numPr>
          <w:ilvl w:val="1"/>
          <w:numId w:val="19"/>
        </w:numPr>
        <w:spacing w:line="240" w:lineRule="auto"/>
        <w:jc w:val="both"/>
        <w:rPr>
          <w:sz w:val="24"/>
        </w:rPr>
      </w:pPr>
      <w:r w:rsidRPr="00AF05E8">
        <w:rPr>
          <w:sz w:val="24"/>
          <w:highlight w:val="black"/>
        </w:rPr>
        <w:t>LTCOL Stephen Grace DSM (retd.)</w:t>
      </w:r>
      <w:r w:rsidRPr="00B03B34">
        <w:rPr>
          <w:sz w:val="24"/>
        </w:rPr>
        <w:t xml:space="preserve"> – Request for review - motor neurone disease - 3 October 2016 (165583R);</w:t>
      </w:r>
    </w:p>
    <w:p w:rsidR="00037AE2" w:rsidRPr="00B03B34" w:rsidRDefault="00037AE2" w:rsidP="00037AE2">
      <w:pPr>
        <w:numPr>
          <w:ilvl w:val="1"/>
          <w:numId w:val="19"/>
        </w:numPr>
        <w:spacing w:line="240" w:lineRule="auto"/>
        <w:jc w:val="both"/>
        <w:rPr>
          <w:sz w:val="24"/>
        </w:rPr>
      </w:pPr>
      <w:r w:rsidRPr="00B03B34">
        <w:rPr>
          <w:sz w:val="24"/>
        </w:rPr>
        <w:t>RMA medical researcher - Discussion paper in response to an investigation request - head injury and motor neurone disease - December 2016 (165663R);</w:t>
      </w:r>
    </w:p>
    <w:p w:rsidR="00037AE2" w:rsidRPr="00B03B34" w:rsidRDefault="00037AE2" w:rsidP="00037AE2">
      <w:pPr>
        <w:numPr>
          <w:ilvl w:val="1"/>
          <w:numId w:val="19"/>
        </w:numPr>
        <w:spacing w:line="240" w:lineRule="auto"/>
        <w:jc w:val="both"/>
        <w:rPr>
          <w:sz w:val="24"/>
        </w:rPr>
      </w:pPr>
      <w:r w:rsidRPr="00AF05E8">
        <w:rPr>
          <w:sz w:val="24"/>
          <w:highlight w:val="black"/>
        </w:rPr>
        <w:t>Mr Bill Grace on behalf of LTCOL Stephen Grace DSM (retd)</w:t>
      </w:r>
      <w:r w:rsidRPr="00B03B34">
        <w:rPr>
          <w:sz w:val="24"/>
        </w:rPr>
        <w:t xml:space="preserve"> - Further submission - motor neurone disease - 5 December 2016 (166853R).</w:t>
      </w:r>
    </w:p>
    <w:p w:rsidR="004F654F" w:rsidRPr="004F654F" w:rsidRDefault="00037AE2" w:rsidP="00D71DB5">
      <w:pPr>
        <w:spacing w:after="160" w:line="259" w:lineRule="auto"/>
        <w:rPr>
          <w:sz w:val="24"/>
        </w:rPr>
      </w:pPr>
      <w:r>
        <w:rPr>
          <w:sz w:val="24"/>
        </w:rPr>
        <w:br w:type="page"/>
      </w:r>
    </w:p>
    <w:p w:rsidR="004F654F" w:rsidRPr="00D71DB5" w:rsidRDefault="004F654F" w:rsidP="00D71DB5">
      <w:pPr>
        <w:rPr>
          <w:b/>
          <w:sz w:val="24"/>
        </w:rPr>
      </w:pPr>
      <w:r w:rsidRPr="00D71DB5">
        <w:rPr>
          <w:b/>
          <w:sz w:val="24"/>
        </w:rPr>
        <w:lastRenderedPageBreak/>
        <w:t>APPENDIX  B2: NEW MATERIAL WHICH WAS NOT BEFORE THE RMA</w:t>
      </w:r>
    </w:p>
    <w:p w:rsidR="00F72957" w:rsidRPr="00A365E0" w:rsidRDefault="00F72957" w:rsidP="00BD5390">
      <w:pPr>
        <w:pStyle w:val="NumberLevel1"/>
        <w:numPr>
          <w:ilvl w:val="0"/>
          <w:numId w:val="22"/>
        </w:numPr>
        <w:rPr>
          <w:rFonts w:ascii="Calibri" w:hAnsi="Calibri"/>
          <w:sz w:val="24"/>
          <w:szCs w:val="24"/>
        </w:rPr>
      </w:pPr>
      <w:r w:rsidRPr="00F72957">
        <w:rPr>
          <w:rFonts w:ascii="Calibri" w:hAnsi="Calibri"/>
          <w:sz w:val="24"/>
          <w:szCs w:val="24"/>
        </w:rPr>
        <w:t>Ivins BJ, Schwab KA, Warden D, Harvey LT, Hoilien MA, Powell CO, et al. Traumatic brain injury in U.S. Army paratroopers: prevalence and character. J Trauma (2003) 55(4):617</w:t>
      </w:r>
    </w:p>
    <w:p w:rsidR="00F72957" w:rsidRDefault="00F72957" w:rsidP="00BD5390">
      <w:pPr>
        <w:pStyle w:val="NumberLevel1"/>
        <w:numPr>
          <w:ilvl w:val="0"/>
          <w:numId w:val="22"/>
        </w:numPr>
        <w:rPr>
          <w:rFonts w:ascii="Calibri" w:hAnsi="Calibri"/>
          <w:sz w:val="24"/>
          <w:szCs w:val="24"/>
        </w:rPr>
      </w:pPr>
      <w:r w:rsidRPr="00F72957">
        <w:rPr>
          <w:rFonts w:ascii="Calibri" w:hAnsi="Calibri"/>
          <w:sz w:val="24"/>
          <w:szCs w:val="24"/>
        </w:rPr>
        <w:t xml:space="preserve">Ivins BJ, Crowley JS, Johnson J, Warden DL, Schwab KA. Traumatic brain injury risk while parachuting: comparison of the personnel armor system for ground troops helmet and the advanced combat helmet. Military Medicine. 2008;173:1168–1172 </w:t>
      </w:r>
    </w:p>
    <w:p w:rsidR="00F72957" w:rsidRDefault="00A365E0" w:rsidP="00BD5390">
      <w:pPr>
        <w:pStyle w:val="NumberLevel1"/>
        <w:numPr>
          <w:ilvl w:val="0"/>
          <w:numId w:val="22"/>
        </w:numPr>
        <w:rPr>
          <w:rFonts w:ascii="Calibri" w:hAnsi="Calibri"/>
          <w:sz w:val="24"/>
          <w:szCs w:val="24"/>
        </w:rPr>
      </w:pPr>
      <w:r w:rsidRPr="00A365E0">
        <w:rPr>
          <w:rFonts w:ascii="Calibri" w:hAnsi="Calibri"/>
          <w:sz w:val="24"/>
          <w:szCs w:val="24"/>
        </w:rPr>
        <w:t>Jewelewicz D. D., Cohn S. M., Crookes B. A., Proctor K. G. Modified rapid deployment hemostat bandage reduces blood loss and mortality in coagulopathic pigs with severe liver injury. 2003;55(2):275–281</w:t>
      </w:r>
    </w:p>
    <w:p w:rsidR="00F72957" w:rsidRPr="00A365E0" w:rsidRDefault="00F72957" w:rsidP="00BD5390">
      <w:pPr>
        <w:pStyle w:val="NumberLevel1"/>
        <w:numPr>
          <w:ilvl w:val="0"/>
          <w:numId w:val="22"/>
        </w:numPr>
        <w:rPr>
          <w:rFonts w:ascii="Calibri" w:hAnsi="Calibri"/>
          <w:sz w:val="24"/>
          <w:szCs w:val="24"/>
        </w:rPr>
      </w:pPr>
      <w:r>
        <w:rPr>
          <w:rFonts w:ascii="Calibri" w:hAnsi="Calibri"/>
          <w:sz w:val="24"/>
          <w:szCs w:val="24"/>
        </w:rPr>
        <w:t xml:space="preserve">Paschal, CR et al, </w:t>
      </w:r>
      <w:r w:rsidRPr="00F72957">
        <w:rPr>
          <w:rFonts w:ascii="Calibri" w:hAnsi="Calibri"/>
          <w:sz w:val="24"/>
          <w:szCs w:val="24"/>
        </w:rPr>
        <w:t>Evaluation Of The Head Injury Hazard During Military Parachuting</w:t>
      </w:r>
      <w:r>
        <w:rPr>
          <w:rFonts w:ascii="Calibri" w:hAnsi="Calibri"/>
          <w:sz w:val="24"/>
          <w:szCs w:val="24"/>
        </w:rPr>
        <w:t xml:space="preserve">, Biodynamics Research Division, US Army Aeromedical </w:t>
      </w:r>
      <w:r w:rsidR="00ED67D6">
        <w:rPr>
          <w:rFonts w:ascii="Calibri" w:hAnsi="Calibri"/>
          <w:sz w:val="24"/>
          <w:szCs w:val="24"/>
        </w:rPr>
        <w:t>Research</w:t>
      </w:r>
      <w:r>
        <w:rPr>
          <w:rFonts w:ascii="Calibri" w:hAnsi="Calibri"/>
          <w:sz w:val="24"/>
          <w:szCs w:val="24"/>
        </w:rPr>
        <w:t xml:space="preserve"> Laboratory, March 1990</w:t>
      </w:r>
    </w:p>
    <w:p w:rsidR="003936A1" w:rsidRPr="00005854" w:rsidRDefault="003936A1" w:rsidP="003936A1">
      <w:pPr>
        <w:pStyle w:val="NumberLevel1"/>
        <w:rPr>
          <w:rFonts w:ascii="Calibri" w:hAnsi="Calibri"/>
          <w:sz w:val="24"/>
          <w:szCs w:val="24"/>
        </w:rPr>
      </w:pPr>
    </w:p>
    <w:p w:rsidR="0024485B" w:rsidRPr="004C6217" w:rsidRDefault="0024485B" w:rsidP="004C6217">
      <w:pPr>
        <w:rPr>
          <w:szCs w:val="22"/>
        </w:rPr>
      </w:pPr>
    </w:p>
    <w:sectPr w:rsidR="0024485B" w:rsidRPr="004C6217" w:rsidSect="005E5E1A">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pgNumType w:start="2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5AF" w:rsidRDefault="001B55AF" w:rsidP="003936A1">
      <w:pPr>
        <w:spacing w:line="240" w:lineRule="auto"/>
      </w:pPr>
      <w:r>
        <w:separator/>
      </w:r>
    </w:p>
  </w:endnote>
  <w:endnote w:type="continuationSeparator" w:id="0">
    <w:p w:rsidR="001B55AF" w:rsidRDefault="001B55AF" w:rsidP="003936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ronet (W1)">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E1A" w:rsidRDefault="005E5E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041772"/>
      <w:docPartObj>
        <w:docPartGallery w:val="Page Numbers (Bottom of Page)"/>
        <w:docPartUnique/>
      </w:docPartObj>
    </w:sdtPr>
    <w:sdtEndPr>
      <w:rPr>
        <w:rFonts w:asciiTheme="minorHAnsi" w:hAnsiTheme="minorHAnsi"/>
        <w:noProof/>
        <w:sz w:val="16"/>
        <w:szCs w:val="16"/>
      </w:rPr>
    </w:sdtEndPr>
    <w:sdtContent>
      <w:p w:rsidR="005E5E1A" w:rsidRPr="005E5E1A" w:rsidRDefault="005E5E1A" w:rsidP="005E5E1A">
        <w:pPr>
          <w:pStyle w:val="Footer"/>
          <w:pBdr>
            <w:top w:val="single" w:sz="4" w:space="1" w:color="auto"/>
          </w:pBdr>
          <w:jc w:val="right"/>
          <w:rPr>
            <w:rFonts w:asciiTheme="minorHAnsi" w:hAnsiTheme="minorHAnsi"/>
            <w:sz w:val="16"/>
            <w:szCs w:val="16"/>
          </w:rPr>
        </w:pPr>
        <w:r w:rsidRPr="005E5E1A">
          <w:rPr>
            <w:rFonts w:asciiTheme="minorHAnsi" w:hAnsiTheme="minorHAnsi"/>
            <w:sz w:val="16"/>
            <w:szCs w:val="16"/>
          </w:rPr>
          <w:t xml:space="preserve"> Page </w:t>
        </w:r>
        <w:r w:rsidRPr="005E5E1A">
          <w:rPr>
            <w:rFonts w:asciiTheme="minorHAnsi" w:hAnsiTheme="minorHAnsi"/>
            <w:sz w:val="16"/>
            <w:szCs w:val="16"/>
          </w:rPr>
          <w:fldChar w:fldCharType="begin"/>
        </w:r>
        <w:r w:rsidRPr="005E5E1A">
          <w:rPr>
            <w:rFonts w:asciiTheme="minorHAnsi" w:hAnsiTheme="minorHAnsi"/>
            <w:sz w:val="16"/>
            <w:szCs w:val="16"/>
          </w:rPr>
          <w:instrText xml:space="preserve"> PAGE   \* MERGEFORMAT </w:instrText>
        </w:r>
        <w:r w:rsidRPr="005E5E1A">
          <w:rPr>
            <w:rFonts w:asciiTheme="minorHAnsi" w:hAnsiTheme="minorHAnsi"/>
            <w:sz w:val="16"/>
            <w:szCs w:val="16"/>
          </w:rPr>
          <w:fldChar w:fldCharType="separate"/>
        </w:r>
        <w:r w:rsidR="00DA4ED2">
          <w:rPr>
            <w:rFonts w:asciiTheme="minorHAnsi" w:hAnsiTheme="minorHAnsi"/>
            <w:noProof/>
            <w:sz w:val="16"/>
            <w:szCs w:val="16"/>
          </w:rPr>
          <w:t>21</w:t>
        </w:r>
        <w:r w:rsidRPr="005E5E1A">
          <w:rPr>
            <w:rFonts w:asciiTheme="minorHAnsi" w:hAnsiTheme="minorHAnsi"/>
            <w:noProof/>
            <w:sz w:val="16"/>
            <w:szCs w:val="16"/>
          </w:rPr>
          <w:fldChar w:fldCharType="end"/>
        </w:r>
      </w:p>
    </w:sdtContent>
  </w:sdt>
  <w:p w:rsidR="004C6217" w:rsidRPr="004C6217" w:rsidRDefault="004C6217" w:rsidP="004C6217">
    <w:pPr>
      <w:pStyle w:val="Footer"/>
      <w:jc w:val="right"/>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E1A" w:rsidRDefault="005E5E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5AF" w:rsidRDefault="001B55AF" w:rsidP="003936A1">
      <w:pPr>
        <w:spacing w:line="240" w:lineRule="auto"/>
      </w:pPr>
      <w:r>
        <w:separator/>
      </w:r>
    </w:p>
  </w:footnote>
  <w:footnote w:type="continuationSeparator" w:id="0">
    <w:p w:rsidR="001B55AF" w:rsidRDefault="001B55AF" w:rsidP="003936A1">
      <w:pPr>
        <w:spacing w:line="240" w:lineRule="auto"/>
      </w:pPr>
      <w:r>
        <w:continuationSeparator/>
      </w:r>
    </w:p>
  </w:footnote>
  <w:footnote w:id="1">
    <w:p w:rsidR="00A6058B" w:rsidRDefault="00A6058B" w:rsidP="00A6058B">
      <w:pPr>
        <w:pStyle w:val="Footnote"/>
        <w:rPr>
          <w:szCs w:val="18"/>
        </w:rPr>
      </w:pPr>
      <w:r w:rsidRPr="00F532D4">
        <w:rPr>
          <w:rStyle w:val="FootnoteReference"/>
          <w:rFonts w:asciiTheme="minorHAnsi" w:hAnsiTheme="minorHAnsi" w:cstheme="minorHAnsi"/>
          <w:szCs w:val="18"/>
        </w:rPr>
        <w:footnoteRef/>
      </w:r>
      <w:r>
        <w:t xml:space="preserve"> </w:t>
      </w:r>
      <w:r>
        <w:tab/>
        <w:t xml:space="preserve">The reasonable hypothesis test is set out in section </w:t>
      </w:r>
      <w:r>
        <w:rPr>
          <w:szCs w:val="18"/>
        </w:rPr>
        <w:t>196B(2) of the VEA which provides;</w:t>
      </w:r>
    </w:p>
    <w:p w:rsidR="00A6058B" w:rsidRDefault="00A6058B" w:rsidP="00A6058B">
      <w:pPr>
        <w:pStyle w:val="Footnote"/>
        <w:rPr>
          <w:bCs/>
          <w:szCs w:val="18"/>
        </w:rPr>
      </w:pPr>
      <w:r>
        <w:rPr>
          <w:szCs w:val="18"/>
        </w:rPr>
        <w:tab/>
        <w:t>If the Authority is of the view that there is sound medical</w:t>
      </w:r>
      <w:r>
        <w:rPr>
          <w:szCs w:val="18"/>
        </w:rPr>
        <w:noBreakHyphen/>
        <w:t xml:space="preserve">scientific evidence that indicates that </w:t>
      </w:r>
      <w:r>
        <w:rPr>
          <w:bCs/>
          <w:szCs w:val="18"/>
        </w:rPr>
        <w:t>a particular kind of injury, disease or death can be related to:</w:t>
      </w:r>
    </w:p>
    <w:p w:rsidR="00A6058B" w:rsidRDefault="00A6058B" w:rsidP="00A6058B">
      <w:pPr>
        <w:pStyle w:val="Footnote"/>
        <w:ind w:left="1275"/>
        <w:rPr>
          <w:szCs w:val="18"/>
        </w:rPr>
      </w:pPr>
      <w:r>
        <w:rPr>
          <w:szCs w:val="18"/>
        </w:rPr>
        <w:t>(a)</w:t>
      </w:r>
      <w:r>
        <w:rPr>
          <w:szCs w:val="18"/>
        </w:rPr>
        <w:tab/>
        <w:t>operational service rendered by veterans; or</w:t>
      </w:r>
    </w:p>
    <w:p w:rsidR="00A6058B" w:rsidRDefault="00A6058B" w:rsidP="00A6058B">
      <w:pPr>
        <w:pStyle w:val="Footnote"/>
        <w:ind w:left="1275"/>
        <w:rPr>
          <w:szCs w:val="18"/>
        </w:rPr>
      </w:pPr>
      <w:r>
        <w:rPr>
          <w:szCs w:val="18"/>
        </w:rPr>
        <w:t>(b)</w:t>
      </w:r>
      <w:r>
        <w:rPr>
          <w:szCs w:val="18"/>
        </w:rPr>
        <w:tab/>
        <w:t>peacekeeping service rendered by members of Peacekeeping Forces; or</w:t>
      </w:r>
    </w:p>
    <w:p w:rsidR="00A6058B" w:rsidRDefault="00A6058B" w:rsidP="00A6058B">
      <w:pPr>
        <w:pStyle w:val="Footnote"/>
        <w:ind w:left="1275"/>
        <w:rPr>
          <w:szCs w:val="18"/>
        </w:rPr>
      </w:pPr>
      <w:r>
        <w:rPr>
          <w:szCs w:val="18"/>
        </w:rPr>
        <w:t>(c)</w:t>
      </w:r>
      <w:r>
        <w:rPr>
          <w:szCs w:val="18"/>
        </w:rPr>
        <w:tab/>
        <w:t>hazardous service rendered by members of the Forces; or</w:t>
      </w:r>
    </w:p>
    <w:p w:rsidR="00A6058B" w:rsidRDefault="00A6058B" w:rsidP="00A6058B">
      <w:pPr>
        <w:pStyle w:val="Footnote"/>
        <w:ind w:left="1275"/>
        <w:rPr>
          <w:szCs w:val="18"/>
        </w:rPr>
      </w:pPr>
      <w:r>
        <w:rPr>
          <w:szCs w:val="18"/>
        </w:rPr>
        <w:t>(caa)</w:t>
      </w:r>
      <w:r>
        <w:rPr>
          <w:szCs w:val="18"/>
        </w:rPr>
        <w:tab/>
        <w:t>British nuclear test defence service rendered by members of the Forces; or</w:t>
      </w:r>
    </w:p>
    <w:p w:rsidR="00A6058B" w:rsidRDefault="00A6058B" w:rsidP="00A6058B">
      <w:pPr>
        <w:pStyle w:val="Footnote"/>
        <w:ind w:left="1275"/>
        <w:rPr>
          <w:szCs w:val="18"/>
        </w:rPr>
      </w:pPr>
      <w:r>
        <w:rPr>
          <w:szCs w:val="18"/>
        </w:rPr>
        <w:t>(ca)</w:t>
      </w:r>
      <w:r>
        <w:rPr>
          <w:szCs w:val="18"/>
        </w:rPr>
        <w:tab/>
        <w:t>warlike or non</w:t>
      </w:r>
      <w:r>
        <w:rPr>
          <w:szCs w:val="18"/>
        </w:rPr>
        <w:noBreakHyphen/>
        <w:t>warlike service rendered by members;</w:t>
      </w:r>
    </w:p>
    <w:p w:rsidR="00A6058B" w:rsidRDefault="00A6058B" w:rsidP="00A6058B">
      <w:pPr>
        <w:pStyle w:val="Footnote"/>
        <w:ind w:left="850"/>
        <w:rPr>
          <w:szCs w:val="18"/>
        </w:rPr>
      </w:pPr>
      <w:r>
        <w:rPr>
          <w:szCs w:val="18"/>
        </w:rPr>
        <w:t>the Authority must determine a Statement of Principles in respect of that kind of injury, disease or death setting out:</w:t>
      </w:r>
    </w:p>
    <w:p w:rsidR="00A6058B" w:rsidRDefault="00A6058B" w:rsidP="00A6058B">
      <w:pPr>
        <w:pStyle w:val="Footnote"/>
        <w:ind w:left="1275"/>
        <w:rPr>
          <w:szCs w:val="18"/>
        </w:rPr>
      </w:pPr>
      <w:r>
        <w:rPr>
          <w:szCs w:val="18"/>
        </w:rPr>
        <w:t>(d)</w:t>
      </w:r>
      <w:r>
        <w:rPr>
          <w:szCs w:val="18"/>
        </w:rPr>
        <w:tab/>
        <w:t>the factors that must as a minimum exist; and</w:t>
      </w:r>
    </w:p>
    <w:p w:rsidR="00A6058B" w:rsidRDefault="00A6058B" w:rsidP="00A6058B">
      <w:pPr>
        <w:pStyle w:val="Footnote"/>
        <w:ind w:left="1275"/>
        <w:rPr>
          <w:szCs w:val="18"/>
        </w:rPr>
      </w:pPr>
      <w:r>
        <w:rPr>
          <w:szCs w:val="18"/>
        </w:rPr>
        <w:t>(e)</w:t>
      </w:r>
      <w:r>
        <w:rPr>
          <w:szCs w:val="18"/>
        </w:rPr>
        <w:tab/>
        <w:t>which of those factors must be related to service rendered by a person;</w:t>
      </w:r>
    </w:p>
    <w:p w:rsidR="00A6058B" w:rsidRDefault="00A6058B" w:rsidP="00A6058B">
      <w:pPr>
        <w:pStyle w:val="Footnote"/>
        <w:ind w:left="1275"/>
      </w:pPr>
      <w:r>
        <w:rPr>
          <w:szCs w:val="18"/>
        </w:rPr>
        <w:tab/>
        <w:t>before it can be said that a reasonable hypothesis has been raised connecting an injury, disease or death of that kind with the circumstances of that service.</w:t>
      </w:r>
    </w:p>
  </w:footnote>
  <w:footnote w:id="2">
    <w:p w:rsidR="00A6058B" w:rsidRDefault="00A6058B" w:rsidP="00A6058B">
      <w:pPr>
        <w:pStyle w:val="Footnote"/>
      </w:pPr>
      <w:r w:rsidRPr="00F532D4">
        <w:rPr>
          <w:rStyle w:val="FootnoteReference"/>
          <w:rFonts w:asciiTheme="minorHAnsi" w:hAnsiTheme="minorHAnsi" w:cstheme="minorHAnsi"/>
          <w:szCs w:val="18"/>
        </w:rPr>
        <w:footnoteRef/>
      </w:r>
      <w:r>
        <w:t xml:space="preserve"> </w:t>
      </w:r>
      <w:r>
        <w:tab/>
        <w:t>The balance of probabilities test is set out in section 196B(3) of the VEA which provides:</w:t>
      </w:r>
    </w:p>
    <w:p w:rsidR="00A6058B" w:rsidRDefault="00A6058B" w:rsidP="00A6058B">
      <w:pPr>
        <w:pStyle w:val="Footnote"/>
        <w:ind w:left="850"/>
        <w:rPr>
          <w:kern w:val="28"/>
          <w:szCs w:val="18"/>
          <w:lang w:val="en-US"/>
        </w:rPr>
      </w:pPr>
      <w:r>
        <w:rPr>
          <w:kern w:val="28"/>
          <w:szCs w:val="18"/>
          <w:lang w:val="en-US"/>
        </w:rPr>
        <w:t>If the Authority is of the view that on the sound medical</w:t>
      </w:r>
      <w:r>
        <w:rPr>
          <w:kern w:val="28"/>
          <w:szCs w:val="18"/>
          <w:lang w:val="en-US"/>
        </w:rPr>
        <w:noBreakHyphen/>
        <w:t>scientific evidence available it is more probable than not that a particular kind of injury, disease or death can be related to:</w:t>
      </w:r>
    </w:p>
    <w:p w:rsidR="00A6058B" w:rsidRDefault="00A6058B" w:rsidP="00A6058B">
      <w:pPr>
        <w:pStyle w:val="Footnote"/>
        <w:ind w:left="1275"/>
        <w:rPr>
          <w:kern w:val="28"/>
          <w:szCs w:val="18"/>
          <w:lang w:val="en-US"/>
        </w:rPr>
      </w:pPr>
      <w:r>
        <w:rPr>
          <w:kern w:val="28"/>
          <w:szCs w:val="18"/>
          <w:lang w:val="en-US"/>
        </w:rPr>
        <w:t>(a)</w:t>
      </w:r>
      <w:r>
        <w:rPr>
          <w:kern w:val="28"/>
          <w:szCs w:val="18"/>
          <w:lang w:val="en-US"/>
        </w:rPr>
        <w:tab/>
        <w:t>eligible war service (other than operational service) rendered by veterans; or</w:t>
      </w:r>
    </w:p>
    <w:p w:rsidR="00A6058B" w:rsidRDefault="00A6058B" w:rsidP="00A6058B">
      <w:pPr>
        <w:pStyle w:val="Footnote"/>
        <w:ind w:left="1275"/>
        <w:rPr>
          <w:kern w:val="28"/>
          <w:szCs w:val="18"/>
          <w:lang w:val="en-US"/>
        </w:rPr>
      </w:pPr>
      <w:r>
        <w:rPr>
          <w:kern w:val="28"/>
          <w:szCs w:val="18"/>
          <w:lang w:val="en-US"/>
        </w:rPr>
        <w:t>(b)</w:t>
      </w:r>
      <w:r>
        <w:rPr>
          <w:kern w:val="28"/>
          <w:szCs w:val="18"/>
          <w:lang w:val="en-US"/>
        </w:rPr>
        <w:tab/>
        <w:t>defence service (other than hazardous service and British nuclear test defence service) rendered by members of the Forces; or</w:t>
      </w:r>
    </w:p>
    <w:p w:rsidR="00A6058B" w:rsidRDefault="00A6058B" w:rsidP="00A6058B">
      <w:pPr>
        <w:pStyle w:val="Footnote"/>
        <w:ind w:left="1275"/>
        <w:rPr>
          <w:kern w:val="28"/>
          <w:szCs w:val="18"/>
          <w:lang w:val="en-US"/>
        </w:rPr>
      </w:pPr>
      <w:r>
        <w:rPr>
          <w:kern w:val="28"/>
          <w:szCs w:val="18"/>
          <w:lang w:val="en-US"/>
        </w:rPr>
        <w:t>(ba)</w:t>
      </w:r>
      <w:r>
        <w:rPr>
          <w:kern w:val="28"/>
          <w:szCs w:val="18"/>
          <w:lang w:val="en-US"/>
        </w:rPr>
        <w:tab/>
        <w:t>peacetime service rendered by members;</w:t>
      </w:r>
    </w:p>
    <w:p w:rsidR="00A6058B" w:rsidRDefault="00A6058B" w:rsidP="00A6058B">
      <w:pPr>
        <w:pStyle w:val="Footnote"/>
        <w:ind w:left="850"/>
        <w:rPr>
          <w:kern w:val="28"/>
          <w:szCs w:val="18"/>
          <w:lang w:val="en-US"/>
        </w:rPr>
      </w:pPr>
      <w:r>
        <w:rPr>
          <w:kern w:val="28"/>
          <w:szCs w:val="18"/>
          <w:lang w:val="en-US"/>
        </w:rPr>
        <w:t>the Authority must determine a Statement of Principles in respect of that kind of injury, disease or death setting out:</w:t>
      </w:r>
    </w:p>
    <w:p w:rsidR="00A6058B" w:rsidRDefault="00A6058B" w:rsidP="00A6058B">
      <w:pPr>
        <w:pStyle w:val="Footnote"/>
        <w:ind w:left="1275"/>
        <w:rPr>
          <w:kern w:val="28"/>
          <w:szCs w:val="18"/>
          <w:lang w:val="en-US"/>
        </w:rPr>
      </w:pPr>
      <w:r>
        <w:rPr>
          <w:kern w:val="28"/>
          <w:szCs w:val="18"/>
          <w:lang w:val="en-US"/>
        </w:rPr>
        <w:t>(c)</w:t>
      </w:r>
      <w:r>
        <w:rPr>
          <w:kern w:val="28"/>
          <w:szCs w:val="18"/>
          <w:lang w:val="en-US"/>
        </w:rPr>
        <w:tab/>
        <w:t>the factors that must exist; and</w:t>
      </w:r>
    </w:p>
    <w:p w:rsidR="00A6058B" w:rsidRDefault="00A6058B" w:rsidP="00A6058B">
      <w:pPr>
        <w:pStyle w:val="Footnote"/>
        <w:ind w:left="1275"/>
        <w:rPr>
          <w:kern w:val="28"/>
          <w:szCs w:val="18"/>
          <w:lang w:val="en-US"/>
        </w:rPr>
      </w:pPr>
      <w:r>
        <w:rPr>
          <w:kern w:val="28"/>
          <w:szCs w:val="18"/>
          <w:lang w:val="en-US"/>
        </w:rPr>
        <w:t>(d)</w:t>
      </w:r>
      <w:r>
        <w:rPr>
          <w:kern w:val="28"/>
          <w:szCs w:val="18"/>
          <w:lang w:val="en-US"/>
        </w:rPr>
        <w:tab/>
        <w:t>which of those factors must be related to service rendered by a person;</w:t>
      </w:r>
    </w:p>
    <w:p w:rsidR="00A6058B" w:rsidRDefault="00A6058B" w:rsidP="00A6058B">
      <w:pPr>
        <w:pStyle w:val="Footnote"/>
        <w:ind w:left="850"/>
      </w:pPr>
      <w:r>
        <w:rPr>
          <w:kern w:val="28"/>
          <w:szCs w:val="18"/>
          <w:lang w:val="en-US"/>
        </w:rPr>
        <w:t>before it can be said that, on the balance of probabilities, an injury, disease or death of that kind is connected with the circumstances of that service.</w:t>
      </w:r>
    </w:p>
  </w:footnote>
  <w:footnote w:id="3">
    <w:p w:rsidR="00A6058B" w:rsidRDefault="00A6058B" w:rsidP="00A6058B">
      <w:pPr>
        <w:pStyle w:val="Footnote"/>
      </w:pPr>
      <w:r w:rsidRPr="00F532D4">
        <w:rPr>
          <w:rStyle w:val="FootnoteReference"/>
          <w:rFonts w:asciiTheme="minorHAnsi" w:hAnsiTheme="minorHAnsi" w:cstheme="minorHAnsi"/>
          <w:szCs w:val="18"/>
        </w:rPr>
        <w:footnoteRef/>
      </w:r>
      <w:r>
        <w:rPr>
          <w:szCs w:val="18"/>
        </w:rPr>
        <w:tab/>
        <w:t>See sections 120, 120A and 120B of the VEA and sections 335, 338 and 339 of the MRCA.</w:t>
      </w:r>
      <w:r>
        <w:rPr>
          <w:szCs w:val="18"/>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E1A" w:rsidRDefault="005E5E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E1A" w:rsidRDefault="005E5E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E1A" w:rsidRDefault="005E5E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B0453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42E6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C86B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5410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B2FD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BEF8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B248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42C8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46B3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9296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422899"/>
    <w:multiLevelType w:val="hybridMultilevel"/>
    <w:tmpl w:val="74E87DDE"/>
    <w:lvl w:ilvl="0" w:tplc="A3EE4CF6">
      <w:start w:val="2"/>
      <w:numFmt w:val="bullet"/>
      <w:lvlText w:val="–"/>
      <w:lvlJc w:val="left"/>
      <w:pPr>
        <w:ind w:left="1287" w:hanging="360"/>
      </w:pPr>
      <w:rPr>
        <w:rFonts w:ascii="Coronet (W1)" w:eastAsia="Coronet (W1)" w:hAnsi="Coronet (W1)" w:cs="Coronet (W1)"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14815193"/>
    <w:multiLevelType w:val="multilevel"/>
    <w:tmpl w:val="0828677A"/>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181929CD"/>
    <w:multiLevelType w:val="hybridMultilevel"/>
    <w:tmpl w:val="98FC8546"/>
    <w:lvl w:ilvl="0" w:tplc="6672C190">
      <w:start w:val="1"/>
      <w:numFmt w:val="bullet"/>
      <w:pStyle w:val="Norm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22123396"/>
    <w:multiLevelType w:val="multilevel"/>
    <w:tmpl w:val="6E145D4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0B4CBE"/>
    <w:multiLevelType w:val="hybridMultilevel"/>
    <w:tmpl w:val="97B216DA"/>
    <w:lvl w:ilvl="0" w:tplc="A3EE4CF6">
      <w:start w:val="2"/>
      <w:numFmt w:val="bullet"/>
      <w:lvlText w:val="–"/>
      <w:lvlJc w:val="left"/>
      <w:pPr>
        <w:ind w:left="360" w:hanging="360"/>
      </w:pPr>
      <w:rPr>
        <w:rFonts w:ascii="Coronet (W1)" w:eastAsia="Coronet (W1)" w:hAnsi="Coronet (W1)" w:cs="Coronet (W1)"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9D34929"/>
    <w:multiLevelType w:val="hybridMultilevel"/>
    <w:tmpl w:val="17D22444"/>
    <w:lvl w:ilvl="0" w:tplc="E6201A9A">
      <w:start w:val="1"/>
      <w:numFmt w:val="decimal"/>
      <w:pStyle w:val="NormalNumbered"/>
      <w:lvlText w:val="%1."/>
      <w:lvlJc w:val="left"/>
      <w:pPr>
        <w:ind w:left="360" w:hanging="360"/>
      </w:pPr>
      <w:rPr>
        <w:b w:val="0"/>
        <w:i w:val="0"/>
        <w:color w:val="auto"/>
        <w:sz w:val="22"/>
        <w:szCs w:val="22"/>
      </w:rPr>
    </w:lvl>
    <w:lvl w:ilvl="1" w:tplc="08090019">
      <w:start w:val="1"/>
      <w:numFmt w:val="lowerLetter"/>
      <w:lvlText w:val="%2."/>
      <w:lvlJc w:val="left"/>
      <w:pPr>
        <w:ind w:left="732" w:hanging="360"/>
      </w:pPr>
    </w:lvl>
    <w:lvl w:ilvl="2" w:tplc="0809001B" w:tentative="1">
      <w:start w:val="1"/>
      <w:numFmt w:val="lowerRoman"/>
      <w:lvlText w:val="%3."/>
      <w:lvlJc w:val="right"/>
      <w:pPr>
        <w:ind w:left="1452" w:hanging="180"/>
      </w:pPr>
    </w:lvl>
    <w:lvl w:ilvl="3" w:tplc="0809000F" w:tentative="1">
      <w:start w:val="1"/>
      <w:numFmt w:val="decimal"/>
      <w:lvlText w:val="%4."/>
      <w:lvlJc w:val="left"/>
      <w:pPr>
        <w:ind w:left="2172" w:hanging="360"/>
      </w:pPr>
    </w:lvl>
    <w:lvl w:ilvl="4" w:tplc="08090019" w:tentative="1">
      <w:start w:val="1"/>
      <w:numFmt w:val="lowerLetter"/>
      <w:lvlText w:val="%5."/>
      <w:lvlJc w:val="left"/>
      <w:pPr>
        <w:ind w:left="2892" w:hanging="360"/>
      </w:pPr>
    </w:lvl>
    <w:lvl w:ilvl="5" w:tplc="0809001B" w:tentative="1">
      <w:start w:val="1"/>
      <w:numFmt w:val="lowerRoman"/>
      <w:lvlText w:val="%6."/>
      <w:lvlJc w:val="right"/>
      <w:pPr>
        <w:ind w:left="3612" w:hanging="180"/>
      </w:pPr>
    </w:lvl>
    <w:lvl w:ilvl="6" w:tplc="0809000F" w:tentative="1">
      <w:start w:val="1"/>
      <w:numFmt w:val="decimal"/>
      <w:lvlText w:val="%7."/>
      <w:lvlJc w:val="left"/>
      <w:pPr>
        <w:ind w:left="4332" w:hanging="360"/>
      </w:pPr>
    </w:lvl>
    <w:lvl w:ilvl="7" w:tplc="08090019" w:tentative="1">
      <w:start w:val="1"/>
      <w:numFmt w:val="lowerLetter"/>
      <w:lvlText w:val="%8."/>
      <w:lvlJc w:val="left"/>
      <w:pPr>
        <w:ind w:left="5052" w:hanging="360"/>
      </w:pPr>
    </w:lvl>
    <w:lvl w:ilvl="8" w:tplc="0809001B" w:tentative="1">
      <w:start w:val="1"/>
      <w:numFmt w:val="lowerRoman"/>
      <w:lvlText w:val="%9."/>
      <w:lvlJc w:val="right"/>
      <w:pPr>
        <w:ind w:left="5772" w:hanging="180"/>
      </w:pPr>
    </w:lvl>
  </w:abstractNum>
  <w:abstractNum w:abstractNumId="16" w15:restartNumberingAfterBreak="0">
    <w:nsid w:val="33561806"/>
    <w:multiLevelType w:val="hybridMultilevel"/>
    <w:tmpl w:val="C53ADF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03B4905"/>
    <w:multiLevelType w:val="hybridMultilevel"/>
    <w:tmpl w:val="1AC0B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DF194C"/>
    <w:multiLevelType w:val="hybridMultilevel"/>
    <w:tmpl w:val="B52CEF3C"/>
    <w:lvl w:ilvl="0" w:tplc="CD048B0C">
      <w:start w:val="1"/>
      <w:numFmt w:val="upperLetter"/>
      <w:pStyle w:val="NormalAlphaCap"/>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58213B22"/>
    <w:multiLevelType w:val="hybridMultilevel"/>
    <w:tmpl w:val="EE8AD5D8"/>
    <w:lvl w:ilvl="0" w:tplc="22D24546">
      <w:start w:val="2"/>
      <w:numFmt w:val="bullet"/>
      <w:pStyle w:val="NormalDash"/>
      <w:lvlText w:val="–"/>
      <w:lvlJc w:val="left"/>
      <w:pPr>
        <w:ind w:left="1145" w:hanging="360"/>
      </w:pPr>
      <w:rPr>
        <w:rFonts w:ascii="Coronet (W1)" w:eastAsia="Coronet (W1)" w:hAnsi="Coronet (W1)" w:cs="Coronet (W1)"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0" w15:restartNumberingAfterBreak="0">
    <w:nsid w:val="5E2F720D"/>
    <w:multiLevelType w:val="multilevel"/>
    <w:tmpl w:val="3B36DA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num>
  <w:num w:numId="2">
    <w:abstractNumId w:val="18"/>
  </w:num>
  <w:num w:numId="3">
    <w:abstractNumId w:val="15"/>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3"/>
  </w:num>
  <w:num w:numId="17">
    <w:abstractNumId w:val="12"/>
  </w:num>
  <w:num w:numId="18">
    <w:abstractNumId w:val="15"/>
    <w:lvlOverride w:ilvl="0">
      <w:startOverride w:val="1"/>
    </w:lvlOverride>
  </w:num>
  <w:num w:numId="19">
    <w:abstractNumId w:val="20"/>
  </w:num>
  <w:num w:numId="20">
    <w:abstractNumId w:val="17"/>
  </w:num>
  <w:num w:numId="21">
    <w:abstractNumId w:val="1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23F"/>
    <w:rsid w:val="00037AE2"/>
    <w:rsid w:val="001165C2"/>
    <w:rsid w:val="001B55AF"/>
    <w:rsid w:val="0024485B"/>
    <w:rsid w:val="003936A1"/>
    <w:rsid w:val="00483D49"/>
    <w:rsid w:val="004C6217"/>
    <w:rsid w:val="004F654F"/>
    <w:rsid w:val="00584236"/>
    <w:rsid w:val="005E5E1A"/>
    <w:rsid w:val="006C06FB"/>
    <w:rsid w:val="00935176"/>
    <w:rsid w:val="00A365E0"/>
    <w:rsid w:val="00A6058B"/>
    <w:rsid w:val="00B769CC"/>
    <w:rsid w:val="00BD5390"/>
    <w:rsid w:val="00D71DB5"/>
    <w:rsid w:val="00DA4ED2"/>
    <w:rsid w:val="00E34051"/>
    <w:rsid w:val="00E40C50"/>
    <w:rsid w:val="00ED67D6"/>
    <w:rsid w:val="00F72957"/>
    <w:rsid w:val="00F8023F"/>
    <w:rsid w:val="00F93CEA"/>
    <w:rsid w:val="00FD7E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F6C2AAF-5704-4BFD-B7A3-6B5BEC12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23F"/>
    <w:pPr>
      <w:spacing w:after="0" w:line="360" w:lineRule="auto"/>
    </w:pPr>
    <w:rPr>
      <w:rFonts w:ascii="Calibri" w:eastAsia="Times New Roman" w:hAnsi="Calibri" w:cs="Arial"/>
      <w:szCs w:val="24"/>
      <w:lang w:eastAsia="en-AU"/>
    </w:rPr>
  </w:style>
  <w:style w:type="paragraph" w:styleId="Heading1">
    <w:name w:val="heading 1"/>
    <w:basedOn w:val="Normal"/>
    <w:next w:val="Normal"/>
    <w:link w:val="Heading1Char"/>
    <w:qFormat/>
    <w:rsid w:val="0024485B"/>
    <w:pPr>
      <w:keepNext/>
      <w:spacing w:line="240" w:lineRule="auto"/>
      <w:jc w:val="center"/>
      <w:outlineLvl w:val="0"/>
    </w:pPr>
    <w:rPr>
      <w:rFonts w:ascii="Times" w:hAnsi="Times" w:cs="Times New Roman"/>
      <w:b/>
      <w:sz w:val="44"/>
      <w:szCs w:val="20"/>
    </w:rPr>
  </w:style>
  <w:style w:type="paragraph" w:styleId="Heading7">
    <w:name w:val="heading 7"/>
    <w:basedOn w:val="Normal"/>
    <w:next w:val="Normal"/>
    <w:link w:val="Heading7Char"/>
    <w:qFormat/>
    <w:rsid w:val="003936A1"/>
    <w:pPr>
      <w:keepNext/>
      <w:widowControl w:val="0"/>
      <w:outlineLvl w:val="6"/>
    </w:pPr>
    <w:rPr>
      <w:b/>
      <w:szCs w:val="22"/>
    </w:rPr>
  </w:style>
  <w:style w:type="paragraph" w:styleId="Heading8">
    <w:name w:val="heading 8"/>
    <w:basedOn w:val="Normal"/>
    <w:next w:val="Normal"/>
    <w:link w:val="Heading8Char"/>
    <w:qFormat/>
    <w:rsid w:val="003936A1"/>
    <w:pPr>
      <w:keepNext/>
      <w:outlineLvl w:val="7"/>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8023F"/>
    <w:pPr>
      <w:spacing w:line="240" w:lineRule="auto"/>
      <w:ind w:left="720"/>
    </w:pPr>
    <w:rPr>
      <w:rFonts w:eastAsiaTheme="minorHAnsi" w:cs="Times New Roman"/>
      <w:szCs w:val="22"/>
      <w:lang w:eastAsia="en-US"/>
    </w:rPr>
  </w:style>
  <w:style w:type="character" w:customStyle="1" w:styleId="Heading7Char">
    <w:name w:val="Heading 7 Char"/>
    <w:basedOn w:val="DefaultParagraphFont"/>
    <w:link w:val="Heading7"/>
    <w:rsid w:val="003936A1"/>
    <w:rPr>
      <w:rFonts w:ascii="Calibri" w:eastAsia="Times New Roman" w:hAnsi="Calibri" w:cs="Arial"/>
      <w:b/>
      <w:lang w:eastAsia="en-AU"/>
    </w:rPr>
  </w:style>
  <w:style w:type="character" w:customStyle="1" w:styleId="Heading8Char">
    <w:name w:val="Heading 8 Char"/>
    <w:basedOn w:val="DefaultParagraphFont"/>
    <w:link w:val="Heading8"/>
    <w:rsid w:val="003936A1"/>
    <w:rPr>
      <w:rFonts w:ascii="Calibri" w:eastAsia="Times New Roman" w:hAnsi="Calibri" w:cs="Arial"/>
      <w:b/>
      <w:lang w:eastAsia="en-AU"/>
    </w:rPr>
  </w:style>
  <w:style w:type="paragraph" w:customStyle="1" w:styleId="NormalBase">
    <w:name w:val="Normal Base"/>
    <w:link w:val="NormalBaseChar2"/>
    <w:semiHidden/>
    <w:rsid w:val="003936A1"/>
    <w:pPr>
      <w:spacing w:before="140" w:after="140" w:line="280" w:lineRule="atLeast"/>
    </w:pPr>
    <w:rPr>
      <w:rFonts w:ascii="Arial" w:eastAsia="Times New Roman" w:hAnsi="Arial" w:cs="Arial"/>
      <w:lang w:eastAsia="en-AU"/>
    </w:rPr>
  </w:style>
  <w:style w:type="paragraph" w:customStyle="1" w:styleId="NumberLevel1">
    <w:name w:val="Number Level 1"/>
    <w:basedOn w:val="Normal"/>
    <w:link w:val="NumberLevel1Char1"/>
    <w:rsid w:val="003936A1"/>
    <w:pPr>
      <w:spacing w:before="140" w:after="140" w:line="280" w:lineRule="atLeast"/>
    </w:pPr>
    <w:rPr>
      <w:rFonts w:ascii="Arial" w:hAnsi="Arial"/>
      <w:szCs w:val="22"/>
    </w:rPr>
  </w:style>
  <w:style w:type="character" w:styleId="FootnoteReference">
    <w:name w:val="footnote reference"/>
    <w:uiPriority w:val="99"/>
    <w:semiHidden/>
    <w:rsid w:val="003936A1"/>
    <w:rPr>
      <w:rFonts w:ascii="Arial" w:hAnsi="Arial" w:cs="Arial"/>
      <w:b w:val="0"/>
      <w:i w:val="0"/>
      <w:sz w:val="22"/>
      <w:vertAlign w:val="superscript"/>
    </w:rPr>
  </w:style>
  <w:style w:type="character" w:customStyle="1" w:styleId="NormalBaseChar2">
    <w:name w:val="Normal Base Char2"/>
    <w:link w:val="NormalBase"/>
    <w:semiHidden/>
    <w:rsid w:val="003936A1"/>
    <w:rPr>
      <w:rFonts w:ascii="Arial" w:eastAsia="Times New Roman" w:hAnsi="Arial" w:cs="Arial"/>
      <w:lang w:eastAsia="en-AU"/>
    </w:rPr>
  </w:style>
  <w:style w:type="character" w:customStyle="1" w:styleId="NumberLevel1Char1">
    <w:name w:val="Number Level 1 Char1"/>
    <w:link w:val="NumberLevel1"/>
    <w:rsid w:val="003936A1"/>
    <w:rPr>
      <w:rFonts w:ascii="Arial" w:eastAsia="Times New Roman" w:hAnsi="Arial" w:cs="Arial"/>
      <w:lang w:eastAsia="en-AU"/>
    </w:rPr>
  </w:style>
  <w:style w:type="paragraph" w:customStyle="1" w:styleId="NormalNumbered">
    <w:name w:val="NormalNumbered"/>
    <w:basedOn w:val="Normal"/>
    <w:link w:val="NormalNumberedChar"/>
    <w:qFormat/>
    <w:rsid w:val="003936A1"/>
    <w:pPr>
      <w:numPr>
        <w:numId w:val="3"/>
      </w:numPr>
      <w:spacing w:after="160"/>
    </w:pPr>
    <w:rPr>
      <w:rFonts w:eastAsia="Calibri" w:cs="Times New Roman"/>
      <w:szCs w:val="22"/>
      <w:lang w:eastAsia="en-US"/>
    </w:rPr>
  </w:style>
  <w:style w:type="character" w:customStyle="1" w:styleId="NormalNumberedChar">
    <w:name w:val="NormalNumbered Char"/>
    <w:link w:val="NormalNumbered"/>
    <w:rsid w:val="003936A1"/>
    <w:rPr>
      <w:rFonts w:ascii="Calibri" w:eastAsia="Calibri" w:hAnsi="Calibri" w:cs="Times New Roman"/>
    </w:rPr>
  </w:style>
  <w:style w:type="paragraph" w:customStyle="1" w:styleId="NormalAlphaCap">
    <w:name w:val="NormalAlphaCap"/>
    <w:basedOn w:val="Normal"/>
    <w:link w:val="NormalAlphaCapChar"/>
    <w:qFormat/>
    <w:rsid w:val="003936A1"/>
    <w:pPr>
      <w:numPr>
        <w:numId w:val="2"/>
      </w:numPr>
      <w:ind w:left="1635"/>
    </w:pPr>
  </w:style>
  <w:style w:type="paragraph" w:customStyle="1" w:styleId="NormalDash">
    <w:name w:val="NormalDash"/>
    <w:basedOn w:val="Normal"/>
    <w:link w:val="NormalDashChar"/>
    <w:qFormat/>
    <w:rsid w:val="003936A1"/>
    <w:pPr>
      <w:numPr>
        <w:numId w:val="4"/>
      </w:numPr>
      <w:spacing w:after="120"/>
      <w:ind w:left="1139" w:hanging="357"/>
    </w:pPr>
  </w:style>
  <w:style w:type="character" w:customStyle="1" w:styleId="NormalAlphaCapChar">
    <w:name w:val="NormalAlphaCap Char"/>
    <w:link w:val="NormalAlphaCap"/>
    <w:rsid w:val="003936A1"/>
    <w:rPr>
      <w:rFonts w:ascii="Calibri" w:eastAsia="Times New Roman" w:hAnsi="Calibri" w:cs="Arial"/>
      <w:szCs w:val="24"/>
      <w:lang w:eastAsia="en-AU"/>
    </w:rPr>
  </w:style>
  <w:style w:type="character" w:customStyle="1" w:styleId="NormalDashChar">
    <w:name w:val="NormalDash Char"/>
    <w:link w:val="NormalDash"/>
    <w:rsid w:val="003936A1"/>
    <w:rPr>
      <w:rFonts w:ascii="Calibri" w:eastAsia="Times New Roman" w:hAnsi="Calibri" w:cs="Arial"/>
      <w:szCs w:val="24"/>
      <w:lang w:eastAsia="en-AU"/>
    </w:rPr>
  </w:style>
  <w:style w:type="paragraph" w:customStyle="1" w:styleId="Footnote">
    <w:name w:val="Footnote"/>
    <w:basedOn w:val="FootnoteText"/>
    <w:link w:val="FootnoteChar"/>
    <w:qFormat/>
    <w:rsid w:val="003936A1"/>
    <w:pPr>
      <w:tabs>
        <w:tab w:val="left" w:pos="-26"/>
        <w:tab w:val="left" w:pos="286"/>
        <w:tab w:val="left" w:pos="425"/>
      </w:tabs>
      <w:spacing w:after="60"/>
      <w:ind w:left="425" w:right="567" w:hanging="425"/>
    </w:pPr>
    <w:rPr>
      <w:sz w:val="18"/>
    </w:rPr>
  </w:style>
  <w:style w:type="character" w:customStyle="1" w:styleId="FootnoteChar">
    <w:name w:val="Footnote Char"/>
    <w:link w:val="Footnote"/>
    <w:rsid w:val="003936A1"/>
    <w:rPr>
      <w:rFonts w:ascii="Calibri" w:eastAsia="Times New Roman" w:hAnsi="Calibri" w:cs="Arial"/>
      <w:sz w:val="18"/>
      <w:szCs w:val="20"/>
      <w:lang w:eastAsia="en-AU"/>
    </w:rPr>
  </w:style>
  <w:style w:type="paragraph" w:styleId="FootnoteText">
    <w:name w:val="footnote text"/>
    <w:basedOn w:val="Normal"/>
    <w:link w:val="FootnoteTextChar"/>
    <w:uiPriority w:val="99"/>
    <w:semiHidden/>
    <w:unhideWhenUsed/>
    <w:rsid w:val="003936A1"/>
    <w:pPr>
      <w:spacing w:line="240" w:lineRule="auto"/>
    </w:pPr>
    <w:rPr>
      <w:sz w:val="20"/>
      <w:szCs w:val="20"/>
    </w:rPr>
  </w:style>
  <w:style w:type="character" w:customStyle="1" w:styleId="FootnoteTextChar">
    <w:name w:val="Footnote Text Char"/>
    <w:basedOn w:val="DefaultParagraphFont"/>
    <w:link w:val="FootnoteText"/>
    <w:uiPriority w:val="99"/>
    <w:semiHidden/>
    <w:rsid w:val="003936A1"/>
    <w:rPr>
      <w:rFonts w:ascii="Calibri" w:eastAsia="Times New Roman" w:hAnsi="Calibri" w:cs="Arial"/>
      <w:sz w:val="20"/>
      <w:szCs w:val="20"/>
      <w:lang w:eastAsia="en-AU"/>
    </w:rPr>
  </w:style>
  <w:style w:type="character" w:styleId="Hyperlink">
    <w:name w:val="Hyperlink"/>
    <w:basedOn w:val="DefaultParagraphFont"/>
    <w:uiPriority w:val="99"/>
    <w:unhideWhenUsed/>
    <w:rsid w:val="003936A1"/>
    <w:rPr>
      <w:color w:val="0563C1" w:themeColor="hyperlink"/>
      <w:u w:val="single"/>
    </w:rPr>
  </w:style>
  <w:style w:type="character" w:customStyle="1" w:styleId="Heading1Char">
    <w:name w:val="Heading 1 Char"/>
    <w:basedOn w:val="DefaultParagraphFont"/>
    <w:link w:val="Heading1"/>
    <w:rsid w:val="0024485B"/>
    <w:rPr>
      <w:rFonts w:ascii="Times" w:eastAsia="Times New Roman" w:hAnsi="Times" w:cs="Times New Roman"/>
      <w:b/>
      <w:sz w:val="44"/>
      <w:szCs w:val="20"/>
      <w:lang w:eastAsia="en-AU"/>
    </w:rPr>
  </w:style>
  <w:style w:type="paragraph" w:styleId="Header">
    <w:name w:val="header"/>
    <w:basedOn w:val="Normal"/>
    <w:link w:val="HeaderChar"/>
    <w:uiPriority w:val="99"/>
    <w:rsid w:val="0024485B"/>
    <w:pPr>
      <w:tabs>
        <w:tab w:val="center" w:pos="4153"/>
        <w:tab w:val="right" w:pos="8306"/>
      </w:tabs>
      <w:spacing w:line="240" w:lineRule="auto"/>
    </w:pPr>
    <w:rPr>
      <w:rFonts w:ascii="Times" w:hAnsi="Times" w:cs="Times New Roman"/>
      <w:sz w:val="24"/>
      <w:szCs w:val="20"/>
    </w:rPr>
  </w:style>
  <w:style w:type="character" w:customStyle="1" w:styleId="HeaderChar">
    <w:name w:val="Header Char"/>
    <w:basedOn w:val="DefaultParagraphFont"/>
    <w:link w:val="Header"/>
    <w:uiPriority w:val="99"/>
    <w:rsid w:val="0024485B"/>
    <w:rPr>
      <w:rFonts w:ascii="Times" w:eastAsia="Times New Roman" w:hAnsi="Times" w:cs="Times New Roman"/>
      <w:sz w:val="24"/>
      <w:szCs w:val="20"/>
      <w:lang w:eastAsia="en-AU"/>
    </w:rPr>
  </w:style>
  <w:style w:type="paragraph" w:styleId="Footer">
    <w:name w:val="footer"/>
    <w:basedOn w:val="Normal"/>
    <w:link w:val="FooterChar"/>
    <w:uiPriority w:val="99"/>
    <w:rsid w:val="0024485B"/>
    <w:pPr>
      <w:tabs>
        <w:tab w:val="center" w:pos="4153"/>
        <w:tab w:val="right" w:pos="8306"/>
      </w:tabs>
      <w:spacing w:line="240" w:lineRule="auto"/>
    </w:pPr>
    <w:rPr>
      <w:rFonts w:ascii="Times" w:hAnsi="Times" w:cs="Times New Roman"/>
      <w:sz w:val="24"/>
      <w:szCs w:val="20"/>
    </w:rPr>
  </w:style>
  <w:style w:type="character" w:customStyle="1" w:styleId="FooterChar">
    <w:name w:val="Footer Char"/>
    <w:basedOn w:val="DefaultParagraphFont"/>
    <w:link w:val="Footer"/>
    <w:uiPriority w:val="99"/>
    <w:rsid w:val="0024485B"/>
    <w:rPr>
      <w:rFonts w:ascii="Times" w:eastAsia="Times New Roman" w:hAnsi="Times" w:cs="Times New Roman"/>
      <w:sz w:val="24"/>
      <w:szCs w:val="20"/>
      <w:lang w:eastAsia="en-AU"/>
    </w:rPr>
  </w:style>
  <w:style w:type="paragraph" w:styleId="BalloonText">
    <w:name w:val="Balloon Text"/>
    <w:basedOn w:val="Normal"/>
    <w:link w:val="BalloonTextChar"/>
    <w:semiHidden/>
    <w:rsid w:val="0024485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4485B"/>
    <w:rPr>
      <w:rFonts w:ascii="Tahoma" w:eastAsia="Times New Roman" w:hAnsi="Tahoma" w:cs="Tahoma"/>
      <w:sz w:val="16"/>
      <w:szCs w:val="16"/>
      <w:lang w:eastAsia="en-AU"/>
    </w:rPr>
  </w:style>
  <w:style w:type="paragraph" w:styleId="BodyTextIndent">
    <w:name w:val="Body Text Indent"/>
    <w:basedOn w:val="Normal"/>
    <w:link w:val="BodyTextIndentChar"/>
    <w:rsid w:val="001B55AF"/>
    <w:pPr>
      <w:spacing w:line="240" w:lineRule="auto"/>
      <w:ind w:left="720"/>
      <w:jc w:val="both"/>
    </w:pPr>
    <w:rPr>
      <w:rFonts w:ascii="Times New Roman" w:hAnsi="Times New Roman" w:cs="Times New Roman"/>
      <w:b/>
      <w:szCs w:val="20"/>
    </w:rPr>
  </w:style>
  <w:style w:type="character" w:customStyle="1" w:styleId="BodyTextIndentChar">
    <w:name w:val="Body Text Indent Char"/>
    <w:basedOn w:val="DefaultParagraphFont"/>
    <w:link w:val="BodyTextIndent"/>
    <w:rsid w:val="001B55AF"/>
    <w:rPr>
      <w:rFonts w:ascii="Times New Roman" w:eastAsia="Times New Roman" w:hAnsi="Times New Roman" w:cs="Times New Roman"/>
      <w:b/>
      <w:szCs w:val="20"/>
      <w:lang w:eastAsia="en-AU"/>
    </w:rPr>
  </w:style>
  <w:style w:type="paragraph" w:styleId="BodyText">
    <w:name w:val="Body Text"/>
    <w:basedOn w:val="Normal"/>
    <w:link w:val="BodyTextChar"/>
    <w:uiPriority w:val="1"/>
    <w:qFormat/>
    <w:rsid w:val="001B55AF"/>
    <w:pPr>
      <w:spacing w:line="240" w:lineRule="auto"/>
    </w:pPr>
    <w:rPr>
      <w:rFonts w:ascii="Times New Roman" w:hAnsi="Times New Roman" w:cs="Times New Roman"/>
      <w:sz w:val="24"/>
      <w:szCs w:val="20"/>
    </w:rPr>
  </w:style>
  <w:style w:type="character" w:customStyle="1" w:styleId="BodyTextChar">
    <w:name w:val="Body Text Char"/>
    <w:basedOn w:val="DefaultParagraphFont"/>
    <w:link w:val="BodyText"/>
    <w:uiPriority w:val="1"/>
    <w:rsid w:val="001B55AF"/>
    <w:rPr>
      <w:rFonts w:ascii="Times New Roman" w:eastAsia="Times New Roman" w:hAnsi="Times New Roman" w:cs="Times New Roman"/>
      <w:sz w:val="24"/>
      <w:szCs w:val="20"/>
      <w:lang w:eastAsia="en-AU"/>
    </w:rPr>
  </w:style>
  <w:style w:type="paragraph" w:customStyle="1" w:styleId="NormalBullet">
    <w:name w:val="NormalBullet"/>
    <w:basedOn w:val="Normal"/>
    <w:link w:val="NormalBulletChar"/>
    <w:qFormat/>
    <w:rsid w:val="00A6058B"/>
    <w:pPr>
      <w:numPr>
        <w:numId w:val="17"/>
      </w:numPr>
      <w:autoSpaceDE w:val="0"/>
      <w:autoSpaceDN w:val="0"/>
      <w:adjustRightInd w:val="0"/>
      <w:spacing w:before="100" w:after="100"/>
    </w:pPr>
  </w:style>
  <w:style w:type="character" w:customStyle="1" w:styleId="NormalBulletChar">
    <w:name w:val="NormalBullet Char"/>
    <w:basedOn w:val="DefaultParagraphFont"/>
    <w:link w:val="NormalBullet"/>
    <w:rsid w:val="00A6058B"/>
    <w:rPr>
      <w:rFonts w:ascii="Calibri" w:eastAsia="Times New Roman" w:hAnsi="Calibri" w:cs="Arial"/>
      <w:szCs w:val="24"/>
      <w:lang w:eastAsia="en-AU"/>
    </w:rPr>
  </w:style>
  <w:style w:type="paragraph" w:customStyle="1" w:styleId="Heading6AppendixHeading">
    <w:name w:val="Heading 6_AppendixHeading"/>
    <w:basedOn w:val="Heading1"/>
    <w:link w:val="Heading6AppendixHeadingChar"/>
    <w:qFormat/>
    <w:rsid w:val="00A6058B"/>
    <w:pPr>
      <w:keepLines/>
      <w:spacing w:after="120" w:line="360" w:lineRule="auto"/>
      <w:jc w:val="left"/>
    </w:pPr>
    <w:rPr>
      <w:rFonts w:ascii="Calibri" w:hAnsi="Calibri" w:cs="Arial"/>
      <w:bCs/>
      <w:caps/>
      <w:kern w:val="32"/>
      <w:szCs w:val="24"/>
    </w:rPr>
  </w:style>
  <w:style w:type="character" w:customStyle="1" w:styleId="Heading6AppendixHeadingChar">
    <w:name w:val="Heading 6_AppendixHeading Char"/>
    <w:basedOn w:val="Heading1Char"/>
    <w:link w:val="Heading6AppendixHeading"/>
    <w:rsid w:val="00A6058B"/>
    <w:rPr>
      <w:rFonts w:ascii="Calibri" w:eastAsia="Times New Roman" w:hAnsi="Calibri" w:cs="Arial"/>
      <w:b/>
      <w:bCs/>
      <w:caps/>
      <w:kern w:val="32"/>
      <w:sz w:val="44"/>
      <w:szCs w:val="24"/>
      <w:lang w:eastAsia="en-AU"/>
    </w:rPr>
  </w:style>
  <w:style w:type="paragraph" w:customStyle="1" w:styleId="TableParagraph">
    <w:name w:val="Table Paragraph"/>
    <w:basedOn w:val="Normal"/>
    <w:uiPriority w:val="1"/>
    <w:qFormat/>
    <w:rsid w:val="00037AE2"/>
    <w:pPr>
      <w:widowControl w:val="0"/>
      <w:spacing w:line="240" w:lineRule="auto"/>
    </w:pPr>
    <w:rPr>
      <w:rFonts w:asciiTheme="minorHAnsi" w:eastAsiaTheme="minorHAnsi" w:hAnsiTheme="minorHAnsi" w:cstheme="minorBidi"/>
      <w:szCs w:val="22"/>
      <w:lang w:val="en-US" w:eastAsia="en-US"/>
    </w:rPr>
  </w:style>
  <w:style w:type="character" w:styleId="FollowedHyperlink">
    <w:name w:val="FollowedHyperlink"/>
    <w:basedOn w:val="DefaultParagraphFont"/>
    <w:uiPriority w:val="99"/>
    <w:semiHidden/>
    <w:unhideWhenUsed/>
    <w:rsid w:val="004C6217"/>
    <w:rPr>
      <w:color w:val="954F72"/>
      <w:u w:val="single"/>
    </w:rPr>
  </w:style>
  <w:style w:type="paragraph" w:customStyle="1" w:styleId="xl63">
    <w:name w:val="xl63"/>
    <w:basedOn w:val="Normal"/>
    <w:rsid w:val="004C6217"/>
    <w:pPr>
      <w:spacing w:before="100" w:beforeAutospacing="1" w:after="100" w:afterAutospacing="1" w:line="240" w:lineRule="auto"/>
    </w:pPr>
    <w:rPr>
      <w:rFonts w:ascii="Times New Roman" w:hAnsi="Times New Roman" w:cs="Times New Roman"/>
      <w:sz w:val="24"/>
    </w:rPr>
  </w:style>
  <w:style w:type="paragraph" w:customStyle="1" w:styleId="xl64">
    <w:name w:val="xl64"/>
    <w:basedOn w:val="Normal"/>
    <w:rsid w:val="004C62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rPr>
  </w:style>
  <w:style w:type="paragraph" w:customStyle="1" w:styleId="xl65">
    <w:name w:val="xl65"/>
    <w:basedOn w:val="Normal"/>
    <w:rsid w:val="004C62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126200">
      <w:bodyDiv w:val="1"/>
      <w:marLeft w:val="0"/>
      <w:marRight w:val="0"/>
      <w:marTop w:val="0"/>
      <w:marBottom w:val="0"/>
      <w:divBdr>
        <w:top w:val="none" w:sz="0" w:space="0" w:color="auto"/>
        <w:left w:val="none" w:sz="0" w:space="0" w:color="auto"/>
        <w:bottom w:val="none" w:sz="0" w:space="0" w:color="auto"/>
        <w:right w:val="none" w:sz="0" w:space="0" w:color="auto"/>
      </w:divBdr>
    </w:div>
    <w:div w:id="107088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25</Pages>
  <Words>10960</Words>
  <Characters>62475</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Bowman, Jan</dc:creator>
  <cp:keywords/>
  <dc:description/>
  <cp:lastModifiedBy>Bowman, Jan</cp:lastModifiedBy>
  <cp:revision>12</cp:revision>
  <dcterms:created xsi:type="dcterms:W3CDTF">2018-06-18T23:54:00Z</dcterms:created>
  <dcterms:modified xsi:type="dcterms:W3CDTF">2018-06-21T02:42:00Z</dcterms:modified>
</cp:coreProperties>
</file>