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384AD" w14:textId="34FE2040" w:rsidR="00A06D36" w:rsidRPr="006723C5" w:rsidRDefault="00A06D36">
      <w:pPr>
        <w:spacing w:line="240" w:lineRule="auto"/>
        <w:rPr>
          <w:b/>
          <w:szCs w:val="22"/>
        </w:rPr>
      </w:pPr>
    </w:p>
    <w:p w14:paraId="2BD52A21" w14:textId="4E5DD7B2" w:rsidR="002A4F0C" w:rsidRPr="002A4F0C" w:rsidRDefault="00A96378" w:rsidP="002A4F0C">
      <w:pPr>
        <w:jc w:val="center"/>
      </w:pPr>
      <w:r w:rsidRPr="00347878">
        <w:rPr>
          <w:noProof/>
        </w:rPr>
        <w:drawing>
          <wp:inline distT="0" distB="0" distL="0" distR="0" wp14:anchorId="68C907DB" wp14:editId="5CA55940">
            <wp:extent cx="1371600" cy="1134110"/>
            <wp:effectExtent l="0" t="0" r="0" b="889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4110"/>
                    </a:xfrm>
                    <a:prstGeom prst="rect">
                      <a:avLst/>
                    </a:prstGeom>
                    <a:noFill/>
                    <a:ln>
                      <a:noFill/>
                    </a:ln>
                  </pic:spPr>
                </pic:pic>
              </a:graphicData>
            </a:graphic>
          </wp:inline>
        </w:drawing>
      </w:r>
    </w:p>
    <w:p w14:paraId="2BBDFA46" w14:textId="77777777" w:rsidR="002A4F0C" w:rsidRPr="002A4F0C" w:rsidRDefault="002A4F0C" w:rsidP="002A4F0C">
      <w:pPr>
        <w:jc w:val="center"/>
        <w:rPr>
          <w:spacing w:val="-5"/>
          <w:sz w:val="28"/>
          <w:szCs w:val="28"/>
        </w:rPr>
      </w:pPr>
      <w:r w:rsidRPr="002A4F0C">
        <w:rPr>
          <w:spacing w:val="-5"/>
          <w:sz w:val="28"/>
          <w:szCs w:val="28"/>
        </w:rPr>
        <w:t xml:space="preserve">Specialist Medical </w:t>
      </w:r>
      <w:r w:rsidRPr="002A4F0C">
        <w:rPr>
          <w:spacing w:val="-15"/>
          <w:sz w:val="28"/>
          <w:szCs w:val="28"/>
        </w:rPr>
        <w:t>Re</w:t>
      </w:r>
      <w:r w:rsidRPr="002A4F0C">
        <w:rPr>
          <w:spacing w:val="-5"/>
          <w:sz w:val="28"/>
          <w:szCs w:val="28"/>
        </w:rPr>
        <w:t>view Council</w:t>
      </w:r>
    </w:p>
    <w:p w14:paraId="32371171" w14:textId="77777777" w:rsidR="002A4F0C" w:rsidRPr="002A4F0C" w:rsidRDefault="002A4F0C" w:rsidP="002A4F0C">
      <w:pPr>
        <w:keepNext/>
        <w:widowControl w:val="0"/>
        <w:jc w:val="center"/>
        <w:outlineLvl w:val="6"/>
        <w:rPr>
          <w:b/>
          <w:sz w:val="28"/>
          <w:szCs w:val="28"/>
        </w:rPr>
      </w:pPr>
      <w:r w:rsidRPr="002A4F0C">
        <w:rPr>
          <w:b/>
          <w:sz w:val="28"/>
          <w:szCs w:val="28"/>
        </w:rPr>
        <w:t>Declaration and Reasons for Decisions</w:t>
      </w:r>
    </w:p>
    <w:p w14:paraId="05A4F6DE" w14:textId="77777777" w:rsidR="002A4F0C" w:rsidRPr="002A4F0C" w:rsidRDefault="002A4F0C" w:rsidP="002A4F0C">
      <w:pPr>
        <w:widowControl w:val="0"/>
        <w:jc w:val="center"/>
        <w:rPr>
          <w:i/>
          <w:sz w:val="28"/>
          <w:szCs w:val="28"/>
        </w:rPr>
      </w:pPr>
      <w:r w:rsidRPr="002A4F0C">
        <w:rPr>
          <w:i/>
          <w:sz w:val="28"/>
          <w:szCs w:val="28"/>
        </w:rPr>
        <w:t>Section 196W</w:t>
      </w:r>
      <w:r w:rsidRPr="002A4F0C">
        <w:rPr>
          <w:i/>
          <w:sz w:val="28"/>
          <w:szCs w:val="28"/>
        </w:rPr>
        <w:br/>
        <w:t>Veterans’ Entitlements Act 1986</w:t>
      </w:r>
    </w:p>
    <w:p w14:paraId="249F5BD2" w14:textId="77777777" w:rsidR="002A4F0C" w:rsidRPr="002A4F0C" w:rsidRDefault="002A4F0C" w:rsidP="002A4F0C">
      <w:pPr>
        <w:jc w:val="center"/>
      </w:pPr>
    </w:p>
    <w:p w14:paraId="10925179" w14:textId="77777777" w:rsidR="002A4F0C" w:rsidRPr="002A4F0C" w:rsidRDefault="002A4F0C" w:rsidP="002A4F0C">
      <w:pPr>
        <w:pBdr>
          <w:top w:val="single" w:sz="12" w:space="1" w:color="auto"/>
        </w:pBdr>
        <w:ind w:left="3119" w:right="3119"/>
        <w:jc w:val="center"/>
      </w:pPr>
    </w:p>
    <w:p w14:paraId="584C3BB0" w14:textId="77777777" w:rsidR="002A4F0C" w:rsidRPr="002A4F0C" w:rsidRDefault="002A4F0C" w:rsidP="002A4F0C">
      <w:pPr>
        <w:jc w:val="center"/>
        <w:rPr>
          <w:b/>
          <w:sz w:val="24"/>
        </w:rPr>
      </w:pPr>
      <w:r w:rsidRPr="002A4F0C">
        <w:rPr>
          <w:b/>
          <w:sz w:val="24"/>
        </w:rPr>
        <w:t xml:space="preserve">Re: Statements of Principles Nos. 55 and 56 of 2014 </w:t>
      </w:r>
    </w:p>
    <w:p w14:paraId="7F9AB9A2" w14:textId="77777777" w:rsidR="002A4F0C" w:rsidRPr="002A4F0C" w:rsidRDefault="002A4F0C" w:rsidP="002A4F0C">
      <w:pPr>
        <w:jc w:val="center"/>
        <w:rPr>
          <w:b/>
          <w:sz w:val="24"/>
        </w:rPr>
      </w:pPr>
      <w:r w:rsidRPr="002A4F0C">
        <w:rPr>
          <w:b/>
          <w:sz w:val="24"/>
        </w:rPr>
        <w:t>in respect of Chronic Multisymptom Illness</w:t>
      </w:r>
    </w:p>
    <w:p w14:paraId="6DD06EDD" w14:textId="77777777" w:rsidR="002A4F0C" w:rsidRPr="002A4F0C" w:rsidRDefault="002A4F0C" w:rsidP="002A4F0C">
      <w:pPr>
        <w:ind w:left="1701" w:right="1701"/>
        <w:jc w:val="center"/>
        <w:rPr>
          <w:sz w:val="24"/>
        </w:rPr>
      </w:pPr>
      <w:r w:rsidRPr="002A4F0C">
        <w:rPr>
          <w:sz w:val="24"/>
        </w:rPr>
        <w:t>Request for Review Declaration No. 33</w:t>
      </w:r>
    </w:p>
    <w:p w14:paraId="703A0D97" w14:textId="77777777" w:rsidR="002A4F0C" w:rsidRPr="002A4F0C" w:rsidRDefault="002A4F0C" w:rsidP="00302089">
      <w:pPr>
        <w:pStyle w:val="Heading1"/>
        <w:jc w:val="center"/>
      </w:pPr>
      <w:bookmarkStart w:id="0" w:name="_Toc521068757"/>
      <w:r w:rsidRPr="002A4F0C">
        <w:t>APPENDICES</w:t>
      </w:r>
      <w:bookmarkEnd w:id="0"/>
    </w:p>
    <w:p w14:paraId="7E285D0D" w14:textId="77777777" w:rsidR="002A4F0C" w:rsidRPr="002A4F0C" w:rsidRDefault="002A4F0C" w:rsidP="002A4F0C">
      <w:pPr>
        <w:jc w:val="center"/>
        <w:rPr>
          <w:b/>
          <w:sz w:val="24"/>
        </w:rPr>
      </w:pPr>
    </w:p>
    <w:p w14:paraId="6D86BE05" w14:textId="77777777" w:rsidR="002A4F0C" w:rsidRPr="002A4F0C" w:rsidRDefault="002A4F0C" w:rsidP="002A4F0C">
      <w:pPr>
        <w:rPr>
          <w:rFonts w:cs="Times New Roman"/>
          <w:sz w:val="24"/>
        </w:rPr>
      </w:pPr>
      <w:r w:rsidRPr="002A4F0C">
        <w:rPr>
          <w:b/>
          <w:sz w:val="24"/>
        </w:rPr>
        <w:t>APPENDIX A</w:t>
      </w:r>
      <w:r w:rsidRPr="002A4F0C">
        <w:rPr>
          <w:sz w:val="24"/>
        </w:rPr>
        <w:t>:  THE CONSTITUTED COUNCIL AND LEGISLATIVE FRAMEWORK OF THE REVIEW</w:t>
      </w:r>
    </w:p>
    <w:p w14:paraId="6534C139" w14:textId="77777777" w:rsidR="002A4F0C" w:rsidRPr="002A4F0C" w:rsidRDefault="002A4F0C" w:rsidP="002A4F0C">
      <w:pPr>
        <w:rPr>
          <w:sz w:val="24"/>
        </w:rPr>
      </w:pPr>
    </w:p>
    <w:p w14:paraId="33E587D7" w14:textId="77777777" w:rsidR="002A4F0C" w:rsidRPr="002A4F0C" w:rsidRDefault="002A4F0C" w:rsidP="002A4F0C">
      <w:pPr>
        <w:rPr>
          <w:sz w:val="24"/>
        </w:rPr>
      </w:pPr>
      <w:r w:rsidRPr="002A4F0C">
        <w:rPr>
          <w:b/>
          <w:sz w:val="24"/>
        </w:rPr>
        <w:t>APPENDIX B</w:t>
      </w:r>
      <w:r w:rsidRPr="002A4F0C">
        <w:rPr>
          <w:sz w:val="24"/>
        </w:rPr>
        <w:t xml:space="preserve">:  </w:t>
      </w:r>
    </w:p>
    <w:p w14:paraId="07991EAC" w14:textId="77777777" w:rsidR="002A4F0C" w:rsidRPr="005B5A51" w:rsidRDefault="002A4F0C" w:rsidP="0014753E">
      <w:pPr>
        <w:numPr>
          <w:ilvl w:val="0"/>
          <w:numId w:val="31"/>
        </w:numPr>
        <w:spacing w:line="240" w:lineRule="auto"/>
        <w:rPr>
          <w:rFonts w:eastAsia="Calibri" w:cs="Times New Roman"/>
          <w:sz w:val="24"/>
          <w:lang w:eastAsia="en-US"/>
        </w:rPr>
      </w:pPr>
      <w:r w:rsidRPr="005B5A51">
        <w:rPr>
          <w:rFonts w:eastAsia="Calibri" w:cs="Times New Roman"/>
          <w:sz w:val="24"/>
          <w:lang w:eastAsia="en-US"/>
        </w:rPr>
        <w:t xml:space="preserve">APPENDIX  B1: MATERIAL BEFORE THE RMA </w:t>
      </w:r>
    </w:p>
    <w:p w14:paraId="183A5E9D" w14:textId="77777777" w:rsidR="002A4F0C" w:rsidRPr="005B5A51" w:rsidRDefault="002A4F0C" w:rsidP="0014753E">
      <w:pPr>
        <w:numPr>
          <w:ilvl w:val="0"/>
          <w:numId w:val="31"/>
        </w:numPr>
        <w:spacing w:line="240" w:lineRule="auto"/>
        <w:rPr>
          <w:rFonts w:eastAsia="Calibri" w:cs="Times New Roman"/>
          <w:sz w:val="24"/>
          <w:lang w:eastAsia="en-US"/>
        </w:rPr>
      </w:pPr>
      <w:r w:rsidRPr="005B5A51">
        <w:rPr>
          <w:rFonts w:eastAsia="Calibri" w:cs="Times New Roman"/>
          <w:sz w:val="24"/>
          <w:lang w:eastAsia="en-US"/>
        </w:rPr>
        <w:t>APPENDIX  B2: NEW MATERIAL WHICH WAS NOT BEFORE THE RMA</w:t>
      </w:r>
    </w:p>
    <w:p w14:paraId="124C745F" w14:textId="77777777" w:rsidR="002A4F0C" w:rsidRPr="005B5A51" w:rsidRDefault="002A4F0C" w:rsidP="002A4F0C">
      <w:pPr>
        <w:spacing w:after="160" w:line="259" w:lineRule="auto"/>
        <w:rPr>
          <w:rFonts w:eastAsia="Calibri" w:cs="Times New Roman"/>
          <w:sz w:val="24"/>
          <w:lang w:eastAsia="en-US"/>
        </w:rPr>
      </w:pPr>
      <w:r w:rsidRPr="002A4F0C">
        <w:rPr>
          <w:sz w:val="24"/>
        </w:rPr>
        <w:br w:type="page"/>
      </w:r>
      <w:bookmarkStart w:id="1" w:name="_GoBack"/>
      <w:bookmarkEnd w:id="1"/>
    </w:p>
    <w:p w14:paraId="1A1910FE" w14:textId="77777777" w:rsidR="002A4F0C" w:rsidRPr="002A4F0C" w:rsidRDefault="002A4F0C" w:rsidP="00302089">
      <w:pPr>
        <w:pStyle w:val="Heading6"/>
      </w:pPr>
      <w:bookmarkStart w:id="2" w:name="_Toc495411577"/>
      <w:bookmarkStart w:id="3" w:name="_Toc521068758"/>
      <w:r w:rsidRPr="002A4F0C">
        <w:lastRenderedPageBreak/>
        <w:t>APPENDIX A:  THE CONSTITUTED COUNCIL AND LEGISLATIVE FRAMEWORK OF THE REVIEW</w:t>
      </w:r>
      <w:bookmarkEnd w:id="2"/>
      <w:bookmarkEnd w:id="3"/>
    </w:p>
    <w:p w14:paraId="77097BE4" w14:textId="77777777" w:rsidR="002A4F0C" w:rsidRPr="00302089" w:rsidRDefault="002A4F0C" w:rsidP="00302089">
      <w:pPr>
        <w:pStyle w:val="Heading7"/>
      </w:pPr>
      <w:bookmarkStart w:id="4" w:name="_Toc495411578"/>
      <w:bookmarkStart w:id="5" w:name="_Toc521068759"/>
      <w:r w:rsidRPr="00302089">
        <w:t>The Specialist Medical Review Council</w:t>
      </w:r>
      <w:bookmarkEnd w:id="4"/>
      <w:bookmarkEnd w:id="5"/>
    </w:p>
    <w:p w14:paraId="41E2BF6E" w14:textId="77777777" w:rsidR="002A4F0C" w:rsidRPr="002A4F0C" w:rsidRDefault="002A4F0C" w:rsidP="00077BB5">
      <w:pPr>
        <w:pStyle w:val="NormalNumbered"/>
      </w:pPr>
      <w:r w:rsidRPr="002A4F0C">
        <w:t xml:space="preserve">The composition of each Review Council changes from review to review depending on the issues relevant to the particular Statement/s of Principles under review. When a review is undertaken, three to five Councillors selected by the Convener constitute the Council. </w:t>
      </w:r>
    </w:p>
    <w:p w14:paraId="32D6C47D" w14:textId="77777777" w:rsidR="002A4F0C" w:rsidRPr="002A4F0C" w:rsidRDefault="002A4F0C" w:rsidP="00302089">
      <w:pPr>
        <w:pStyle w:val="NormalNumbered"/>
      </w:pPr>
      <w:r w:rsidRPr="002A4F0C">
        <w:t>The Minister must appoint one of the Councillors to be the Convener. If the Council does not include the Convener, the Convener must appoint one of the Councillors selected for the review to preside at all meetings as Presiding Councillor.</w:t>
      </w:r>
    </w:p>
    <w:p w14:paraId="743CCDF8" w14:textId="78FFA6F1" w:rsidR="002A4F0C" w:rsidRPr="002A4F0C" w:rsidRDefault="002A4F0C" w:rsidP="00302089">
      <w:pPr>
        <w:pStyle w:val="NormalNumbered"/>
      </w:pPr>
      <w:r w:rsidRPr="002A4F0C">
        <w:rPr>
          <w:b/>
        </w:rPr>
        <w:t>Associate Professor David Newman</w:t>
      </w:r>
      <w:r w:rsidRPr="002A4F0C">
        <w:t xml:space="preserve"> was the Presiding Councillor for this review. He is Head, Aviation Medicine Unit, at the Monash Centre for Occupational &amp; Environmental Health (MonCOEH). </w:t>
      </w:r>
      <w:r w:rsidR="00302089" w:rsidRPr="00302089">
        <w:t>He is a Fellow of the Aerospace Medical Association, the Royal Aeronautical Society, the Australasian College of Aerospace Medicine, and the Australian Institute of Company Directors. He served as a medical officer in the Royal Australian Air Force between 1987 and 2000.</w:t>
      </w:r>
    </w:p>
    <w:p w14:paraId="5BB685C6" w14:textId="77777777" w:rsidR="002A4F0C" w:rsidRPr="002A4F0C" w:rsidRDefault="002A4F0C" w:rsidP="00302089">
      <w:pPr>
        <w:pStyle w:val="NormalNumbered"/>
      </w:pPr>
      <w:r w:rsidRPr="002A4F0C">
        <w:t>The other members of the Council were:</w:t>
      </w:r>
    </w:p>
    <w:p w14:paraId="0436DF51" w14:textId="77777777" w:rsidR="002A4F0C" w:rsidRPr="002A4F0C" w:rsidRDefault="002A4F0C" w:rsidP="00302089">
      <w:pPr>
        <w:pStyle w:val="Normal-Dash"/>
      </w:pPr>
      <w:r w:rsidRPr="002A4F0C">
        <w:rPr>
          <w:b/>
        </w:rPr>
        <w:t xml:space="preserve">Dr Bradley </w:t>
      </w:r>
      <w:r w:rsidRPr="002A4F0C">
        <w:t>Ng is a psychiatrist and specialises in adult psychiatry, PTSD, personality disorders and depression.</w:t>
      </w:r>
    </w:p>
    <w:p w14:paraId="4821C67F" w14:textId="77777777" w:rsidR="002A4F0C" w:rsidRPr="002A4F0C" w:rsidRDefault="002A4F0C" w:rsidP="00302089">
      <w:pPr>
        <w:pStyle w:val="Normal-Dash"/>
      </w:pPr>
      <w:r w:rsidRPr="002A4F0C">
        <w:rPr>
          <w:b/>
        </w:rPr>
        <w:t>Professor Andrew Grulich</w:t>
      </w:r>
      <w:r w:rsidRPr="002A4F0C">
        <w:t xml:space="preserve">, a medical epidemiologist and a Public Health Physician. He has worked in HIV research for more than twenty years. His two main research interests are first, the transmission and prevention of HIV infection, and second, the intersection between infection, altered immune function and cancer. </w:t>
      </w:r>
    </w:p>
    <w:p w14:paraId="52C8C616" w14:textId="77777777" w:rsidR="002A4F0C" w:rsidRPr="002A4F0C" w:rsidRDefault="002A4F0C" w:rsidP="00302089">
      <w:pPr>
        <w:pStyle w:val="Normal-Dash"/>
      </w:pPr>
      <w:r w:rsidRPr="002A4F0C">
        <w:rPr>
          <w:b/>
        </w:rPr>
        <w:t>Dr John Waterston</w:t>
      </w:r>
      <w:r w:rsidRPr="002A4F0C">
        <w:t>, is visiting Neurologist, Neurology and Oto-neurology Units, Alfred Hospital and Adjunct Senior Lecturer, at Monash University Department of Medicine, Alfred Hospital.</w:t>
      </w:r>
    </w:p>
    <w:p w14:paraId="7B640C8F" w14:textId="77777777" w:rsidR="002A4F0C" w:rsidRPr="002A4F0C" w:rsidRDefault="002A4F0C" w:rsidP="00302089">
      <w:pPr>
        <w:pStyle w:val="Normal-Dash"/>
      </w:pPr>
      <w:r w:rsidRPr="002A4F0C">
        <w:rPr>
          <w:b/>
        </w:rPr>
        <w:t>Professor Dino Pisaniello</w:t>
      </w:r>
      <w:r w:rsidRPr="002A4F0C">
        <w:t xml:space="preserve">, who is with the School of Public Health at the University of Adelaide and is the Australian Secretary of the International Commission on Occupational Health. His expertise is in occupational and </w:t>
      </w:r>
      <w:r w:rsidRPr="002A4F0C">
        <w:lastRenderedPageBreak/>
        <w:t>environmental hygiene, chemical exposure assessment and the management of hazardous material incidents.</w:t>
      </w:r>
    </w:p>
    <w:p w14:paraId="4842D098" w14:textId="77777777" w:rsidR="002A4F0C" w:rsidRPr="0017646A" w:rsidRDefault="002A4F0C" w:rsidP="0017646A">
      <w:pPr>
        <w:pStyle w:val="Heading7"/>
      </w:pPr>
      <w:bookmarkStart w:id="6" w:name="_Toc495411579"/>
      <w:bookmarkStart w:id="7" w:name="_Toc521068760"/>
      <w:r w:rsidRPr="0017646A">
        <w:t>The Legislation</w:t>
      </w:r>
      <w:bookmarkEnd w:id="6"/>
      <w:bookmarkEnd w:id="7"/>
    </w:p>
    <w:p w14:paraId="464940CB" w14:textId="77777777" w:rsidR="002A4F0C" w:rsidRPr="002A4F0C" w:rsidRDefault="002A4F0C" w:rsidP="00077BB5">
      <w:pPr>
        <w:pStyle w:val="NormalNumbered"/>
      </w:pPr>
      <w:r w:rsidRPr="002A4F0C">
        <w:t>The legislative scheme for the making of Statements of Principles is set out in Parts XIA and XIB of the VEA. Statements of Principles operate as templates. They are determined by the RMA, and set out those criteria (conditions or exposures), known as factors, that must as a minimum exist before it can be said that an injury, disease or death can be connected with service, on either or both of the two statutory tests, the reasonable hypothesis test</w:t>
      </w:r>
      <w:r w:rsidRPr="002A4F0C">
        <w:rPr>
          <w:rFonts w:ascii="Arial" w:hAnsi="Arial"/>
          <w:sz w:val="24"/>
          <w:vertAlign w:val="superscript"/>
        </w:rPr>
        <w:footnoteReference w:id="1"/>
      </w:r>
      <w:r w:rsidRPr="002A4F0C">
        <w:rPr>
          <w:vertAlign w:val="superscript"/>
        </w:rPr>
        <w:t xml:space="preserve"> </w:t>
      </w:r>
      <w:r w:rsidRPr="002A4F0C">
        <w:t>and the balance of probabilities test.</w:t>
      </w:r>
      <w:r w:rsidRPr="002A4F0C">
        <w:rPr>
          <w:rFonts w:ascii="Arial" w:hAnsi="Arial"/>
          <w:sz w:val="24"/>
          <w:vertAlign w:val="superscript"/>
        </w:rPr>
        <w:footnoteReference w:id="2"/>
      </w:r>
      <w:r w:rsidRPr="002A4F0C">
        <w:rPr>
          <w:vertAlign w:val="superscript"/>
        </w:rPr>
        <w:t xml:space="preserve"> </w:t>
      </w:r>
      <w:r w:rsidRPr="002A4F0C">
        <w:t xml:space="preserve"> Statements of Principles are ultimately applied by decision-makers in determining individual claims for benefits under the VEA and the Military Rehabilitation and Compensation Act 2004 (the MRCA).</w:t>
      </w:r>
      <w:r w:rsidRPr="002A4F0C">
        <w:rPr>
          <w:vertAlign w:val="superscript"/>
        </w:rPr>
        <w:footnoteReference w:id="3"/>
      </w:r>
    </w:p>
    <w:p w14:paraId="034782F7" w14:textId="77777777" w:rsidR="002A4F0C" w:rsidRPr="002A4F0C" w:rsidRDefault="002A4F0C" w:rsidP="002A4F0C">
      <w:pPr>
        <w:spacing w:before="140" w:after="140" w:line="280" w:lineRule="atLeast"/>
        <w:rPr>
          <w:sz w:val="24"/>
        </w:rPr>
      </w:pPr>
    </w:p>
    <w:p w14:paraId="4F84CA36" w14:textId="77777777" w:rsidR="00302089" w:rsidRPr="00302089" w:rsidRDefault="00302089" w:rsidP="00302089">
      <w:pPr>
        <w:pStyle w:val="Heading6"/>
      </w:pPr>
      <w:bookmarkStart w:id="8" w:name="_Toc521068761"/>
      <w:r w:rsidRPr="00302089">
        <w:lastRenderedPageBreak/>
        <w:t>APPENDIX B:</w:t>
      </w:r>
      <w:bookmarkEnd w:id="8"/>
      <w:r w:rsidRPr="00302089">
        <w:t xml:space="preserve">  </w:t>
      </w:r>
    </w:p>
    <w:p w14:paraId="67E88A22" w14:textId="2599E646" w:rsidR="00302089" w:rsidRPr="00302089" w:rsidRDefault="0017646A" w:rsidP="00302089">
      <w:pPr>
        <w:pStyle w:val="Heading7"/>
      </w:pPr>
      <w:bookmarkStart w:id="9" w:name="_Toc521068762"/>
      <w:r w:rsidRPr="00302089">
        <w:t>B1: MATERIAL BEFORE THE RMA</w:t>
      </w:r>
      <w:bookmarkEnd w:id="9"/>
      <w:r w:rsidRPr="00302089">
        <w:t xml:space="preserve"> </w:t>
      </w:r>
    </w:p>
    <w:p w14:paraId="27169FA8" w14:textId="77777777" w:rsidR="002A4F0C" w:rsidRPr="002A4F0C" w:rsidRDefault="002A4F0C" w:rsidP="002A4F0C">
      <w:pPr>
        <w:jc w:val="center"/>
        <w:rPr>
          <w:rFonts w:ascii="Arial" w:hAnsi="Arial"/>
          <w:b/>
          <w:sz w:val="44"/>
          <w:szCs w:val="44"/>
        </w:rPr>
      </w:pPr>
      <w:r w:rsidRPr="002A4F0C">
        <w:rPr>
          <w:b/>
        </w:rPr>
        <w:br w:type="page"/>
      </w:r>
    </w:p>
    <w:p w14:paraId="29F7BC9C" w14:textId="554E6E90" w:rsidR="002A4F0C" w:rsidRPr="002A4F0C" w:rsidRDefault="00A96378" w:rsidP="002A4F0C">
      <w:pPr>
        <w:jc w:val="center"/>
        <w:rPr>
          <w:rFonts w:ascii="Arial" w:hAnsi="Arial"/>
          <w:b/>
          <w:sz w:val="28"/>
          <w:szCs w:val="28"/>
        </w:rPr>
      </w:pPr>
      <w:r>
        <w:rPr>
          <w:noProof/>
        </w:rPr>
        <w:lastRenderedPageBreak/>
        <w:drawing>
          <wp:anchor distT="0" distB="0" distL="114300" distR="114300" simplePos="0" relativeHeight="251656192" behindDoc="0" locked="0" layoutInCell="1" allowOverlap="1" wp14:anchorId="0F65FA77" wp14:editId="611A9EE4">
            <wp:simplePos x="0" y="0"/>
            <wp:positionH relativeFrom="column">
              <wp:posOffset>1412875</wp:posOffset>
            </wp:positionH>
            <wp:positionV relativeFrom="paragraph">
              <wp:posOffset>-31750</wp:posOffset>
            </wp:positionV>
            <wp:extent cx="3067050" cy="942975"/>
            <wp:effectExtent l="0" t="0" r="0" b="952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F0C" w:rsidRPr="002A4F0C">
        <w:rPr>
          <w:rFonts w:ascii="Arial" w:hAnsi="Arial"/>
          <w:b/>
          <w:sz w:val="44"/>
          <w:szCs w:val="44"/>
        </w:rPr>
        <w:t>CHRONIC MULTISYMPTOM ILLNESS</w:t>
      </w:r>
      <w:r w:rsidR="002A4F0C" w:rsidRPr="002A4F0C">
        <w:rPr>
          <w:rFonts w:ascii="Arial" w:hAnsi="Arial"/>
          <w:b/>
          <w:sz w:val="44"/>
          <w:szCs w:val="44"/>
        </w:rPr>
        <w:tab/>
      </w:r>
    </w:p>
    <w:p w14:paraId="200B7894" w14:textId="77777777" w:rsidR="002A4F0C" w:rsidRPr="002A4F0C" w:rsidRDefault="002A4F0C" w:rsidP="002A4F0C">
      <w:pPr>
        <w:rPr>
          <w:rFonts w:ascii="Arial" w:hAnsi="Aria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53"/>
        <w:gridCol w:w="8044"/>
      </w:tblGrid>
      <w:tr w:rsidR="002A4F0C" w:rsidRPr="002A4F0C" w14:paraId="1403EE86" w14:textId="77777777" w:rsidTr="00302089">
        <w:trPr>
          <w:cantSplit/>
          <w:trHeight w:val="714"/>
        </w:trPr>
        <w:tc>
          <w:tcPr>
            <w:tcW w:w="1453" w:type="dxa"/>
            <w:vAlign w:val="center"/>
          </w:tcPr>
          <w:p w14:paraId="731D7950" w14:textId="77777777" w:rsidR="002A4F0C" w:rsidRPr="002A4F0C" w:rsidRDefault="002A4F0C" w:rsidP="002A4F0C">
            <w:pPr>
              <w:spacing w:line="240" w:lineRule="auto"/>
              <w:jc w:val="center"/>
              <w:rPr>
                <w:rFonts w:ascii="Arial" w:hAnsi="Arial"/>
                <w:snapToGrid w:val="0"/>
                <w:szCs w:val="22"/>
                <w:lang w:eastAsia="en-US"/>
              </w:rPr>
            </w:pPr>
            <w:r w:rsidRPr="002A4F0C">
              <w:rPr>
                <w:rFonts w:ascii="Arial" w:hAnsi="Arial"/>
                <w:snapToGrid w:val="0"/>
                <w:szCs w:val="22"/>
                <w:lang w:eastAsia="en-US"/>
              </w:rPr>
              <w:t>RMA ID Number</w:t>
            </w:r>
          </w:p>
        </w:tc>
        <w:tc>
          <w:tcPr>
            <w:tcW w:w="8044" w:type="dxa"/>
            <w:vAlign w:val="center"/>
          </w:tcPr>
          <w:p w14:paraId="4CC3F111" w14:textId="77777777" w:rsidR="002A4F0C" w:rsidRPr="002A4F0C" w:rsidRDefault="002A4F0C" w:rsidP="002A4F0C">
            <w:pPr>
              <w:spacing w:line="240" w:lineRule="auto"/>
              <w:jc w:val="center"/>
              <w:rPr>
                <w:rFonts w:ascii="Arial" w:hAnsi="Arial"/>
                <w:snapToGrid w:val="0"/>
                <w:szCs w:val="22"/>
                <w:lang w:eastAsia="en-US"/>
              </w:rPr>
            </w:pPr>
            <w:r w:rsidRPr="002A4F0C">
              <w:rPr>
                <w:rFonts w:ascii="Arial" w:hAnsi="Arial"/>
                <w:snapToGrid w:val="0"/>
                <w:szCs w:val="22"/>
                <w:lang w:eastAsia="en-US"/>
              </w:rPr>
              <w:t>Reference List for #304/SMRC-01 as at 9 April 2014</w:t>
            </w:r>
          </w:p>
        </w:tc>
      </w:tr>
    </w:tbl>
    <w:p w14:paraId="75E239E2" w14:textId="77777777" w:rsidR="002A4F0C" w:rsidRPr="002A4F0C" w:rsidRDefault="002A4F0C" w:rsidP="002A4F0C">
      <w:pPr>
        <w:spacing w:line="240" w:lineRule="auto"/>
        <w:jc w:val="center"/>
        <w:rPr>
          <w:rFonts w:ascii="Arial" w:hAnsi="Arial"/>
          <w:szCs w:val="22"/>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7938"/>
      </w:tblGrid>
      <w:tr w:rsidR="002A4F0C" w:rsidRPr="002A4F0C" w14:paraId="4324B6B2" w14:textId="77777777" w:rsidTr="002A4F0C">
        <w:trPr>
          <w:cantSplit/>
        </w:trPr>
        <w:tc>
          <w:tcPr>
            <w:tcW w:w="1575" w:type="dxa"/>
            <w:shd w:val="clear" w:color="auto" w:fill="auto"/>
            <w:noWrap/>
            <w:vAlign w:val="center"/>
          </w:tcPr>
          <w:p w14:paraId="02D37D94" w14:textId="77777777" w:rsidR="002A4F0C" w:rsidRPr="002A4F0C" w:rsidRDefault="002A4F0C" w:rsidP="002A4F0C">
            <w:pPr>
              <w:spacing w:line="240" w:lineRule="auto"/>
              <w:jc w:val="center"/>
              <w:rPr>
                <w:rFonts w:ascii="Arial" w:hAnsi="Arial"/>
                <w:szCs w:val="22"/>
              </w:rPr>
            </w:pPr>
            <w:r w:rsidRPr="002A4F0C">
              <w:rPr>
                <w:rFonts w:ascii="Arial" w:hAnsi="Arial"/>
                <w:szCs w:val="22"/>
              </w:rPr>
              <w:t>12804</w:t>
            </w:r>
          </w:p>
        </w:tc>
        <w:tc>
          <w:tcPr>
            <w:tcW w:w="7938" w:type="dxa"/>
            <w:shd w:val="clear" w:color="auto" w:fill="auto"/>
            <w:vAlign w:val="bottom"/>
          </w:tcPr>
          <w:p w14:paraId="06854E97" w14:textId="77777777" w:rsidR="002A4F0C" w:rsidRPr="002A4F0C" w:rsidRDefault="002A4F0C" w:rsidP="002A4F0C">
            <w:pPr>
              <w:spacing w:line="240" w:lineRule="auto"/>
              <w:rPr>
                <w:rFonts w:ascii="Arial" w:hAnsi="Arial"/>
                <w:szCs w:val="22"/>
              </w:rPr>
            </w:pPr>
            <w:r w:rsidRPr="002A4F0C">
              <w:rPr>
                <w:rFonts w:ascii="Arial" w:hAnsi="Arial"/>
                <w:szCs w:val="22"/>
              </w:rPr>
              <w:t>Southwick SM, Morgan 111 CA, Nicolaou AL &amp; Charney DS (1997). Consistency of memory for combat-related traumatic events in veterans of operation Desert Storm. American Journal of Psychiatry, 154(2): 173-7.</w:t>
            </w:r>
          </w:p>
        </w:tc>
      </w:tr>
      <w:tr w:rsidR="002A4F0C" w:rsidRPr="002A4F0C" w14:paraId="7BDCC409" w14:textId="77777777" w:rsidTr="002A4F0C">
        <w:trPr>
          <w:cantSplit/>
        </w:trPr>
        <w:tc>
          <w:tcPr>
            <w:tcW w:w="1575" w:type="dxa"/>
            <w:shd w:val="clear" w:color="auto" w:fill="auto"/>
            <w:noWrap/>
            <w:vAlign w:val="center"/>
          </w:tcPr>
          <w:p w14:paraId="7281B234" w14:textId="77777777" w:rsidR="002A4F0C" w:rsidRPr="002A4F0C" w:rsidRDefault="002A4F0C" w:rsidP="002A4F0C">
            <w:pPr>
              <w:spacing w:line="240" w:lineRule="auto"/>
              <w:jc w:val="center"/>
              <w:rPr>
                <w:rFonts w:ascii="Arial" w:hAnsi="Arial"/>
                <w:szCs w:val="22"/>
              </w:rPr>
            </w:pPr>
            <w:r w:rsidRPr="002A4F0C">
              <w:rPr>
                <w:rFonts w:ascii="Arial" w:hAnsi="Arial"/>
                <w:szCs w:val="22"/>
              </w:rPr>
              <w:t>13812</w:t>
            </w:r>
          </w:p>
        </w:tc>
        <w:tc>
          <w:tcPr>
            <w:tcW w:w="7938" w:type="dxa"/>
            <w:shd w:val="clear" w:color="auto" w:fill="auto"/>
            <w:vAlign w:val="bottom"/>
          </w:tcPr>
          <w:p w14:paraId="749E66DB" w14:textId="77777777" w:rsidR="002A4F0C" w:rsidRPr="002A4F0C" w:rsidRDefault="002A4F0C" w:rsidP="002A4F0C">
            <w:pPr>
              <w:spacing w:line="240" w:lineRule="auto"/>
              <w:rPr>
                <w:rFonts w:ascii="Arial" w:hAnsi="Arial"/>
                <w:szCs w:val="22"/>
              </w:rPr>
            </w:pPr>
            <w:r w:rsidRPr="002A4F0C">
              <w:rPr>
                <w:rFonts w:ascii="Arial" w:hAnsi="Arial"/>
                <w:szCs w:val="22"/>
              </w:rPr>
              <w:t>Iowa Persian Gulf Study Group (1997). Self-reported illness and health status among Gulf War veterans: A population-based study. JAMA, 277(3): 238-45.</w:t>
            </w:r>
          </w:p>
        </w:tc>
      </w:tr>
      <w:tr w:rsidR="002A4F0C" w:rsidRPr="002A4F0C" w14:paraId="0C045126" w14:textId="77777777" w:rsidTr="002A4F0C">
        <w:trPr>
          <w:cantSplit/>
        </w:trPr>
        <w:tc>
          <w:tcPr>
            <w:tcW w:w="1575" w:type="dxa"/>
            <w:shd w:val="clear" w:color="auto" w:fill="auto"/>
            <w:noWrap/>
            <w:vAlign w:val="center"/>
          </w:tcPr>
          <w:p w14:paraId="5F597D70" w14:textId="77777777" w:rsidR="002A4F0C" w:rsidRPr="002A4F0C" w:rsidRDefault="002A4F0C" w:rsidP="002A4F0C">
            <w:pPr>
              <w:spacing w:line="240" w:lineRule="auto"/>
              <w:jc w:val="center"/>
              <w:rPr>
                <w:rFonts w:ascii="Arial" w:hAnsi="Arial"/>
                <w:szCs w:val="22"/>
              </w:rPr>
            </w:pPr>
            <w:r w:rsidRPr="002A4F0C">
              <w:rPr>
                <w:rFonts w:ascii="Arial" w:hAnsi="Arial"/>
                <w:szCs w:val="22"/>
              </w:rPr>
              <w:t>13886</w:t>
            </w:r>
          </w:p>
        </w:tc>
        <w:tc>
          <w:tcPr>
            <w:tcW w:w="7938" w:type="dxa"/>
            <w:shd w:val="clear" w:color="auto" w:fill="auto"/>
            <w:vAlign w:val="bottom"/>
          </w:tcPr>
          <w:p w14:paraId="072E0862" w14:textId="77777777" w:rsidR="002A4F0C" w:rsidRPr="002A4F0C" w:rsidRDefault="002A4F0C" w:rsidP="002A4F0C">
            <w:pPr>
              <w:spacing w:line="240" w:lineRule="auto"/>
              <w:rPr>
                <w:rFonts w:ascii="Arial" w:hAnsi="Arial"/>
                <w:szCs w:val="22"/>
              </w:rPr>
            </w:pPr>
            <w:r w:rsidRPr="002A4F0C">
              <w:rPr>
                <w:rFonts w:ascii="Arial" w:hAnsi="Arial"/>
                <w:szCs w:val="22"/>
              </w:rPr>
              <w:t>Zatzick DF, Marmar CR, Weiss DS, Browner WS, et al (1997). Posttraumatic stress disorder and functioning and quality of life outcomes in a nationally representative sample of male Vietnam Veterans. American Journal of Psychiatry, 154: 1690-5.</w:t>
            </w:r>
          </w:p>
        </w:tc>
      </w:tr>
      <w:tr w:rsidR="002A4F0C" w:rsidRPr="002A4F0C" w14:paraId="498BB36A" w14:textId="77777777" w:rsidTr="002A4F0C">
        <w:trPr>
          <w:cantSplit/>
        </w:trPr>
        <w:tc>
          <w:tcPr>
            <w:tcW w:w="1575" w:type="dxa"/>
            <w:shd w:val="clear" w:color="auto" w:fill="auto"/>
            <w:noWrap/>
            <w:vAlign w:val="center"/>
          </w:tcPr>
          <w:p w14:paraId="1CA9E577" w14:textId="77777777" w:rsidR="002A4F0C" w:rsidRPr="002A4F0C" w:rsidRDefault="002A4F0C" w:rsidP="002A4F0C">
            <w:pPr>
              <w:spacing w:line="240" w:lineRule="auto"/>
              <w:jc w:val="center"/>
              <w:rPr>
                <w:rFonts w:ascii="Arial" w:hAnsi="Arial"/>
                <w:szCs w:val="22"/>
              </w:rPr>
            </w:pPr>
            <w:r w:rsidRPr="002A4F0C">
              <w:rPr>
                <w:rFonts w:ascii="Arial" w:hAnsi="Arial"/>
                <w:szCs w:val="22"/>
              </w:rPr>
              <w:t>14455</w:t>
            </w:r>
          </w:p>
        </w:tc>
        <w:tc>
          <w:tcPr>
            <w:tcW w:w="7938" w:type="dxa"/>
            <w:shd w:val="clear" w:color="auto" w:fill="auto"/>
            <w:vAlign w:val="bottom"/>
          </w:tcPr>
          <w:p w14:paraId="3CD4C4B9" w14:textId="77777777" w:rsidR="002A4F0C" w:rsidRPr="002A4F0C" w:rsidRDefault="002A4F0C" w:rsidP="002A4F0C">
            <w:pPr>
              <w:spacing w:line="240" w:lineRule="auto"/>
              <w:rPr>
                <w:rFonts w:ascii="Arial" w:hAnsi="Arial"/>
                <w:szCs w:val="22"/>
              </w:rPr>
            </w:pPr>
            <w:r w:rsidRPr="002A4F0C">
              <w:rPr>
                <w:rFonts w:ascii="Arial" w:hAnsi="Arial"/>
                <w:szCs w:val="22"/>
              </w:rPr>
              <w:t>Rushton L (1993). Further follow up of mortality in a United Kingdom oil refinery cohort. British Journal of Industrial Medicine, 50: 549-60.</w:t>
            </w:r>
          </w:p>
        </w:tc>
      </w:tr>
      <w:tr w:rsidR="002A4F0C" w:rsidRPr="002A4F0C" w14:paraId="383369B6" w14:textId="77777777" w:rsidTr="002A4F0C">
        <w:trPr>
          <w:cantSplit/>
        </w:trPr>
        <w:tc>
          <w:tcPr>
            <w:tcW w:w="1575" w:type="dxa"/>
            <w:shd w:val="clear" w:color="auto" w:fill="auto"/>
            <w:noWrap/>
            <w:vAlign w:val="center"/>
          </w:tcPr>
          <w:p w14:paraId="0F6ECAEB" w14:textId="77777777" w:rsidR="002A4F0C" w:rsidRPr="002A4F0C" w:rsidRDefault="002A4F0C" w:rsidP="002A4F0C">
            <w:pPr>
              <w:spacing w:line="240" w:lineRule="auto"/>
              <w:jc w:val="center"/>
              <w:rPr>
                <w:rFonts w:ascii="Arial" w:hAnsi="Arial"/>
                <w:szCs w:val="22"/>
              </w:rPr>
            </w:pPr>
            <w:r w:rsidRPr="002A4F0C">
              <w:rPr>
                <w:rFonts w:ascii="Arial" w:hAnsi="Arial"/>
                <w:szCs w:val="22"/>
              </w:rPr>
              <w:t>14491</w:t>
            </w:r>
          </w:p>
        </w:tc>
        <w:tc>
          <w:tcPr>
            <w:tcW w:w="7938" w:type="dxa"/>
            <w:shd w:val="clear" w:color="auto" w:fill="auto"/>
            <w:vAlign w:val="bottom"/>
          </w:tcPr>
          <w:p w14:paraId="286B51F2" w14:textId="77777777" w:rsidR="002A4F0C" w:rsidRPr="002A4F0C" w:rsidRDefault="002A4F0C" w:rsidP="002A4F0C">
            <w:pPr>
              <w:spacing w:line="240" w:lineRule="auto"/>
              <w:rPr>
                <w:rFonts w:ascii="Arial" w:hAnsi="Arial"/>
                <w:szCs w:val="22"/>
              </w:rPr>
            </w:pPr>
            <w:r w:rsidRPr="002A4F0C">
              <w:rPr>
                <w:rFonts w:ascii="Arial" w:hAnsi="Arial"/>
                <w:szCs w:val="22"/>
              </w:rPr>
              <w:t>Gray GC, Coate BD, Anderson CM et al (1996). The postwar hospitalization experience of US veterans of the Persian Gulf War. NEJM, 335(20): 1505-13.</w:t>
            </w:r>
          </w:p>
        </w:tc>
      </w:tr>
      <w:tr w:rsidR="002A4F0C" w:rsidRPr="002A4F0C" w14:paraId="6E328FF2" w14:textId="77777777" w:rsidTr="002A4F0C">
        <w:trPr>
          <w:cantSplit/>
        </w:trPr>
        <w:tc>
          <w:tcPr>
            <w:tcW w:w="1575" w:type="dxa"/>
            <w:shd w:val="clear" w:color="auto" w:fill="auto"/>
            <w:noWrap/>
            <w:vAlign w:val="center"/>
          </w:tcPr>
          <w:p w14:paraId="276B38D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17194</w:t>
            </w:r>
          </w:p>
        </w:tc>
        <w:tc>
          <w:tcPr>
            <w:tcW w:w="7938" w:type="dxa"/>
            <w:shd w:val="clear" w:color="auto" w:fill="auto"/>
            <w:vAlign w:val="bottom"/>
          </w:tcPr>
          <w:p w14:paraId="576F91A0" w14:textId="77777777" w:rsidR="002A4F0C" w:rsidRPr="002A4F0C" w:rsidRDefault="002A4F0C" w:rsidP="002A4F0C">
            <w:pPr>
              <w:spacing w:line="240" w:lineRule="auto"/>
              <w:rPr>
                <w:rFonts w:ascii="Arial" w:hAnsi="Arial"/>
                <w:szCs w:val="22"/>
              </w:rPr>
            </w:pPr>
            <w:r w:rsidRPr="002A4F0C">
              <w:rPr>
                <w:rFonts w:ascii="Arial" w:hAnsi="Arial"/>
                <w:szCs w:val="22"/>
              </w:rPr>
              <w:t>Hyams KC (1998). Lessons derived from evaluating Gulf War Syndrome: suggested guidelines for investigating possible outbreaks of new diseases. Psychosomatic medicine, Vol 60 pp 137-9.</w:t>
            </w:r>
          </w:p>
        </w:tc>
      </w:tr>
      <w:tr w:rsidR="002A4F0C" w:rsidRPr="002A4F0C" w14:paraId="652420B8" w14:textId="77777777" w:rsidTr="002A4F0C">
        <w:trPr>
          <w:cantSplit/>
        </w:trPr>
        <w:tc>
          <w:tcPr>
            <w:tcW w:w="1575" w:type="dxa"/>
            <w:shd w:val="clear" w:color="auto" w:fill="auto"/>
            <w:noWrap/>
            <w:vAlign w:val="center"/>
          </w:tcPr>
          <w:p w14:paraId="24C93B8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17215</w:t>
            </w:r>
          </w:p>
        </w:tc>
        <w:tc>
          <w:tcPr>
            <w:tcW w:w="7938" w:type="dxa"/>
            <w:shd w:val="clear" w:color="auto" w:fill="auto"/>
            <w:vAlign w:val="bottom"/>
          </w:tcPr>
          <w:p w14:paraId="56FDE417" w14:textId="77777777" w:rsidR="002A4F0C" w:rsidRPr="002A4F0C" w:rsidRDefault="002A4F0C" w:rsidP="002A4F0C">
            <w:pPr>
              <w:spacing w:line="240" w:lineRule="auto"/>
              <w:rPr>
                <w:rFonts w:ascii="Arial" w:hAnsi="Arial"/>
                <w:szCs w:val="22"/>
              </w:rPr>
            </w:pPr>
            <w:r w:rsidRPr="002A4F0C">
              <w:rPr>
                <w:rFonts w:ascii="Arial" w:hAnsi="Arial"/>
                <w:szCs w:val="22"/>
              </w:rPr>
              <w:t>Wickelgren I (1997). The big easy serves up a feast to visiting neuroscientists. Rat model for Gulf War Syndrome? Science, Vol 278 p 1404.</w:t>
            </w:r>
          </w:p>
        </w:tc>
      </w:tr>
      <w:tr w:rsidR="002A4F0C" w:rsidRPr="002A4F0C" w14:paraId="01551E00" w14:textId="77777777" w:rsidTr="002A4F0C">
        <w:trPr>
          <w:cantSplit/>
        </w:trPr>
        <w:tc>
          <w:tcPr>
            <w:tcW w:w="1575" w:type="dxa"/>
            <w:shd w:val="clear" w:color="auto" w:fill="auto"/>
            <w:noWrap/>
            <w:vAlign w:val="center"/>
          </w:tcPr>
          <w:p w14:paraId="36080EEE"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17216</w:t>
            </w:r>
          </w:p>
        </w:tc>
        <w:tc>
          <w:tcPr>
            <w:tcW w:w="7938" w:type="dxa"/>
            <w:shd w:val="clear" w:color="auto" w:fill="auto"/>
            <w:vAlign w:val="bottom"/>
          </w:tcPr>
          <w:p w14:paraId="6E31A35D" w14:textId="77777777" w:rsidR="002A4F0C" w:rsidRPr="002A4F0C" w:rsidRDefault="002A4F0C" w:rsidP="002A4F0C">
            <w:pPr>
              <w:spacing w:line="240" w:lineRule="auto"/>
              <w:rPr>
                <w:rFonts w:ascii="Arial" w:hAnsi="Arial"/>
                <w:szCs w:val="22"/>
              </w:rPr>
            </w:pPr>
            <w:r w:rsidRPr="002A4F0C">
              <w:rPr>
                <w:rFonts w:ascii="Arial" w:hAnsi="Arial"/>
                <w:szCs w:val="22"/>
              </w:rPr>
              <w:t>Cannova JV (1998). Multiple giant cell tumors in a patient with Gulf War Syndrome. Military Medicine, 163(3): 184-6.</w:t>
            </w:r>
          </w:p>
        </w:tc>
      </w:tr>
      <w:tr w:rsidR="002A4F0C" w:rsidRPr="002A4F0C" w14:paraId="44548390" w14:textId="77777777" w:rsidTr="002A4F0C">
        <w:trPr>
          <w:cantSplit/>
        </w:trPr>
        <w:tc>
          <w:tcPr>
            <w:tcW w:w="1575" w:type="dxa"/>
            <w:shd w:val="clear" w:color="auto" w:fill="auto"/>
            <w:noWrap/>
            <w:vAlign w:val="center"/>
          </w:tcPr>
          <w:p w14:paraId="396C992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17221</w:t>
            </w:r>
          </w:p>
        </w:tc>
        <w:tc>
          <w:tcPr>
            <w:tcW w:w="7938" w:type="dxa"/>
            <w:shd w:val="clear" w:color="auto" w:fill="auto"/>
            <w:vAlign w:val="bottom"/>
          </w:tcPr>
          <w:p w14:paraId="163D2F83" w14:textId="77777777" w:rsidR="002A4F0C" w:rsidRPr="002A4F0C" w:rsidRDefault="002A4F0C" w:rsidP="002A4F0C">
            <w:pPr>
              <w:spacing w:line="240" w:lineRule="auto"/>
              <w:rPr>
                <w:rFonts w:ascii="Arial" w:hAnsi="Arial"/>
                <w:szCs w:val="22"/>
              </w:rPr>
            </w:pPr>
            <w:r w:rsidRPr="002A4F0C">
              <w:rPr>
                <w:rFonts w:ascii="Arial" w:hAnsi="Arial"/>
                <w:szCs w:val="22"/>
              </w:rPr>
              <w:t>Berry C (1997). The Gulf War Syndrome. Journal of Clinical Pathology, Vol 50(5) p360.</w:t>
            </w:r>
          </w:p>
        </w:tc>
      </w:tr>
      <w:tr w:rsidR="002A4F0C" w:rsidRPr="002A4F0C" w14:paraId="698A8658" w14:textId="77777777" w:rsidTr="002A4F0C">
        <w:trPr>
          <w:cantSplit/>
        </w:trPr>
        <w:tc>
          <w:tcPr>
            <w:tcW w:w="1575" w:type="dxa"/>
            <w:shd w:val="clear" w:color="auto" w:fill="auto"/>
            <w:noWrap/>
            <w:vAlign w:val="center"/>
          </w:tcPr>
          <w:p w14:paraId="7948166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17222</w:t>
            </w:r>
          </w:p>
        </w:tc>
        <w:tc>
          <w:tcPr>
            <w:tcW w:w="7938" w:type="dxa"/>
            <w:shd w:val="clear" w:color="auto" w:fill="auto"/>
            <w:vAlign w:val="bottom"/>
          </w:tcPr>
          <w:p w14:paraId="5D8F9D18" w14:textId="77777777" w:rsidR="002A4F0C" w:rsidRPr="002A4F0C" w:rsidRDefault="002A4F0C" w:rsidP="002A4F0C">
            <w:pPr>
              <w:spacing w:line="240" w:lineRule="auto"/>
              <w:rPr>
                <w:rFonts w:ascii="Arial" w:hAnsi="Arial"/>
                <w:szCs w:val="22"/>
              </w:rPr>
            </w:pPr>
            <w:r w:rsidRPr="002A4F0C">
              <w:rPr>
                <w:rFonts w:ascii="Arial" w:hAnsi="Arial"/>
                <w:szCs w:val="22"/>
              </w:rPr>
              <w:t>Roberts J (1996). New US theory on Gulf war syndrome. British Medical Journal, Vol 312(7038) p 1058.</w:t>
            </w:r>
          </w:p>
        </w:tc>
      </w:tr>
      <w:tr w:rsidR="002A4F0C" w:rsidRPr="002A4F0C" w14:paraId="7C337A97" w14:textId="77777777" w:rsidTr="002A4F0C">
        <w:trPr>
          <w:cantSplit/>
        </w:trPr>
        <w:tc>
          <w:tcPr>
            <w:tcW w:w="1575" w:type="dxa"/>
            <w:shd w:val="clear" w:color="auto" w:fill="auto"/>
            <w:noWrap/>
            <w:vAlign w:val="center"/>
          </w:tcPr>
          <w:p w14:paraId="0250DC01"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17223</w:t>
            </w:r>
          </w:p>
        </w:tc>
        <w:tc>
          <w:tcPr>
            <w:tcW w:w="7938" w:type="dxa"/>
            <w:shd w:val="clear" w:color="auto" w:fill="auto"/>
            <w:vAlign w:val="bottom"/>
          </w:tcPr>
          <w:p w14:paraId="7314B367" w14:textId="77777777" w:rsidR="002A4F0C" w:rsidRPr="002A4F0C" w:rsidRDefault="002A4F0C" w:rsidP="002A4F0C">
            <w:pPr>
              <w:spacing w:line="240" w:lineRule="auto"/>
              <w:rPr>
                <w:rFonts w:ascii="Arial" w:hAnsi="Arial"/>
                <w:szCs w:val="22"/>
              </w:rPr>
            </w:pPr>
            <w:r w:rsidRPr="002A4F0C">
              <w:rPr>
                <w:rFonts w:ascii="Arial" w:hAnsi="Arial"/>
                <w:szCs w:val="22"/>
              </w:rPr>
              <w:t>Roberts J (1996). US responds to new suggestion of Gulf war syndrome. BMJ, Vol 312 p 1629.</w:t>
            </w:r>
          </w:p>
        </w:tc>
      </w:tr>
      <w:tr w:rsidR="002A4F0C" w:rsidRPr="002A4F0C" w14:paraId="0C6EA5A7" w14:textId="77777777" w:rsidTr="002A4F0C">
        <w:trPr>
          <w:cantSplit/>
        </w:trPr>
        <w:tc>
          <w:tcPr>
            <w:tcW w:w="1575" w:type="dxa"/>
            <w:shd w:val="clear" w:color="auto" w:fill="auto"/>
            <w:noWrap/>
            <w:vAlign w:val="center"/>
          </w:tcPr>
          <w:p w14:paraId="5DF2F3A8"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17224</w:t>
            </w:r>
          </w:p>
        </w:tc>
        <w:tc>
          <w:tcPr>
            <w:tcW w:w="7938" w:type="dxa"/>
            <w:shd w:val="clear" w:color="auto" w:fill="auto"/>
            <w:vAlign w:val="bottom"/>
          </w:tcPr>
          <w:p w14:paraId="4C7A5729" w14:textId="77777777" w:rsidR="002A4F0C" w:rsidRPr="002A4F0C" w:rsidRDefault="002A4F0C" w:rsidP="002A4F0C">
            <w:pPr>
              <w:spacing w:line="240" w:lineRule="auto"/>
              <w:rPr>
                <w:rFonts w:ascii="Arial" w:hAnsi="Arial"/>
                <w:szCs w:val="22"/>
              </w:rPr>
            </w:pPr>
            <w:r w:rsidRPr="002A4F0C">
              <w:rPr>
                <w:rFonts w:ascii="Arial" w:hAnsi="Arial"/>
                <w:szCs w:val="22"/>
              </w:rPr>
              <w:t>Frances AJ and Beckham JC (1998). Identifying illness: pitfalls and discoveries. Psychomatic Medicine, Vol 60 pp 669-670.</w:t>
            </w:r>
          </w:p>
        </w:tc>
      </w:tr>
      <w:tr w:rsidR="002A4F0C" w:rsidRPr="002A4F0C" w14:paraId="0ECAEC84" w14:textId="77777777" w:rsidTr="002A4F0C">
        <w:trPr>
          <w:cantSplit/>
        </w:trPr>
        <w:tc>
          <w:tcPr>
            <w:tcW w:w="1575" w:type="dxa"/>
            <w:shd w:val="clear" w:color="auto" w:fill="auto"/>
            <w:noWrap/>
            <w:vAlign w:val="center"/>
          </w:tcPr>
          <w:p w14:paraId="0BD59E69"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17225</w:t>
            </w:r>
          </w:p>
        </w:tc>
        <w:tc>
          <w:tcPr>
            <w:tcW w:w="7938" w:type="dxa"/>
            <w:shd w:val="clear" w:color="auto" w:fill="auto"/>
            <w:vAlign w:val="bottom"/>
          </w:tcPr>
          <w:p w14:paraId="1D2AD21A" w14:textId="77777777" w:rsidR="002A4F0C" w:rsidRPr="002A4F0C" w:rsidRDefault="002A4F0C" w:rsidP="002A4F0C">
            <w:pPr>
              <w:spacing w:line="240" w:lineRule="auto"/>
              <w:rPr>
                <w:rFonts w:ascii="Arial" w:hAnsi="Arial"/>
                <w:szCs w:val="22"/>
              </w:rPr>
            </w:pPr>
            <w:r w:rsidRPr="002A4F0C">
              <w:rPr>
                <w:rFonts w:ascii="Arial" w:hAnsi="Arial"/>
                <w:szCs w:val="22"/>
              </w:rPr>
              <w:t>Jamal GA, Hansen S, Apartopoulos F, Peden A (1996). The "Gulf War Syndrome". Is there evidence of dysfunction in the nervous system? Journal of Neurology, and Psychiatry, Vol 60 pp 449-451.</w:t>
            </w:r>
          </w:p>
        </w:tc>
      </w:tr>
      <w:tr w:rsidR="002A4F0C" w:rsidRPr="002A4F0C" w14:paraId="60182429" w14:textId="77777777" w:rsidTr="002A4F0C">
        <w:trPr>
          <w:cantSplit/>
        </w:trPr>
        <w:tc>
          <w:tcPr>
            <w:tcW w:w="1575" w:type="dxa"/>
            <w:shd w:val="clear" w:color="auto" w:fill="auto"/>
            <w:noWrap/>
            <w:vAlign w:val="center"/>
          </w:tcPr>
          <w:p w14:paraId="19E038D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17226</w:t>
            </w:r>
          </w:p>
        </w:tc>
        <w:tc>
          <w:tcPr>
            <w:tcW w:w="7938" w:type="dxa"/>
            <w:shd w:val="clear" w:color="auto" w:fill="auto"/>
            <w:vAlign w:val="bottom"/>
          </w:tcPr>
          <w:p w14:paraId="49F1E62D" w14:textId="77777777" w:rsidR="002A4F0C" w:rsidRPr="002A4F0C" w:rsidRDefault="002A4F0C" w:rsidP="002A4F0C">
            <w:pPr>
              <w:spacing w:line="240" w:lineRule="auto"/>
              <w:rPr>
                <w:rFonts w:ascii="Arial" w:hAnsi="Arial"/>
                <w:szCs w:val="22"/>
              </w:rPr>
            </w:pPr>
            <w:r w:rsidRPr="002A4F0C">
              <w:rPr>
                <w:rFonts w:ascii="Arial" w:hAnsi="Arial"/>
                <w:szCs w:val="22"/>
              </w:rPr>
              <w:t>Pennisi E (1996). Chemicals behind Gulf War Syndrome? Science, Vol 272 pp 479480.</w:t>
            </w:r>
          </w:p>
        </w:tc>
      </w:tr>
      <w:tr w:rsidR="002A4F0C" w:rsidRPr="002A4F0C" w14:paraId="74FF050F" w14:textId="77777777" w:rsidTr="002A4F0C">
        <w:trPr>
          <w:cantSplit/>
        </w:trPr>
        <w:tc>
          <w:tcPr>
            <w:tcW w:w="1575" w:type="dxa"/>
            <w:shd w:val="clear" w:color="auto" w:fill="auto"/>
            <w:noWrap/>
            <w:vAlign w:val="center"/>
          </w:tcPr>
          <w:p w14:paraId="1930349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17227</w:t>
            </w:r>
          </w:p>
        </w:tc>
        <w:tc>
          <w:tcPr>
            <w:tcW w:w="7938" w:type="dxa"/>
            <w:shd w:val="clear" w:color="auto" w:fill="auto"/>
            <w:vAlign w:val="bottom"/>
          </w:tcPr>
          <w:p w14:paraId="695ECD83" w14:textId="77777777" w:rsidR="002A4F0C" w:rsidRPr="002A4F0C" w:rsidRDefault="002A4F0C" w:rsidP="002A4F0C">
            <w:pPr>
              <w:spacing w:line="240" w:lineRule="auto"/>
              <w:rPr>
                <w:rFonts w:ascii="Arial" w:hAnsi="Arial"/>
                <w:szCs w:val="22"/>
              </w:rPr>
            </w:pPr>
            <w:r w:rsidRPr="002A4F0C">
              <w:rPr>
                <w:rFonts w:ascii="Arial" w:hAnsi="Arial"/>
                <w:szCs w:val="22"/>
              </w:rPr>
              <w:t>Grady EP, Carpenter MT, Koenig CD, Older SA, Battafarano DF (1998). Rheumatic findings in Gulf War Veterans. Archives of Internal Medicine, Vol 158 pp 367-371.</w:t>
            </w:r>
          </w:p>
        </w:tc>
      </w:tr>
      <w:tr w:rsidR="002A4F0C" w:rsidRPr="002A4F0C" w14:paraId="0D0FC24B" w14:textId="77777777" w:rsidTr="002A4F0C">
        <w:trPr>
          <w:cantSplit/>
        </w:trPr>
        <w:tc>
          <w:tcPr>
            <w:tcW w:w="1575" w:type="dxa"/>
            <w:shd w:val="clear" w:color="auto" w:fill="auto"/>
            <w:noWrap/>
            <w:vAlign w:val="center"/>
          </w:tcPr>
          <w:p w14:paraId="767214E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17228</w:t>
            </w:r>
          </w:p>
        </w:tc>
        <w:tc>
          <w:tcPr>
            <w:tcW w:w="7938" w:type="dxa"/>
            <w:shd w:val="clear" w:color="auto" w:fill="auto"/>
            <w:vAlign w:val="bottom"/>
          </w:tcPr>
          <w:p w14:paraId="119980F9" w14:textId="77777777" w:rsidR="002A4F0C" w:rsidRPr="002A4F0C" w:rsidRDefault="002A4F0C" w:rsidP="002A4F0C">
            <w:pPr>
              <w:spacing w:line="240" w:lineRule="auto"/>
              <w:rPr>
                <w:rFonts w:ascii="Arial" w:hAnsi="Arial"/>
                <w:szCs w:val="22"/>
              </w:rPr>
            </w:pPr>
            <w:r w:rsidRPr="002A4F0C">
              <w:rPr>
                <w:rFonts w:ascii="Arial" w:hAnsi="Arial"/>
                <w:szCs w:val="22"/>
              </w:rPr>
              <w:t>Roberts J (1995). Gulf war syndrome needs coordinated study. BMJ, Vol 310 p 77.</w:t>
            </w:r>
          </w:p>
          <w:p w14:paraId="48F57ED6" w14:textId="77777777" w:rsidR="002A4F0C" w:rsidRPr="002A4F0C" w:rsidRDefault="002A4F0C" w:rsidP="002A4F0C">
            <w:pPr>
              <w:spacing w:line="240" w:lineRule="auto"/>
              <w:rPr>
                <w:rFonts w:ascii="Arial" w:hAnsi="Arial"/>
                <w:szCs w:val="22"/>
              </w:rPr>
            </w:pPr>
          </w:p>
        </w:tc>
      </w:tr>
      <w:tr w:rsidR="002A4F0C" w:rsidRPr="002A4F0C" w14:paraId="1380F8BB" w14:textId="77777777" w:rsidTr="002A4F0C">
        <w:trPr>
          <w:cantSplit/>
        </w:trPr>
        <w:tc>
          <w:tcPr>
            <w:tcW w:w="1575" w:type="dxa"/>
            <w:shd w:val="clear" w:color="auto" w:fill="auto"/>
            <w:noWrap/>
            <w:vAlign w:val="center"/>
          </w:tcPr>
          <w:p w14:paraId="309D75F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17229</w:t>
            </w:r>
          </w:p>
        </w:tc>
        <w:tc>
          <w:tcPr>
            <w:tcW w:w="7938" w:type="dxa"/>
            <w:shd w:val="clear" w:color="auto" w:fill="auto"/>
            <w:vAlign w:val="bottom"/>
          </w:tcPr>
          <w:p w14:paraId="23C3397B" w14:textId="77777777" w:rsidR="002A4F0C" w:rsidRPr="002A4F0C" w:rsidRDefault="002A4F0C" w:rsidP="002A4F0C">
            <w:pPr>
              <w:spacing w:line="240" w:lineRule="auto"/>
              <w:rPr>
                <w:rFonts w:ascii="Arial" w:hAnsi="Arial"/>
                <w:szCs w:val="22"/>
              </w:rPr>
            </w:pPr>
            <w:r w:rsidRPr="002A4F0C">
              <w:rPr>
                <w:rFonts w:ascii="Arial" w:hAnsi="Arial"/>
                <w:szCs w:val="22"/>
              </w:rPr>
              <w:t>Warden J (1995). The politics of a cradle to grave NHS. BMJ, Vol 310 p 692.</w:t>
            </w:r>
          </w:p>
        </w:tc>
      </w:tr>
      <w:tr w:rsidR="002A4F0C" w:rsidRPr="002A4F0C" w14:paraId="6820D23D" w14:textId="77777777" w:rsidTr="002A4F0C">
        <w:trPr>
          <w:cantSplit/>
        </w:trPr>
        <w:tc>
          <w:tcPr>
            <w:tcW w:w="1575" w:type="dxa"/>
            <w:shd w:val="clear" w:color="auto" w:fill="auto"/>
            <w:noWrap/>
            <w:vAlign w:val="center"/>
          </w:tcPr>
          <w:p w14:paraId="55D2D7A1"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17230</w:t>
            </w:r>
          </w:p>
        </w:tc>
        <w:tc>
          <w:tcPr>
            <w:tcW w:w="7938" w:type="dxa"/>
            <w:shd w:val="clear" w:color="auto" w:fill="auto"/>
            <w:vAlign w:val="bottom"/>
          </w:tcPr>
          <w:p w14:paraId="14A71016" w14:textId="77777777" w:rsidR="002A4F0C" w:rsidRPr="002A4F0C" w:rsidRDefault="002A4F0C" w:rsidP="002A4F0C">
            <w:pPr>
              <w:spacing w:line="240" w:lineRule="auto"/>
              <w:rPr>
                <w:rFonts w:ascii="Arial" w:hAnsi="Arial"/>
                <w:szCs w:val="22"/>
              </w:rPr>
            </w:pPr>
            <w:r w:rsidRPr="002A4F0C">
              <w:rPr>
                <w:rFonts w:ascii="Arial" w:hAnsi="Arial"/>
                <w:szCs w:val="22"/>
              </w:rPr>
              <w:t>Roberts J (1994). Debate over US Gulf war syndrome continues. BMJ, Vol 309 pp 1392-3.</w:t>
            </w:r>
          </w:p>
        </w:tc>
      </w:tr>
      <w:tr w:rsidR="002A4F0C" w:rsidRPr="002A4F0C" w14:paraId="1AD6A073" w14:textId="77777777" w:rsidTr="002A4F0C">
        <w:trPr>
          <w:cantSplit/>
        </w:trPr>
        <w:tc>
          <w:tcPr>
            <w:tcW w:w="1575" w:type="dxa"/>
            <w:shd w:val="clear" w:color="auto" w:fill="auto"/>
            <w:noWrap/>
            <w:vAlign w:val="center"/>
          </w:tcPr>
          <w:p w14:paraId="4E2E5B7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17231</w:t>
            </w:r>
          </w:p>
        </w:tc>
        <w:tc>
          <w:tcPr>
            <w:tcW w:w="7938" w:type="dxa"/>
            <w:shd w:val="clear" w:color="auto" w:fill="auto"/>
            <w:vAlign w:val="bottom"/>
          </w:tcPr>
          <w:p w14:paraId="6378580C" w14:textId="77777777" w:rsidR="002A4F0C" w:rsidRPr="002A4F0C" w:rsidRDefault="002A4F0C" w:rsidP="002A4F0C">
            <w:pPr>
              <w:spacing w:line="240" w:lineRule="auto"/>
              <w:rPr>
                <w:rFonts w:ascii="Arial" w:hAnsi="Arial"/>
                <w:szCs w:val="22"/>
              </w:rPr>
            </w:pPr>
            <w:r w:rsidRPr="002A4F0C">
              <w:rPr>
                <w:rFonts w:ascii="Arial" w:hAnsi="Arial"/>
                <w:szCs w:val="22"/>
              </w:rPr>
              <w:t>Roberts J (1995). US report denies that gulf war syndrome is disease. BMJ, Vol 311 p 406.</w:t>
            </w:r>
          </w:p>
        </w:tc>
      </w:tr>
      <w:tr w:rsidR="002A4F0C" w:rsidRPr="002A4F0C" w14:paraId="32F090AE" w14:textId="77777777" w:rsidTr="002A4F0C">
        <w:trPr>
          <w:cantSplit/>
        </w:trPr>
        <w:tc>
          <w:tcPr>
            <w:tcW w:w="1575" w:type="dxa"/>
            <w:shd w:val="clear" w:color="auto" w:fill="auto"/>
            <w:noWrap/>
            <w:vAlign w:val="center"/>
          </w:tcPr>
          <w:p w14:paraId="36D6185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17232</w:t>
            </w:r>
          </w:p>
        </w:tc>
        <w:tc>
          <w:tcPr>
            <w:tcW w:w="7938" w:type="dxa"/>
            <w:shd w:val="clear" w:color="auto" w:fill="auto"/>
            <w:vAlign w:val="bottom"/>
          </w:tcPr>
          <w:p w14:paraId="4E6FD2A3" w14:textId="77777777" w:rsidR="002A4F0C" w:rsidRPr="002A4F0C" w:rsidRDefault="002A4F0C" w:rsidP="002A4F0C">
            <w:pPr>
              <w:spacing w:line="240" w:lineRule="auto"/>
              <w:rPr>
                <w:rFonts w:ascii="Arial" w:hAnsi="Arial"/>
                <w:szCs w:val="22"/>
              </w:rPr>
            </w:pPr>
            <w:r w:rsidRPr="002A4F0C">
              <w:rPr>
                <w:rFonts w:ascii="Arial" w:hAnsi="Arial"/>
                <w:szCs w:val="22"/>
              </w:rPr>
              <w:t>Revell T (1995). The Gulf war syndrome. BMJ, Vol 310 p1073.</w:t>
            </w:r>
          </w:p>
        </w:tc>
      </w:tr>
      <w:tr w:rsidR="002A4F0C" w:rsidRPr="002A4F0C" w14:paraId="6C3F6FDB" w14:textId="77777777" w:rsidTr="002A4F0C">
        <w:trPr>
          <w:cantSplit/>
        </w:trPr>
        <w:tc>
          <w:tcPr>
            <w:tcW w:w="1575" w:type="dxa"/>
            <w:shd w:val="clear" w:color="auto" w:fill="auto"/>
            <w:noWrap/>
            <w:vAlign w:val="center"/>
          </w:tcPr>
          <w:p w14:paraId="51EB3867"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17233</w:t>
            </w:r>
          </w:p>
        </w:tc>
        <w:tc>
          <w:tcPr>
            <w:tcW w:w="7938" w:type="dxa"/>
            <w:shd w:val="clear" w:color="auto" w:fill="auto"/>
            <w:vAlign w:val="bottom"/>
          </w:tcPr>
          <w:p w14:paraId="47DFB56A" w14:textId="77777777" w:rsidR="002A4F0C" w:rsidRPr="002A4F0C" w:rsidRDefault="002A4F0C" w:rsidP="002A4F0C">
            <w:pPr>
              <w:spacing w:line="240" w:lineRule="auto"/>
              <w:rPr>
                <w:rFonts w:ascii="Arial" w:hAnsi="Arial"/>
                <w:szCs w:val="22"/>
              </w:rPr>
            </w:pPr>
            <w:r w:rsidRPr="002A4F0C">
              <w:rPr>
                <w:rFonts w:ascii="Arial" w:hAnsi="Arial"/>
                <w:szCs w:val="22"/>
              </w:rPr>
              <w:t>Currie E (1995). The Gulf war syndrome. BMJ, Vol 310 pp 1334-5.</w:t>
            </w:r>
          </w:p>
        </w:tc>
      </w:tr>
      <w:tr w:rsidR="002A4F0C" w:rsidRPr="002A4F0C" w14:paraId="38109195" w14:textId="77777777" w:rsidTr="002A4F0C">
        <w:trPr>
          <w:cantSplit/>
        </w:trPr>
        <w:tc>
          <w:tcPr>
            <w:tcW w:w="1575" w:type="dxa"/>
            <w:shd w:val="clear" w:color="auto" w:fill="auto"/>
            <w:noWrap/>
            <w:vAlign w:val="center"/>
          </w:tcPr>
          <w:p w14:paraId="58B32848"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17234</w:t>
            </w:r>
          </w:p>
        </w:tc>
        <w:tc>
          <w:tcPr>
            <w:tcW w:w="7938" w:type="dxa"/>
            <w:shd w:val="clear" w:color="auto" w:fill="auto"/>
            <w:vAlign w:val="bottom"/>
          </w:tcPr>
          <w:p w14:paraId="6C1D3895" w14:textId="77777777" w:rsidR="002A4F0C" w:rsidRPr="002A4F0C" w:rsidRDefault="002A4F0C" w:rsidP="002A4F0C">
            <w:pPr>
              <w:spacing w:line="240" w:lineRule="auto"/>
              <w:rPr>
                <w:rFonts w:ascii="Arial" w:hAnsi="Arial"/>
                <w:szCs w:val="22"/>
              </w:rPr>
            </w:pPr>
            <w:r w:rsidRPr="002A4F0C">
              <w:rPr>
                <w:rFonts w:ascii="Arial" w:hAnsi="Arial"/>
                <w:szCs w:val="22"/>
              </w:rPr>
              <w:t>Sillanpaa MC and Agar LM (1999). Minnesota multiphasic personality inventory-2 validity patterns: an elucidation of Gulf War Syndrome. Military Medicine, Vol 164 (4) pp 261-263.</w:t>
            </w:r>
          </w:p>
        </w:tc>
      </w:tr>
      <w:tr w:rsidR="002A4F0C" w:rsidRPr="002A4F0C" w14:paraId="3E52FCCE" w14:textId="77777777" w:rsidTr="002A4F0C">
        <w:trPr>
          <w:cantSplit/>
        </w:trPr>
        <w:tc>
          <w:tcPr>
            <w:tcW w:w="1575" w:type="dxa"/>
            <w:shd w:val="clear" w:color="auto" w:fill="auto"/>
            <w:noWrap/>
            <w:vAlign w:val="center"/>
          </w:tcPr>
          <w:p w14:paraId="6EADD8DE"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17235</w:t>
            </w:r>
          </w:p>
        </w:tc>
        <w:tc>
          <w:tcPr>
            <w:tcW w:w="7938" w:type="dxa"/>
            <w:shd w:val="clear" w:color="auto" w:fill="auto"/>
            <w:vAlign w:val="bottom"/>
          </w:tcPr>
          <w:p w14:paraId="1E65B164" w14:textId="77777777" w:rsidR="002A4F0C" w:rsidRPr="002A4F0C" w:rsidRDefault="002A4F0C" w:rsidP="002A4F0C">
            <w:pPr>
              <w:spacing w:line="240" w:lineRule="auto"/>
              <w:rPr>
                <w:rFonts w:ascii="Arial" w:hAnsi="Arial"/>
                <w:szCs w:val="22"/>
              </w:rPr>
            </w:pPr>
            <w:r w:rsidRPr="002A4F0C">
              <w:rPr>
                <w:rFonts w:ascii="Arial" w:hAnsi="Arial"/>
                <w:szCs w:val="22"/>
              </w:rPr>
              <w:t>Murphy FM (1999). Gulf war syndrome. There may be no specific syndrome, but troops suffer after most wars. BMJ, Vol 318 pp 274-5.</w:t>
            </w:r>
          </w:p>
        </w:tc>
      </w:tr>
      <w:tr w:rsidR="002A4F0C" w:rsidRPr="002A4F0C" w14:paraId="69171B9F" w14:textId="77777777" w:rsidTr="002A4F0C">
        <w:trPr>
          <w:cantSplit/>
        </w:trPr>
        <w:tc>
          <w:tcPr>
            <w:tcW w:w="1575" w:type="dxa"/>
            <w:shd w:val="clear" w:color="auto" w:fill="auto"/>
            <w:noWrap/>
            <w:vAlign w:val="center"/>
          </w:tcPr>
          <w:p w14:paraId="10B93C8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17236</w:t>
            </w:r>
          </w:p>
        </w:tc>
        <w:tc>
          <w:tcPr>
            <w:tcW w:w="7938" w:type="dxa"/>
            <w:shd w:val="clear" w:color="auto" w:fill="auto"/>
            <w:vAlign w:val="bottom"/>
          </w:tcPr>
          <w:p w14:paraId="2D53209E" w14:textId="77777777" w:rsidR="002A4F0C" w:rsidRPr="002A4F0C" w:rsidRDefault="002A4F0C" w:rsidP="002A4F0C">
            <w:pPr>
              <w:spacing w:line="240" w:lineRule="auto"/>
              <w:rPr>
                <w:rFonts w:ascii="Arial" w:hAnsi="Arial"/>
                <w:szCs w:val="22"/>
              </w:rPr>
            </w:pPr>
            <w:r w:rsidRPr="002A4F0C">
              <w:rPr>
                <w:rFonts w:ascii="Arial" w:hAnsi="Arial"/>
                <w:szCs w:val="22"/>
              </w:rPr>
              <w:t>Coker WJ, Bhatt BM, Blatchley NF, Graham JT (1999). Clinical findings for the first 1000 Gulf war veterans in the Ministry of Defence's medical assessment programme. BMJ, Vol 318 pp 290-4.</w:t>
            </w:r>
          </w:p>
        </w:tc>
      </w:tr>
      <w:tr w:rsidR="002A4F0C" w:rsidRPr="002A4F0C" w14:paraId="2E5B185D" w14:textId="77777777" w:rsidTr="002A4F0C">
        <w:trPr>
          <w:cantSplit/>
        </w:trPr>
        <w:tc>
          <w:tcPr>
            <w:tcW w:w="1575" w:type="dxa"/>
            <w:shd w:val="clear" w:color="auto" w:fill="auto"/>
            <w:noWrap/>
            <w:vAlign w:val="center"/>
          </w:tcPr>
          <w:p w14:paraId="368B94E1"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17242</w:t>
            </w:r>
          </w:p>
        </w:tc>
        <w:tc>
          <w:tcPr>
            <w:tcW w:w="7938" w:type="dxa"/>
            <w:shd w:val="clear" w:color="auto" w:fill="auto"/>
            <w:vAlign w:val="bottom"/>
          </w:tcPr>
          <w:p w14:paraId="23DB47B8" w14:textId="77777777" w:rsidR="002A4F0C" w:rsidRPr="002A4F0C" w:rsidRDefault="002A4F0C" w:rsidP="002A4F0C">
            <w:pPr>
              <w:spacing w:line="240" w:lineRule="auto"/>
              <w:rPr>
                <w:rFonts w:ascii="Arial" w:hAnsi="Arial"/>
                <w:szCs w:val="22"/>
              </w:rPr>
            </w:pPr>
            <w:r w:rsidRPr="002A4F0C">
              <w:rPr>
                <w:rFonts w:ascii="Arial" w:hAnsi="Arial"/>
                <w:szCs w:val="22"/>
              </w:rPr>
              <w:t>Ferguson E; Unwin C, et al (1999). [Comments] Is there a Gulf war syndrome? The Lancet, Vol 353: 1183-4.</w:t>
            </w:r>
          </w:p>
        </w:tc>
      </w:tr>
      <w:tr w:rsidR="002A4F0C" w:rsidRPr="002A4F0C" w14:paraId="38181556" w14:textId="77777777" w:rsidTr="002A4F0C">
        <w:trPr>
          <w:cantSplit/>
        </w:trPr>
        <w:tc>
          <w:tcPr>
            <w:tcW w:w="1575" w:type="dxa"/>
            <w:shd w:val="clear" w:color="auto" w:fill="auto"/>
            <w:noWrap/>
            <w:vAlign w:val="center"/>
          </w:tcPr>
          <w:p w14:paraId="77C27C4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17243</w:t>
            </w:r>
          </w:p>
        </w:tc>
        <w:tc>
          <w:tcPr>
            <w:tcW w:w="7938" w:type="dxa"/>
            <w:shd w:val="clear" w:color="auto" w:fill="auto"/>
            <w:vAlign w:val="bottom"/>
          </w:tcPr>
          <w:p w14:paraId="7B2791FA" w14:textId="77777777" w:rsidR="002A4F0C" w:rsidRPr="002A4F0C" w:rsidRDefault="002A4F0C" w:rsidP="002A4F0C">
            <w:pPr>
              <w:spacing w:line="240" w:lineRule="auto"/>
              <w:rPr>
                <w:rFonts w:ascii="Arial" w:hAnsi="Arial"/>
                <w:szCs w:val="22"/>
              </w:rPr>
            </w:pPr>
            <w:r w:rsidRPr="002A4F0C">
              <w:rPr>
                <w:rFonts w:ascii="Arial" w:hAnsi="Arial"/>
                <w:szCs w:val="22"/>
              </w:rPr>
              <w:t>Ismail K, Everitt B, Blathcley N et al (1999). Is there a Gulf War Syndrome? The Lancet, 353(9148): 179-82.</w:t>
            </w:r>
          </w:p>
        </w:tc>
      </w:tr>
      <w:tr w:rsidR="002A4F0C" w:rsidRPr="002A4F0C" w14:paraId="2B95A1DE" w14:textId="77777777" w:rsidTr="002A4F0C">
        <w:trPr>
          <w:cantSplit/>
        </w:trPr>
        <w:tc>
          <w:tcPr>
            <w:tcW w:w="1575" w:type="dxa"/>
            <w:shd w:val="clear" w:color="auto" w:fill="auto"/>
            <w:noWrap/>
            <w:vAlign w:val="center"/>
          </w:tcPr>
          <w:p w14:paraId="0EF76547"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17244</w:t>
            </w:r>
          </w:p>
        </w:tc>
        <w:tc>
          <w:tcPr>
            <w:tcW w:w="7938" w:type="dxa"/>
            <w:shd w:val="clear" w:color="auto" w:fill="auto"/>
            <w:vAlign w:val="bottom"/>
          </w:tcPr>
          <w:p w14:paraId="43F510E3" w14:textId="77777777" w:rsidR="002A4F0C" w:rsidRPr="002A4F0C" w:rsidRDefault="002A4F0C" w:rsidP="002A4F0C">
            <w:pPr>
              <w:spacing w:line="240" w:lineRule="auto"/>
              <w:rPr>
                <w:rFonts w:ascii="Arial" w:hAnsi="Arial"/>
                <w:szCs w:val="22"/>
              </w:rPr>
            </w:pPr>
            <w:r w:rsidRPr="002A4F0C">
              <w:rPr>
                <w:rFonts w:ascii="Arial" w:hAnsi="Arial"/>
                <w:szCs w:val="22"/>
              </w:rPr>
              <w:t>Schumacher HR Jr (1998). Patients with "Gulf War Syndrome". Even without etiologic answers treatment studies are needed. Journal of Rheumatology, 25(11) pp 2059-2061.</w:t>
            </w:r>
          </w:p>
        </w:tc>
      </w:tr>
      <w:tr w:rsidR="002A4F0C" w:rsidRPr="002A4F0C" w14:paraId="4F149177" w14:textId="77777777" w:rsidTr="002A4F0C">
        <w:trPr>
          <w:cantSplit/>
        </w:trPr>
        <w:tc>
          <w:tcPr>
            <w:tcW w:w="1575" w:type="dxa"/>
            <w:shd w:val="clear" w:color="auto" w:fill="auto"/>
            <w:noWrap/>
            <w:vAlign w:val="center"/>
          </w:tcPr>
          <w:p w14:paraId="266F8D7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17245</w:t>
            </w:r>
          </w:p>
        </w:tc>
        <w:tc>
          <w:tcPr>
            <w:tcW w:w="7938" w:type="dxa"/>
            <w:shd w:val="clear" w:color="auto" w:fill="auto"/>
            <w:vAlign w:val="bottom"/>
          </w:tcPr>
          <w:p w14:paraId="20935445" w14:textId="77777777" w:rsidR="002A4F0C" w:rsidRPr="002A4F0C" w:rsidRDefault="002A4F0C" w:rsidP="002A4F0C">
            <w:pPr>
              <w:spacing w:line="240" w:lineRule="auto"/>
              <w:rPr>
                <w:rFonts w:ascii="Arial" w:hAnsi="Arial"/>
                <w:szCs w:val="22"/>
              </w:rPr>
            </w:pPr>
            <w:r w:rsidRPr="002A4F0C">
              <w:rPr>
                <w:rFonts w:ascii="Arial" w:hAnsi="Arial"/>
                <w:szCs w:val="22"/>
              </w:rPr>
              <w:t>Shen Z-X (1996). Pyridostigmine bromide and Gulf War syndrome. Medical Hypotheses, 51: 235-7.</w:t>
            </w:r>
          </w:p>
        </w:tc>
      </w:tr>
      <w:tr w:rsidR="002A4F0C" w:rsidRPr="002A4F0C" w14:paraId="7221D438" w14:textId="77777777" w:rsidTr="002A4F0C">
        <w:trPr>
          <w:cantSplit/>
        </w:trPr>
        <w:tc>
          <w:tcPr>
            <w:tcW w:w="1575" w:type="dxa"/>
            <w:shd w:val="clear" w:color="auto" w:fill="auto"/>
            <w:noWrap/>
            <w:vAlign w:val="center"/>
          </w:tcPr>
          <w:p w14:paraId="631D571F"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17246</w:t>
            </w:r>
          </w:p>
        </w:tc>
        <w:tc>
          <w:tcPr>
            <w:tcW w:w="7938" w:type="dxa"/>
            <w:shd w:val="clear" w:color="auto" w:fill="auto"/>
            <w:vAlign w:val="bottom"/>
          </w:tcPr>
          <w:p w14:paraId="77A438BE" w14:textId="77777777" w:rsidR="002A4F0C" w:rsidRPr="002A4F0C" w:rsidRDefault="002A4F0C" w:rsidP="002A4F0C">
            <w:pPr>
              <w:spacing w:line="240" w:lineRule="auto"/>
              <w:rPr>
                <w:rFonts w:ascii="Arial" w:hAnsi="Arial"/>
                <w:szCs w:val="22"/>
              </w:rPr>
            </w:pPr>
            <w:r w:rsidRPr="002A4F0C">
              <w:rPr>
                <w:rFonts w:ascii="Arial" w:hAnsi="Arial"/>
                <w:szCs w:val="22"/>
              </w:rPr>
              <w:t>Macilwain C (1995). Call for more coordination of Gulf war syndrome research. Nature, Vol 373 p 92.</w:t>
            </w:r>
          </w:p>
        </w:tc>
      </w:tr>
      <w:tr w:rsidR="002A4F0C" w:rsidRPr="002A4F0C" w14:paraId="194F739C" w14:textId="77777777" w:rsidTr="002A4F0C">
        <w:trPr>
          <w:cantSplit/>
        </w:trPr>
        <w:tc>
          <w:tcPr>
            <w:tcW w:w="1575" w:type="dxa"/>
            <w:shd w:val="clear" w:color="auto" w:fill="auto"/>
            <w:noWrap/>
            <w:vAlign w:val="center"/>
          </w:tcPr>
          <w:p w14:paraId="16D76AA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17247</w:t>
            </w:r>
          </w:p>
        </w:tc>
        <w:tc>
          <w:tcPr>
            <w:tcW w:w="7938" w:type="dxa"/>
            <w:shd w:val="clear" w:color="auto" w:fill="auto"/>
            <w:vAlign w:val="bottom"/>
          </w:tcPr>
          <w:p w14:paraId="612310FC" w14:textId="77777777" w:rsidR="002A4F0C" w:rsidRPr="002A4F0C" w:rsidRDefault="002A4F0C" w:rsidP="002A4F0C">
            <w:pPr>
              <w:spacing w:line="240" w:lineRule="auto"/>
              <w:rPr>
                <w:rFonts w:ascii="Arial" w:hAnsi="Arial"/>
                <w:szCs w:val="22"/>
              </w:rPr>
            </w:pPr>
            <w:r w:rsidRPr="002A4F0C">
              <w:rPr>
                <w:rFonts w:ascii="Arial" w:hAnsi="Arial"/>
                <w:szCs w:val="22"/>
              </w:rPr>
              <w:t>Critchley EMR (1996). Botulism and Gulf War syndrome. The Lancet, Vol 347 p 1561.</w:t>
            </w:r>
          </w:p>
        </w:tc>
      </w:tr>
      <w:tr w:rsidR="002A4F0C" w:rsidRPr="002A4F0C" w14:paraId="4086B75D" w14:textId="77777777" w:rsidTr="002A4F0C">
        <w:trPr>
          <w:cantSplit/>
        </w:trPr>
        <w:tc>
          <w:tcPr>
            <w:tcW w:w="1575" w:type="dxa"/>
            <w:shd w:val="clear" w:color="auto" w:fill="auto"/>
            <w:noWrap/>
            <w:vAlign w:val="center"/>
          </w:tcPr>
          <w:p w14:paraId="1812D5E8"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17248</w:t>
            </w:r>
          </w:p>
        </w:tc>
        <w:tc>
          <w:tcPr>
            <w:tcW w:w="7938" w:type="dxa"/>
            <w:shd w:val="clear" w:color="auto" w:fill="auto"/>
            <w:vAlign w:val="bottom"/>
          </w:tcPr>
          <w:p w14:paraId="25A4DB88" w14:textId="77777777" w:rsidR="002A4F0C" w:rsidRPr="002A4F0C" w:rsidRDefault="002A4F0C" w:rsidP="002A4F0C">
            <w:pPr>
              <w:spacing w:line="240" w:lineRule="auto"/>
              <w:rPr>
                <w:rFonts w:ascii="Arial" w:hAnsi="Arial"/>
                <w:szCs w:val="22"/>
              </w:rPr>
            </w:pPr>
            <w:r w:rsidRPr="002A4F0C">
              <w:rPr>
                <w:rFonts w:ascii="Arial" w:hAnsi="Arial"/>
                <w:szCs w:val="22"/>
              </w:rPr>
              <w:t>Robinson A (1995). Veterans worry that unexplained medical problems a legacy of service during Gulf War. Can Med Assoc J, Vol 152(6) pp 944-947.</w:t>
            </w:r>
          </w:p>
        </w:tc>
      </w:tr>
      <w:tr w:rsidR="002A4F0C" w:rsidRPr="002A4F0C" w14:paraId="4D9E73BC" w14:textId="77777777" w:rsidTr="002A4F0C">
        <w:trPr>
          <w:cantSplit/>
        </w:trPr>
        <w:tc>
          <w:tcPr>
            <w:tcW w:w="1575" w:type="dxa"/>
            <w:shd w:val="clear" w:color="auto" w:fill="auto"/>
            <w:noWrap/>
            <w:vAlign w:val="center"/>
          </w:tcPr>
          <w:p w14:paraId="0B354527"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17249</w:t>
            </w:r>
          </w:p>
        </w:tc>
        <w:tc>
          <w:tcPr>
            <w:tcW w:w="7938" w:type="dxa"/>
            <w:shd w:val="clear" w:color="auto" w:fill="auto"/>
            <w:vAlign w:val="bottom"/>
          </w:tcPr>
          <w:p w14:paraId="15AA9EE5" w14:textId="77777777" w:rsidR="002A4F0C" w:rsidRPr="002A4F0C" w:rsidRDefault="002A4F0C" w:rsidP="002A4F0C">
            <w:pPr>
              <w:spacing w:line="240" w:lineRule="auto"/>
              <w:rPr>
                <w:rFonts w:ascii="Arial" w:hAnsi="Arial"/>
                <w:szCs w:val="22"/>
              </w:rPr>
            </w:pPr>
            <w:r w:rsidRPr="002A4F0C">
              <w:rPr>
                <w:rFonts w:ascii="Arial" w:hAnsi="Arial"/>
                <w:szCs w:val="22"/>
              </w:rPr>
              <w:t>Sapolsky RM (1998). The stress of Gulf War syndrome. Nature, Vol 393 pp 308-9.</w:t>
            </w:r>
          </w:p>
        </w:tc>
      </w:tr>
      <w:tr w:rsidR="002A4F0C" w:rsidRPr="002A4F0C" w14:paraId="1B9DD17A" w14:textId="77777777" w:rsidTr="002A4F0C">
        <w:trPr>
          <w:cantSplit/>
        </w:trPr>
        <w:tc>
          <w:tcPr>
            <w:tcW w:w="1575" w:type="dxa"/>
            <w:shd w:val="clear" w:color="auto" w:fill="auto"/>
            <w:noWrap/>
            <w:vAlign w:val="center"/>
          </w:tcPr>
          <w:p w14:paraId="52CAC42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17250</w:t>
            </w:r>
          </w:p>
        </w:tc>
        <w:tc>
          <w:tcPr>
            <w:tcW w:w="7938" w:type="dxa"/>
            <w:shd w:val="clear" w:color="auto" w:fill="auto"/>
            <w:vAlign w:val="bottom"/>
          </w:tcPr>
          <w:p w14:paraId="47D398E8" w14:textId="77777777" w:rsidR="002A4F0C" w:rsidRPr="002A4F0C" w:rsidRDefault="002A4F0C" w:rsidP="002A4F0C">
            <w:pPr>
              <w:spacing w:line="240" w:lineRule="auto"/>
              <w:rPr>
                <w:rFonts w:ascii="Arial" w:hAnsi="Arial"/>
                <w:szCs w:val="22"/>
              </w:rPr>
            </w:pPr>
            <w:r w:rsidRPr="002A4F0C">
              <w:rPr>
                <w:rFonts w:ascii="Arial" w:hAnsi="Arial"/>
                <w:szCs w:val="22"/>
              </w:rPr>
              <w:t>Kaufer D, Friedman A, Seidman S, &amp; Soreq H (1998). Acute stress facilitates long-lasting changes in cholinergic gene expression. Nature, Vol 393 pp 373-7.</w:t>
            </w:r>
          </w:p>
        </w:tc>
      </w:tr>
      <w:tr w:rsidR="002A4F0C" w:rsidRPr="002A4F0C" w14:paraId="529C35A2" w14:textId="77777777" w:rsidTr="002A4F0C">
        <w:trPr>
          <w:cantSplit/>
        </w:trPr>
        <w:tc>
          <w:tcPr>
            <w:tcW w:w="1575" w:type="dxa"/>
            <w:shd w:val="clear" w:color="auto" w:fill="auto"/>
            <w:noWrap/>
            <w:vAlign w:val="center"/>
          </w:tcPr>
          <w:p w14:paraId="1079FCF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17251</w:t>
            </w:r>
          </w:p>
        </w:tc>
        <w:tc>
          <w:tcPr>
            <w:tcW w:w="7938" w:type="dxa"/>
            <w:shd w:val="clear" w:color="auto" w:fill="auto"/>
            <w:vAlign w:val="bottom"/>
          </w:tcPr>
          <w:p w14:paraId="32E9E8FE" w14:textId="77777777" w:rsidR="002A4F0C" w:rsidRPr="002A4F0C" w:rsidRDefault="002A4F0C" w:rsidP="002A4F0C">
            <w:pPr>
              <w:spacing w:line="240" w:lineRule="auto"/>
              <w:rPr>
                <w:rFonts w:ascii="Arial" w:hAnsi="Arial"/>
                <w:szCs w:val="22"/>
              </w:rPr>
            </w:pPr>
            <w:r w:rsidRPr="002A4F0C">
              <w:rPr>
                <w:rFonts w:ascii="Arial" w:hAnsi="Arial"/>
                <w:szCs w:val="22"/>
              </w:rPr>
              <w:t>Stretch RH, Bliese PD, Marlowe DH, Wright KM, Knudson KH, Hoover CH (1995). Physical health symptomatology of Gulf War-Era Service Personnel from the States of Pennsylvania and Hawaii. Military Medicine, Vol 160 (3) pp 131-6.</w:t>
            </w:r>
          </w:p>
        </w:tc>
      </w:tr>
      <w:tr w:rsidR="002A4F0C" w:rsidRPr="002A4F0C" w14:paraId="3F4A97B2" w14:textId="77777777" w:rsidTr="002A4F0C">
        <w:trPr>
          <w:cantSplit/>
        </w:trPr>
        <w:tc>
          <w:tcPr>
            <w:tcW w:w="1575" w:type="dxa"/>
            <w:shd w:val="clear" w:color="auto" w:fill="auto"/>
            <w:noWrap/>
            <w:vAlign w:val="center"/>
          </w:tcPr>
          <w:p w14:paraId="4DC26E21"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17252</w:t>
            </w:r>
          </w:p>
        </w:tc>
        <w:tc>
          <w:tcPr>
            <w:tcW w:w="7938" w:type="dxa"/>
            <w:shd w:val="clear" w:color="auto" w:fill="auto"/>
            <w:vAlign w:val="bottom"/>
          </w:tcPr>
          <w:p w14:paraId="3707BF81" w14:textId="77777777" w:rsidR="002A4F0C" w:rsidRPr="002A4F0C" w:rsidRDefault="002A4F0C" w:rsidP="002A4F0C">
            <w:pPr>
              <w:spacing w:line="240" w:lineRule="auto"/>
              <w:rPr>
                <w:rFonts w:ascii="Arial" w:hAnsi="Arial"/>
                <w:szCs w:val="22"/>
              </w:rPr>
            </w:pPr>
            <w:r w:rsidRPr="002A4F0C">
              <w:rPr>
                <w:rFonts w:ascii="Arial" w:hAnsi="Arial"/>
                <w:szCs w:val="22"/>
              </w:rPr>
              <w:t>Milner IB, Axelrod BN, Pasquantonio J, Sillanpaa M (1994). Is there a Gulf War syndrome? JAMA, Vol 271(9) p 661.</w:t>
            </w:r>
          </w:p>
        </w:tc>
      </w:tr>
      <w:tr w:rsidR="002A4F0C" w:rsidRPr="002A4F0C" w14:paraId="63ABC456" w14:textId="77777777" w:rsidTr="002A4F0C">
        <w:trPr>
          <w:cantSplit/>
        </w:trPr>
        <w:tc>
          <w:tcPr>
            <w:tcW w:w="1575" w:type="dxa"/>
            <w:shd w:val="clear" w:color="auto" w:fill="auto"/>
            <w:noWrap/>
            <w:vAlign w:val="center"/>
          </w:tcPr>
          <w:p w14:paraId="2BAA6DB8"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17253</w:t>
            </w:r>
          </w:p>
        </w:tc>
        <w:tc>
          <w:tcPr>
            <w:tcW w:w="7938" w:type="dxa"/>
            <w:shd w:val="clear" w:color="auto" w:fill="auto"/>
            <w:vAlign w:val="bottom"/>
          </w:tcPr>
          <w:p w14:paraId="443FEE74" w14:textId="77777777" w:rsidR="002A4F0C" w:rsidRPr="002A4F0C" w:rsidRDefault="002A4F0C" w:rsidP="002A4F0C">
            <w:pPr>
              <w:spacing w:line="240" w:lineRule="auto"/>
              <w:rPr>
                <w:rFonts w:ascii="Arial" w:hAnsi="Arial"/>
                <w:szCs w:val="22"/>
              </w:rPr>
            </w:pPr>
            <w:r w:rsidRPr="002A4F0C">
              <w:rPr>
                <w:rFonts w:ascii="Arial" w:hAnsi="Arial"/>
                <w:szCs w:val="22"/>
              </w:rPr>
              <w:t>Schlesinger N, Baker DG, Schumacher HR Jr (1997). Persian Gulf war myalgia syndrome. The Journal of Rheumatology, Vol 24 (5) pp 1018-9.</w:t>
            </w:r>
          </w:p>
        </w:tc>
      </w:tr>
      <w:tr w:rsidR="002A4F0C" w:rsidRPr="002A4F0C" w14:paraId="097D8F2F" w14:textId="77777777" w:rsidTr="002A4F0C">
        <w:trPr>
          <w:cantSplit/>
        </w:trPr>
        <w:tc>
          <w:tcPr>
            <w:tcW w:w="1575" w:type="dxa"/>
            <w:shd w:val="clear" w:color="auto" w:fill="auto"/>
            <w:noWrap/>
            <w:vAlign w:val="center"/>
          </w:tcPr>
          <w:p w14:paraId="4F97FC2C"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17254</w:t>
            </w:r>
          </w:p>
        </w:tc>
        <w:tc>
          <w:tcPr>
            <w:tcW w:w="7938" w:type="dxa"/>
            <w:shd w:val="clear" w:color="auto" w:fill="auto"/>
            <w:vAlign w:val="bottom"/>
          </w:tcPr>
          <w:p w14:paraId="14B1F12A" w14:textId="77777777" w:rsidR="002A4F0C" w:rsidRPr="002A4F0C" w:rsidRDefault="002A4F0C" w:rsidP="002A4F0C">
            <w:pPr>
              <w:spacing w:line="240" w:lineRule="auto"/>
              <w:rPr>
                <w:rFonts w:ascii="Arial" w:hAnsi="Arial"/>
                <w:szCs w:val="22"/>
              </w:rPr>
            </w:pPr>
            <w:r w:rsidRPr="002A4F0C">
              <w:rPr>
                <w:rFonts w:ascii="Arial" w:hAnsi="Arial"/>
                <w:szCs w:val="22"/>
              </w:rPr>
              <w:t>Gordon V (1997). Identification of Gulf War syndrome: methodological issues and medical illnesses. JAMA, Vol 278 (5) p 383; discussion pp 383-7.</w:t>
            </w:r>
          </w:p>
        </w:tc>
      </w:tr>
      <w:tr w:rsidR="002A4F0C" w:rsidRPr="002A4F0C" w14:paraId="2E763F9A" w14:textId="77777777" w:rsidTr="002A4F0C">
        <w:trPr>
          <w:cantSplit/>
        </w:trPr>
        <w:tc>
          <w:tcPr>
            <w:tcW w:w="1575" w:type="dxa"/>
            <w:shd w:val="clear" w:color="auto" w:fill="auto"/>
            <w:noWrap/>
            <w:vAlign w:val="center"/>
          </w:tcPr>
          <w:p w14:paraId="30EAB70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17255</w:t>
            </w:r>
          </w:p>
        </w:tc>
        <w:tc>
          <w:tcPr>
            <w:tcW w:w="7938" w:type="dxa"/>
            <w:shd w:val="clear" w:color="auto" w:fill="auto"/>
            <w:vAlign w:val="bottom"/>
          </w:tcPr>
          <w:p w14:paraId="377C1674" w14:textId="77777777" w:rsidR="002A4F0C" w:rsidRPr="002A4F0C" w:rsidRDefault="002A4F0C" w:rsidP="002A4F0C">
            <w:pPr>
              <w:spacing w:line="240" w:lineRule="auto"/>
              <w:rPr>
                <w:rFonts w:ascii="Arial" w:hAnsi="Arial"/>
                <w:szCs w:val="22"/>
              </w:rPr>
            </w:pPr>
            <w:r w:rsidRPr="002A4F0C">
              <w:rPr>
                <w:rFonts w:ascii="Arial" w:hAnsi="Arial"/>
                <w:szCs w:val="22"/>
              </w:rPr>
              <w:t>Haley RW, Kurt TL, Hom J (1997). Is there a Gulf War Syndrome? Searching for syndromes by factor analysis of symptoms. JAMA, 277(3): 215-22.</w:t>
            </w:r>
          </w:p>
        </w:tc>
      </w:tr>
      <w:tr w:rsidR="002A4F0C" w:rsidRPr="002A4F0C" w14:paraId="2104F4B6" w14:textId="77777777" w:rsidTr="002A4F0C">
        <w:trPr>
          <w:cantSplit/>
        </w:trPr>
        <w:tc>
          <w:tcPr>
            <w:tcW w:w="1575" w:type="dxa"/>
            <w:shd w:val="clear" w:color="auto" w:fill="auto"/>
            <w:noWrap/>
            <w:vAlign w:val="center"/>
          </w:tcPr>
          <w:p w14:paraId="0972BA29"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17256</w:t>
            </w:r>
          </w:p>
        </w:tc>
        <w:tc>
          <w:tcPr>
            <w:tcW w:w="7938" w:type="dxa"/>
            <w:shd w:val="clear" w:color="auto" w:fill="auto"/>
            <w:vAlign w:val="bottom"/>
          </w:tcPr>
          <w:p w14:paraId="115C67C0" w14:textId="77777777" w:rsidR="002A4F0C" w:rsidRPr="002A4F0C" w:rsidRDefault="002A4F0C" w:rsidP="002A4F0C">
            <w:pPr>
              <w:spacing w:line="240" w:lineRule="auto"/>
              <w:rPr>
                <w:rFonts w:ascii="Arial" w:hAnsi="Arial"/>
                <w:szCs w:val="22"/>
              </w:rPr>
            </w:pPr>
            <w:r w:rsidRPr="002A4F0C">
              <w:rPr>
                <w:rFonts w:ascii="Arial" w:hAnsi="Arial"/>
                <w:szCs w:val="22"/>
              </w:rPr>
              <w:t>Haley RW, Hom J, Roland PS, Bryan WW, Van Ness PC, et al (1997). Evaluation of neurologic function in Gulf War veterans. A blinded case-control study. JAMA, Vol 277 pp 223-230.</w:t>
            </w:r>
          </w:p>
        </w:tc>
      </w:tr>
      <w:tr w:rsidR="002A4F0C" w:rsidRPr="002A4F0C" w14:paraId="76F5ED57" w14:textId="77777777" w:rsidTr="002A4F0C">
        <w:trPr>
          <w:cantSplit/>
        </w:trPr>
        <w:tc>
          <w:tcPr>
            <w:tcW w:w="1575" w:type="dxa"/>
            <w:shd w:val="clear" w:color="auto" w:fill="auto"/>
            <w:noWrap/>
            <w:vAlign w:val="center"/>
          </w:tcPr>
          <w:p w14:paraId="562CBA4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17257</w:t>
            </w:r>
          </w:p>
        </w:tc>
        <w:tc>
          <w:tcPr>
            <w:tcW w:w="7938" w:type="dxa"/>
            <w:shd w:val="clear" w:color="auto" w:fill="auto"/>
            <w:vAlign w:val="bottom"/>
          </w:tcPr>
          <w:p w14:paraId="0CF3905D" w14:textId="77777777" w:rsidR="002A4F0C" w:rsidRPr="002A4F0C" w:rsidRDefault="002A4F0C" w:rsidP="002A4F0C">
            <w:pPr>
              <w:spacing w:line="240" w:lineRule="auto"/>
              <w:rPr>
                <w:rFonts w:ascii="Arial" w:hAnsi="Arial"/>
                <w:szCs w:val="22"/>
              </w:rPr>
            </w:pPr>
            <w:r w:rsidRPr="002A4F0C">
              <w:rPr>
                <w:rFonts w:ascii="Arial" w:hAnsi="Arial"/>
                <w:szCs w:val="22"/>
              </w:rPr>
              <w:t>Haley RW, Kurt TL (1997). Self-reported exposure to neurotoxic chemical combinations in the Gulf War. A cross-sectional epidemiologic study. JAMA, 277(3): 231-7.</w:t>
            </w:r>
          </w:p>
        </w:tc>
      </w:tr>
      <w:tr w:rsidR="002A4F0C" w:rsidRPr="002A4F0C" w14:paraId="6EB673C2" w14:textId="77777777" w:rsidTr="002A4F0C">
        <w:trPr>
          <w:cantSplit/>
        </w:trPr>
        <w:tc>
          <w:tcPr>
            <w:tcW w:w="1575" w:type="dxa"/>
            <w:shd w:val="clear" w:color="auto" w:fill="auto"/>
            <w:noWrap/>
            <w:vAlign w:val="center"/>
          </w:tcPr>
          <w:p w14:paraId="539F0D3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17258</w:t>
            </w:r>
          </w:p>
        </w:tc>
        <w:tc>
          <w:tcPr>
            <w:tcW w:w="7938" w:type="dxa"/>
            <w:shd w:val="clear" w:color="auto" w:fill="auto"/>
            <w:vAlign w:val="bottom"/>
          </w:tcPr>
          <w:p w14:paraId="17CB5632" w14:textId="77777777" w:rsidR="002A4F0C" w:rsidRPr="002A4F0C" w:rsidRDefault="002A4F0C" w:rsidP="002A4F0C">
            <w:pPr>
              <w:spacing w:line="240" w:lineRule="auto"/>
              <w:rPr>
                <w:rFonts w:ascii="Arial" w:hAnsi="Arial"/>
                <w:szCs w:val="22"/>
              </w:rPr>
            </w:pPr>
            <w:r w:rsidRPr="002A4F0C">
              <w:rPr>
                <w:rFonts w:ascii="Arial" w:hAnsi="Arial"/>
                <w:szCs w:val="22"/>
              </w:rPr>
              <w:t>Landrigan PJ, Lashof JC, Hamburg DA (1998). [Letter] "Is Gulf War Syndrome due to stress? The evidence reexamined". American Journal of Epidemiology, 148(4) pp 404-407.</w:t>
            </w:r>
          </w:p>
        </w:tc>
      </w:tr>
      <w:tr w:rsidR="002A4F0C" w:rsidRPr="002A4F0C" w14:paraId="7089A4D3" w14:textId="77777777" w:rsidTr="002A4F0C">
        <w:trPr>
          <w:cantSplit/>
        </w:trPr>
        <w:tc>
          <w:tcPr>
            <w:tcW w:w="1575" w:type="dxa"/>
            <w:shd w:val="clear" w:color="auto" w:fill="auto"/>
            <w:noWrap/>
            <w:vAlign w:val="center"/>
          </w:tcPr>
          <w:p w14:paraId="6883D12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17259</w:t>
            </w:r>
          </w:p>
        </w:tc>
        <w:tc>
          <w:tcPr>
            <w:tcW w:w="7938" w:type="dxa"/>
            <w:shd w:val="clear" w:color="auto" w:fill="auto"/>
            <w:vAlign w:val="bottom"/>
          </w:tcPr>
          <w:p w14:paraId="23FB08B4" w14:textId="77777777" w:rsidR="002A4F0C" w:rsidRPr="002A4F0C" w:rsidRDefault="002A4F0C" w:rsidP="002A4F0C">
            <w:pPr>
              <w:spacing w:line="240" w:lineRule="auto"/>
              <w:rPr>
                <w:rFonts w:ascii="Arial" w:hAnsi="Arial"/>
                <w:szCs w:val="22"/>
              </w:rPr>
            </w:pPr>
            <w:r w:rsidRPr="002A4F0C">
              <w:rPr>
                <w:rFonts w:ascii="Arial" w:hAnsi="Arial"/>
                <w:szCs w:val="22"/>
              </w:rPr>
              <w:t>Wolfe J, Proctor SP, White RF, Friedman MJ (1998). [Comment] Re: "Is Gulf War Syndrome due to stress? The evidence reexamined". American Journal of Epidemiology, 148(4): 402-3.</w:t>
            </w:r>
          </w:p>
        </w:tc>
      </w:tr>
      <w:tr w:rsidR="002A4F0C" w:rsidRPr="002A4F0C" w14:paraId="5EA62F12" w14:textId="77777777" w:rsidTr="002A4F0C">
        <w:trPr>
          <w:cantSplit/>
        </w:trPr>
        <w:tc>
          <w:tcPr>
            <w:tcW w:w="1575" w:type="dxa"/>
            <w:shd w:val="clear" w:color="auto" w:fill="auto"/>
            <w:noWrap/>
            <w:vAlign w:val="center"/>
          </w:tcPr>
          <w:p w14:paraId="6B851EC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17260</w:t>
            </w:r>
          </w:p>
        </w:tc>
        <w:tc>
          <w:tcPr>
            <w:tcW w:w="7938" w:type="dxa"/>
            <w:shd w:val="clear" w:color="auto" w:fill="auto"/>
            <w:vAlign w:val="bottom"/>
          </w:tcPr>
          <w:p w14:paraId="6CFA6FF6" w14:textId="77777777" w:rsidR="002A4F0C" w:rsidRPr="002A4F0C" w:rsidRDefault="002A4F0C" w:rsidP="002A4F0C">
            <w:pPr>
              <w:spacing w:line="240" w:lineRule="auto"/>
              <w:rPr>
                <w:rFonts w:ascii="Arial" w:hAnsi="Arial"/>
                <w:szCs w:val="22"/>
              </w:rPr>
            </w:pPr>
            <w:r w:rsidRPr="002A4F0C">
              <w:rPr>
                <w:rFonts w:ascii="Arial" w:hAnsi="Arial"/>
                <w:szCs w:val="22"/>
              </w:rPr>
              <w:t>Hyams KC, &amp; Roswell RH (1998) Resolving the Gulf War Syndrome question. American Journal of Epidemiology, Vol 148(40 pp 339-42.</w:t>
            </w:r>
          </w:p>
        </w:tc>
      </w:tr>
      <w:tr w:rsidR="002A4F0C" w:rsidRPr="002A4F0C" w14:paraId="1204644A" w14:textId="77777777" w:rsidTr="002A4F0C">
        <w:trPr>
          <w:cantSplit/>
        </w:trPr>
        <w:tc>
          <w:tcPr>
            <w:tcW w:w="1575" w:type="dxa"/>
            <w:shd w:val="clear" w:color="auto" w:fill="auto"/>
            <w:noWrap/>
            <w:vAlign w:val="center"/>
          </w:tcPr>
          <w:p w14:paraId="2868A560"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17262</w:t>
            </w:r>
          </w:p>
        </w:tc>
        <w:tc>
          <w:tcPr>
            <w:tcW w:w="7938" w:type="dxa"/>
            <w:shd w:val="clear" w:color="auto" w:fill="auto"/>
            <w:vAlign w:val="bottom"/>
          </w:tcPr>
          <w:p w14:paraId="519D1390" w14:textId="77777777" w:rsidR="002A4F0C" w:rsidRPr="002A4F0C" w:rsidRDefault="002A4F0C" w:rsidP="002A4F0C">
            <w:pPr>
              <w:spacing w:line="240" w:lineRule="auto"/>
              <w:rPr>
                <w:rFonts w:ascii="Arial" w:hAnsi="Arial"/>
                <w:szCs w:val="22"/>
              </w:rPr>
            </w:pPr>
            <w:r w:rsidRPr="002A4F0C">
              <w:rPr>
                <w:rFonts w:ascii="Arial" w:hAnsi="Arial"/>
                <w:szCs w:val="22"/>
              </w:rPr>
              <w:t>Cranall D (1996). Britain investigates Gulf war syndrome. BMJ, Vol 312 pp 332-3.</w:t>
            </w:r>
          </w:p>
        </w:tc>
      </w:tr>
      <w:tr w:rsidR="002A4F0C" w:rsidRPr="002A4F0C" w14:paraId="3025A652" w14:textId="77777777" w:rsidTr="002A4F0C">
        <w:trPr>
          <w:cantSplit/>
        </w:trPr>
        <w:tc>
          <w:tcPr>
            <w:tcW w:w="1575" w:type="dxa"/>
            <w:shd w:val="clear" w:color="auto" w:fill="auto"/>
            <w:noWrap/>
            <w:vAlign w:val="center"/>
          </w:tcPr>
          <w:p w14:paraId="4D8830B7"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17263</w:t>
            </w:r>
          </w:p>
        </w:tc>
        <w:tc>
          <w:tcPr>
            <w:tcW w:w="7938" w:type="dxa"/>
            <w:shd w:val="clear" w:color="auto" w:fill="auto"/>
            <w:vAlign w:val="bottom"/>
          </w:tcPr>
          <w:p w14:paraId="7CC1C168" w14:textId="77777777" w:rsidR="002A4F0C" w:rsidRPr="002A4F0C" w:rsidRDefault="002A4F0C" w:rsidP="002A4F0C">
            <w:pPr>
              <w:spacing w:line="240" w:lineRule="auto"/>
              <w:rPr>
                <w:rFonts w:ascii="Arial" w:hAnsi="Arial"/>
                <w:szCs w:val="22"/>
              </w:rPr>
            </w:pPr>
            <w:r w:rsidRPr="002A4F0C">
              <w:rPr>
                <w:rFonts w:ascii="Arial" w:hAnsi="Arial"/>
                <w:szCs w:val="22"/>
              </w:rPr>
              <w:t>Haley RW (1997). Is Gulf War Syndrome due to stress? The evidence reexamined. American Journal of Epidemiology, 146(9): 695-703.</w:t>
            </w:r>
          </w:p>
        </w:tc>
      </w:tr>
      <w:tr w:rsidR="002A4F0C" w:rsidRPr="002A4F0C" w14:paraId="3F9E7C09" w14:textId="77777777" w:rsidTr="002A4F0C">
        <w:trPr>
          <w:cantSplit/>
        </w:trPr>
        <w:tc>
          <w:tcPr>
            <w:tcW w:w="1575" w:type="dxa"/>
            <w:shd w:val="clear" w:color="auto" w:fill="auto"/>
            <w:noWrap/>
            <w:vAlign w:val="center"/>
          </w:tcPr>
          <w:p w14:paraId="2F6A753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17264</w:t>
            </w:r>
          </w:p>
        </w:tc>
        <w:tc>
          <w:tcPr>
            <w:tcW w:w="7938" w:type="dxa"/>
            <w:shd w:val="clear" w:color="auto" w:fill="auto"/>
            <w:vAlign w:val="bottom"/>
          </w:tcPr>
          <w:p w14:paraId="221FF8F4" w14:textId="77777777" w:rsidR="002A4F0C" w:rsidRPr="002A4F0C" w:rsidRDefault="002A4F0C" w:rsidP="002A4F0C">
            <w:pPr>
              <w:spacing w:line="240" w:lineRule="auto"/>
              <w:rPr>
                <w:rFonts w:ascii="Arial" w:hAnsi="Arial"/>
                <w:szCs w:val="22"/>
              </w:rPr>
            </w:pPr>
            <w:r w:rsidRPr="002A4F0C">
              <w:rPr>
                <w:rFonts w:ascii="Arial" w:hAnsi="Arial"/>
                <w:szCs w:val="22"/>
              </w:rPr>
              <w:t>Wegman DH, Woods NF, &amp; Bailar JC. (1997). Invited commentary: how would we know a Gulf War Syndrome if we saw one? American Journal of Epidemiology, Vol 146 (9) pp 704-711.</w:t>
            </w:r>
          </w:p>
        </w:tc>
      </w:tr>
      <w:tr w:rsidR="002A4F0C" w:rsidRPr="002A4F0C" w14:paraId="1DF3EE91" w14:textId="77777777" w:rsidTr="002A4F0C">
        <w:trPr>
          <w:cantSplit/>
        </w:trPr>
        <w:tc>
          <w:tcPr>
            <w:tcW w:w="1575" w:type="dxa"/>
            <w:shd w:val="clear" w:color="auto" w:fill="auto"/>
            <w:noWrap/>
            <w:vAlign w:val="center"/>
          </w:tcPr>
          <w:p w14:paraId="3E09457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17266</w:t>
            </w:r>
          </w:p>
        </w:tc>
        <w:tc>
          <w:tcPr>
            <w:tcW w:w="7938" w:type="dxa"/>
            <w:shd w:val="clear" w:color="auto" w:fill="auto"/>
            <w:vAlign w:val="bottom"/>
          </w:tcPr>
          <w:p w14:paraId="04BB3BDB" w14:textId="77777777" w:rsidR="002A4F0C" w:rsidRPr="002A4F0C" w:rsidRDefault="002A4F0C" w:rsidP="002A4F0C">
            <w:pPr>
              <w:spacing w:line="240" w:lineRule="auto"/>
              <w:rPr>
                <w:rFonts w:ascii="Arial" w:hAnsi="Arial"/>
                <w:szCs w:val="22"/>
              </w:rPr>
            </w:pPr>
            <w:r w:rsidRPr="002A4F0C">
              <w:rPr>
                <w:rFonts w:ascii="Arial" w:hAnsi="Arial"/>
                <w:szCs w:val="22"/>
              </w:rPr>
              <w:t>Jamal GA (1998). Gulf war syndrome-a model for the complexity of biological and environmental interaction with human health. Adverse Drug React Toxicol. Rev., Vol 17(1) pp 1-17.</w:t>
            </w:r>
          </w:p>
        </w:tc>
      </w:tr>
      <w:tr w:rsidR="002A4F0C" w:rsidRPr="002A4F0C" w14:paraId="214028FA" w14:textId="77777777" w:rsidTr="002A4F0C">
        <w:trPr>
          <w:cantSplit/>
        </w:trPr>
        <w:tc>
          <w:tcPr>
            <w:tcW w:w="1575" w:type="dxa"/>
            <w:shd w:val="clear" w:color="auto" w:fill="auto"/>
            <w:noWrap/>
            <w:vAlign w:val="center"/>
          </w:tcPr>
          <w:p w14:paraId="3213F86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17270</w:t>
            </w:r>
          </w:p>
        </w:tc>
        <w:tc>
          <w:tcPr>
            <w:tcW w:w="7938" w:type="dxa"/>
            <w:shd w:val="clear" w:color="auto" w:fill="auto"/>
            <w:vAlign w:val="bottom"/>
          </w:tcPr>
          <w:p w14:paraId="432C9AEC" w14:textId="77777777" w:rsidR="002A4F0C" w:rsidRPr="002A4F0C" w:rsidRDefault="002A4F0C" w:rsidP="002A4F0C">
            <w:pPr>
              <w:spacing w:line="240" w:lineRule="auto"/>
              <w:rPr>
                <w:rFonts w:ascii="Arial" w:hAnsi="Arial"/>
                <w:szCs w:val="22"/>
              </w:rPr>
            </w:pPr>
            <w:r w:rsidRPr="002A4F0C">
              <w:rPr>
                <w:rFonts w:ascii="Arial" w:hAnsi="Arial"/>
                <w:szCs w:val="22"/>
              </w:rPr>
              <w:t>Buchholz BA, Pawley NH, Vogel JS, &amp; Mauthe RJ (1997). Pyrethroid decrease in central nervous system from nerve agent pretreatment. Journal of Applied Toxicology, 17(4): 231-4.</w:t>
            </w:r>
          </w:p>
        </w:tc>
      </w:tr>
      <w:tr w:rsidR="002A4F0C" w:rsidRPr="002A4F0C" w14:paraId="2AAF61DA" w14:textId="77777777" w:rsidTr="002A4F0C">
        <w:trPr>
          <w:cantSplit/>
        </w:trPr>
        <w:tc>
          <w:tcPr>
            <w:tcW w:w="1575" w:type="dxa"/>
            <w:shd w:val="clear" w:color="auto" w:fill="auto"/>
            <w:noWrap/>
            <w:vAlign w:val="center"/>
          </w:tcPr>
          <w:p w14:paraId="3570BF1C"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17282</w:t>
            </w:r>
          </w:p>
        </w:tc>
        <w:tc>
          <w:tcPr>
            <w:tcW w:w="7938" w:type="dxa"/>
            <w:shd w:val="clear" w:color="auto" w:fill="auto"/>
            <w:vAlign w:val="bottom"/>
          </w:tcPr>
          <w:p w14:paraId="4160692B" w14:textId="77777777" w:rsidR="002A4F0C" w:rsidRPr="002A4F0C" w:rsidRDefault="002A4F0C" w:rsidP="002A4F0C">
            <w:pPr>
              <w:spacing w:line="240" w:lineRule="auto"/>
              <w:rPr>
                <w:rFonts w:ascii="Arial" w:hAnsi="Arial"/>
                <w:szCs w:val="22"/>
              </w:rPr>
            </w:pPr>
            <w:r w:rsidRPr="002A4F0C">
              <w:rPr>
                <w:rFonts w:ascii="Arial" w:hAnsi="Arial"/>
                <w:szCs w:val="22"/>
              </w:rPr>
              <w:t>Karczmar A (1998). Anticholinesterases: dramatic aspects of their use and misuse. Neurochem Int, Vol 32 pp 401-411.</w:t>
            </w:r>
          </w:p>
        </w:tc>
      </w:tr>
      <w:tr w:rsidR="002A4F0C" w:rsidRPr="002A4F0C" w14:paraId="7197865D" w14:textId="77777777" w:rsidTr="002A4F0C">
        <w:trPr>
          <w:cantSplit/>
        </w:trPr>
        <w:tc>
          <w:tcPr>
            <w:tcW w:w="1575" w:type="dxa"/>
            <w:shd w:val="clear" w:color="auto" w:fill="auto"/>
            <w:noWrap/>
            <w:vAlign w:val="center"/>
          </w:tcPr>
          <w:p w14:paraId="2549A9C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17297</w:t>
            </w:r>
          </w:p>
        </w:tc>
        <w:tc>
          <w:tcPr>
            <w:tcW w:w="7938" w:type="dxa"/>
            <w:shd w:val="clear" w:color="auto" w:fill="auto"/>
            <w:vAlign w:val="bottom"/>
          </w:tcPr>
          <w:p w14:paraId="16024ED9" w14:textId="77777777" w:rsidR="002A4F0C" w:rsidRPr="002A4F0C" w:rsidRDefault="002A4F0C" w:rsidP="002A4F0C">
            <w:pPr>
              <w:spacing w:line="240" w:lineRule="auto"/>
              <w:rPr>
                <w:rFonts w:ascii="Arial" w:hAnsi="Arial"/>
                <w:szCs w:val="22"/>
              </w:rPr>
            </w:pPr>
            <w:r w:rsidRPr="002A4F0C">
              <w:rPr>
                <w:rFonts w:ascii="Arial" w:hAnsi="Arial"/>
                <w:szCs w:val="22"/>
              </w:rPr>
              <w:t>Baynes RE, Halling KB, &amp; Riviere JE (1997). The influence of diethyl-m-toluamide (DEET) on the percutaneous absorption of permethrin and carbaryl. Toxicology &amp; Applied Pharmacology, 144: 332-9.</w:t>
            </w:r>
          </w:p>
        </w:tc>
      </w:tr>
      <w:tr w:rsidR="002A4F0C" w:rsidRPr="002A4F0C" w14:paraId="16D485A7" w14:textId="77777777" w:rsidTr="002A4F0C">
        <w:trPr>
          <w:cantSplit/>
        </w:trPr>
        <w:tc>
          <w:tcPr>
            <w:tcW w:w="1575" w:type="dxa"/>
            <w:shd w:val="clear" w:color="auto" w:fill="auto"/>
            <w:noWrap/>
            <w:vAlign w:val="center"/>
          </w:tcPr>
          <w:p w14:paraId="5D0A8C1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17302</w:t>
            </w:r>
          </w:p>
        </w:tc>
        <w:tc>
          <w:tcPr>
            <w:tcW w:w="7938" w:type="dxa"/>
            <w:shd w:val="clear" w:color="auto" w:fill="auto"/>
            <w:vAlign w:val="bottom"/>
          </w:tcPr>
          <w:p w14:paraId="78ACC37D" w14:textId="77777777" w:rsidR="002A4F0C" w:rsidRPr="002A4F0C" w:rsidRDefault="002A4F0C" w:rsidP="002A4F0C">
            <w:pPr>
              <w:spacing w:line="240" w:lineRule="auto"/>
              <w:rPr>
                <w:rFonts w:ascii="Arial" w:hAnsi="Arial"/>
                <w:szCs w:val="22"/>
              </w:rPr>
            </w:pPr>
            <w:r w:rsidRPr="002A4F0C">
              <w:rPr>
                <w:rFonts w:ascii="Arial" w:hAnsi="Arial"/>
                <w:szCs w:val="22"/>
              </w:rPr>
              <w:t>Nicolson GL &amp; Nicolson NL. (1997). The eight myths of operation 'Desert Storm' and Gulf War Syndrome. Medicine, Conflict &amp; Survival, Vol 13 (2) pp 140-6.</w:t>
            </w:r>
          </w:p>
        </w:tc>
      </w:tr>
      <w:tr w:rsidR="002A4F0C" w:rsidRPr="002A4F0C" w14:paraId="30406185" w14:textId="77777777" w:rsidTr="002A4F0C">
        <w:trPr>
          <w:cantSplit/>
        </w:trPr>
        <w:tc>
          <w:tcPr>
            <w:tcW w:w="1575" w:type="dxa"/>
            <w:shd w:val="clear" w:color="auto" w:fill="auto"/>
            <w:noWrap/>
            <w:vAlign w:val="center"/>
          </w:tcPr>
          <w:p w14:paraId="7218193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17303</w:t>
            </w:r>
          </w:p>
        </w:tc>
        <w:tc>
          <w:tcPr>
            <w:tcW w:w="7938" w:type="dxa"/>
            <w:shd w:val="clear" w:color="auto" w:fill="auto"/>
            <w:vAlign w:val="bottom"/>
          </w:tcPr>
          <w:p w14:paraId="218CC3CD" w14:textId="77777777" w:rsidR="002A4F0C" w:rsidRPr="002A4F0C" w:rsidRDefault="002A4F0C" w:rsidP="002A4F0C">
            <w:pPr>
              <w:spacing w:line="240" w:lineRule="auto"/>
              <w:rPr>
                <w:rFonts w:ascii="Arial" w:hAnsi="Arial"/>
                <w:szCs w:val="22"/>
              </w:rPr>
            </w:pPr>
            <w:r w:rsidRPr="002A4F0C">
              <w:rPr>
                <w:rFonts w:ascii="Arial" w:hAnsi="Arial"/>
                <w:szCs w:val="22"/>
              </w:rPr>
              <w:t>Ritchie EC (1997). Malingering and the United States military. Lande RG, Armitage DT et al (Eds). Principles and Practice of Military Forensic Psychiatry,  Chapter 5: 122-33. .</w:t>
            </w:r>
          </w:p>
        </w:tc>
      </w:tr>
      <w:tr w:rsidR="002A4F0C" w:rsidRPr="002A4F0C" w14:paraId="4FA53513" w14:textId="77777777" w:rsidTr="002A4F0C">
        <w:trPr>
          <w:cantSplit/>
        </w:trPr>
        <w:tc>
          <w:tcPr>
            <w:tcW w:w="1575" w:type="dxa"/>
            <w:shd w:val="clear" w:color="auto" w:fill="auto"/>
            <w:noWrap/>
            <w:vAlign w:val="center"/>
          </w:tcPr>
          <w:p w14:paraId="30EA012F"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17304</w:t>
            </w:r>
          </w:p>
        </w:tc>
        <w:tc>
          <w:tcPr>
            <w:tcW w:w="7938" w:type="dxa"/>
            <w:shd w:val="clear" w:color="auto" w:fill="auto"/>
            <w:vAlign w:val="bottom"/>
          </w:tcPr>
          <w:p w14:paraId="1C3C480F" w14:textId="77777777" w:rsidR="002A4F0C" w:rsidRPr="002A4F0C" w:rsidRDefault="002A4F0C" w:rsidP="002A4F0C">
            <w:pPr>
              <w:spacing w:line="240" w:lineRule="auto"/>
              <w:rPr>
                <w:rFonts w:ascii="Arial" w:hAnsi="Arial"/>
                <w:szCs w:val="22"/>
              </w:rPr>
            </w:pPr>
            <w:r w:rsidRPr="002A4F0C">
              <w:rPr>
                <w:rFonts w:ascii="Arial" w:hAnsi="Arial"/>
                <w:szCs w:val="22"/>
              </w:rPr>
              <w:t>Filbert BG (1997). Disorder and syndrome evidence. In Principles and Practice of Military Forensic Psychiatry. Eds Lande RG, Armitage Dteale. Chapter 8 pp 187-198.</w:t>
            </w:r>
          </w:p>
        </w:tc>
      </w:tr>
      <w:tr w:rsidR="002A4F0C" w:rsidRPr="002A4F0C" w14:paraId="2DD040FF" w14:textId="77777777" w:rsidTr="002A4F0C">
        <w:trPr>
          <w:cantSplit/>
        </w:trPr>
        <w:tc>
          <w:tcPr>
            <w:tcW w:w="1575" w:type="dxa"/>
            <w:shd w:val="clear" w:color="auto" w:fill="auto"/>
            <w:noWrap/>
            <w:vAlign w:val="center"/>
          </w:tcPr>
          <w:p w14:paraId="0FF1FAA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17305</w:t>
            </w:r>
          </w:p>
        </w:tc>
        <w:tc>
          <w:tcPr>
            <w:tcW w:w="7938" w:type="dxa"/>
            <w:shd w:val="clear" w:color="auto" w:fill="auto"/>
            <w:vAlign w:val="bottom"/>
          </w:tcPr>
          <w:p w14:paraId="512905CC" w14:textId="77777777" w:rsidR="002A4F0C" w:rsidRPr="002A4F0C" w:rsidRDefault="002A4F0C" w:rsidP="002A4F0C">
            <w:pPr>
              <w:spacing w:line="240" w:lineRule="auto"/>
              <w:rPr>
                <w:rFonts w:ascii="Arial" w:hAnsi="Arial"/>
                <w:szCs w:val="22"/>
              </w:rPr>
            </w:pPr>
            <w:r w:rsidRPr="002A4F0C">
              <w:rPr>
                <w:rFonts w:ascii="Arial" w:hAnsi="Arial"/>
                <w:szCs w:val="22"/>
              </w:rPr>
              <w:t>Beckham JC, Moore SD, Feldman ME, Hertzberg MA, Kirby AC, &amp; Fairbank JA (1998). Health status, somatization, and severity of posttraumatic stress disorder in Vietnam combat veterans with posttraumatic stress disorder. Am J Psychiatry, Vol 155 (11) pp 1565-1569.</w:t>
            </w:r>
          </w:p>
        </w:tc>
      </w:tr>
      <w:tr w:rsidR="002A4F0C" w:rsidRPr="002A4F0C" w14:paraId="3D3E2F4C" w14:textId="77777777" w:rsidTr="002A4F0C">
        <w:trPr>
          <w:cantSplit/>
        </w:trPr>
        <w:tc>
          <w:tcPr>
            <w:tcW w:w="1575" w:type="dxa"/>
            <w:shd w:val="clear" w:color="auto" w:fill="auto"/>
            <w:noWrap/>
            <w:vAlign w:val="center"/>
          </w:tcPr>
          <w:p w14:paraId="295A40F8"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17306</w:t>
            </w:r>
          </w:p>
        </w:tc>
        <w:tc>
          <w:tcPr>
            <w:tcW w:w="7938" w:type="dxa"/>
            <w:shd w:val="clear" w:color="auto" w:fill="auto"/>
            <w:vAlign w:val="bottom"/>
          </w:tcPr>
          <w:p w14:paraId="067B24C4" w14:textId="77777777" w:rsidR="002A4F0C" w:rsidRPr="002A4F0C" w:rsidRDefault="002A4F0C" w:rsidP="002A4F0C">
            <w:pPr>
              <w:spacing w:line="240" w:lineRule="auto"/>
              <w:rPr>
                <w:rFonts w:ascii="Arial" w:hAnsi="Arial"/>
                <w:szCs w:val="22"/>
              </w:rPr>
            </w:pPr>
            <w:r w:rsidRPr="002A4F0C">
              <w:rPr>
                <w:rFonts w:ascii="Arial" w:hAnsi="Arial"/>
                <w:szCs w:val="22"/>
              </w:rPr>
              <w:t>Fukuda K, Nisenbaum R, Stewart G, Thompson WW, Robin L, Washko RM, et al (1998). Chronic multisymptom illness affecting air force veterans of the Gulf war. JAMA, 280(11) pp 981-988.</w:t>
            </w:r>
          </w:p>
        </w:tc>
      </w:tr>
      <w:tr w:rsidR="002A4F0C" w:rsidRPr="002A4F0C" w14:paraId="1B4DF452" w14:textId="77777777" w:rsidTr="002A4F0C">
        <w:trPr>
          <w:cantSplit/>
        </w:trPr>
        <w:tc>
          <w:tcPr>
            <w:tcW w:w="1575" w:type="dxa"/>
            <w:shd w:val="clear" w:color="auto" w:fill="auto"/>
            <w:noWrap/>
            <w:vAlign w:val="center"/>
          </w:tcPr>
          <w:p w14:paraId="15A9440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17308</w:t>
            </w:r>
          </w:p>
        </w:tc>
        <w:tc>
          <w:tcPr>
            <w:tcW w:w="7938" w:type="dxa"/>
            <w:shd w:val="clear" w:color="auto" w:fill="auto"/>
            <w:vAlign w:val="bottom"/>
          </w:tcPr>
          <w:p w14:paraId="19A2F2EC" w14:textId="77777777" w:rsidR="002A4F0C" w:rsidRPr="002A4F0C" w:rsidRDefault="002A4F0C" w:rsidP="002A4F0C">
            <w:pPr>
              <w:spacing w:line="240" w:lineRule="auto"/>
              <w:rPr>
                <w:rFonts w:ascii="Arial" w:hAnsi="Arial"/>
                <w:szCs w:val="22"/>
              </w:rPr>
            </w:pPr>
            <w:r w:rsidRPr="002A4F0C">
              <w:rPr>
                <w:rFonts w:ascii="Arial" w:hAnsi="Arial"/>
                <w:szCs w:val="22"/>
              </w:rPr>
              <w:t>Hotopf M, Mayou R, Wadsworth M, &amp; Wessely S (1998). Temporal relationships between physical symptoms and psychiatric disorder. Results from a national birth cohort. British Journal of Psychiatry, Vol 173 pp 255-261.</w:t>
            </w:r>
          </w:p>
        </w:tc>
      </w:tr>
      <w:tr w:rsidR="002A4F0C" w:rsidRPr="002A4F0C" w14:paraId="310A8100" w14:textId="77777777" w:rsidTr="002A4F0C">
        <w:trPr>
          <w:cantSplit/>
        </w:trPr>
        <w:tc>
          <w:tcPr>
            <w:tcW w:w="1575" w:type="dxa"/>
            <w:shd w:val="clear" w:color="auto" w:fill="auto"/>
            <w:noWrap/>
            <w:vAlign w:val="center"/>
          </w:tcPr>
          <w:p w14:paraId="18A2A431"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17309</w:t>
            </w:r>
          </w:p>
        </w:tc>
        <w:tc>
          <w:tcPr>
            <w:tcW w:w="7938" w:type="dxa"/>
            <w:shd w:val="clear" w:color="auto" w:fill="auto"/>
            <w:vAlign w:val="bottom"/>
          </w:tcPr>
          <w:p w14:paraId="32819A55" w14:textId="77777777" w:rsidR="002A4F0C" w:rsidRPr="002A4F0C" w:rsidRDefault="002A4F0C" w:rsidP="002A4F0C">
            <w:pPr>
              <w:spacing w:line="240" w:lineRule="auto"/>
              <w:rPr>
                <w:rFonts w:ascii="Arial" w:hAnsi="Arial"/>
                <w:szCs w:val="22"/>
              </w:rPr>
            </w:pPr>
            <w:r w:rsidRPr="002A4F0C">
              <w:rPr>
                <w:rFonts w:ascii="Arial" w:hAnsi="Arial"/>
                <w:szCs w:val="22"/>
              </w:rPr>
              <w:t>Haley RW, Kurt TL (1998). Point: Bias from the "Healthy-Warrior Effect" and unequal follow-up in three government studies of health effects of the Gulf War. American Journal of Epidemiology, Vol 148 (4) pp 315-323.</w:t>
            </w:r>
          </w:p>
        </w:tc>
      </w:tr>
      <w:tr w:rsidR="002A4F0C" w:rsidRPr="002A4F0C" w14:paraId="02256277" w14:textId="77777777" w:rsidTr="002A4F0C">
        <w:trPr>
          <w:cantSplit/>
        </w:trPr>
        <w:tc>
          <w:tcPr>
            <w:tcW w:w="1575" w:type="dxa"/>
            <w:shd w:val="clear" w:color="auto" w:fill="auto"/>
            <w:noWrap/>
            <w:vAlign w:val="center"/>
          </w:tcPr>
          <w:p w14:paraId="7B03B9D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17310</w:t>
            </w:r>
          </w:p>
        </w:tc>
        <w:tc>
          <w:tcPr>
            <w:tcW w:w="7938" w:type="dxa"/>
            <w:shd w:val="clear" w:color="auto" w:fill="auto"/>
            <w:vAlign w:val="bottom"/>
          </w:tcPr>
          <w:p w14:paraId="58FD229A" w14:textId="77777777" w:rsidR="002A4F0C" w:rsidRPr="002A4F0C" w:rsidRDefault="002A4F0C" w:rsidP="002A4F0C">
            <w:pPr>
              <w:spacing w:line="240" w:lineRule="auto"/>
              <w:rPr>
                <w:rFonts w:ascii="Arial" w:hAnsi="Arial"/>
                <w:szCs w:val="22"/>
              </w:rPr>
            </w:pPr>
            <w:r w:rsidRPr="002A4F0C">
              <w:rPr>
                <w:rFonts w:ascii="Arial" w:hAnsi="Arial"/>
                <w:szCs w:val="22"/>
              </w:rPr>
              <w:t>Landrigan PJ (1997). Illness in Gulf War veterans. Causes and consequences. JAMA, 277(3) pp 259-261.</w:t>
            </w:r>
          </w:p>
        </w:tc>
      </w:tr>
      <w:tr w:rsidR="002A4F0C" w:rsidRPr="002A4F0C" w14:paraId="2DC749B7" w14:textId="77777777" w:rsidTr="002A4F0C">
        <w:trPr>
          <w:cantSplit/>
        </w:trPr>
        <w:tc>
          <w:tcPr>
            <w:tcW w:w="1575" w:type="dxa"/>
            <w:shd w:val="clear" w:color="auto" w:fill="auto"/>
            <w:noWrap/>
            <w:vAlign w:val="center"/>
          </w:tcPr>
          <w:p w14:paraId="6F3F0DA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17311</w:t>
            </w:r>
          </w:p>
        </w:tc>
        <w:tc>
          <w:tcPr>
            <w:tcW w:w="7938" w:type="dxa"/>
            <w:shd w:val="clear" w:color="auto" w:fill="auto"/>
            <w:vAlign w:val="bottom"/>
          </w:tcPr>
          <w:p w14:paraId="60FB8FC4" w14:textId="77777777" w:rsidR="002A4F0C" w:rsidRPr="002A4F0C" w:rsidRDefault="002A4F0C" w:rsidP="002A4F0C">
            <w:pPr>
              <w:spacing w:line="240" w:lineRule="auto"/>
              <w:rPr>
                <w:rFonts w:ascii="Arial" w:hAnsi="Arial"/>
                <w:szCs w:val="22"/>
              </w:rPr>
            </w:pPr>
            <w:r w:rsidRPr="002A4F0C">
              <w:rPr>
                <w:rFonts w:ascii="Arial" w:hAnsi="Arial"/>
                <w:szCs w:val="22"/>
              </w:rPr>
              <w:t>NIH Technology Assessment Workshop Panel (1994). The Persian Gulf experience and health. JAMA, Vol 272 (5) pp 391-6.</w:t>
            </w:r>
          </w:p>
        </w:tc>
      </w:tr>
      <w:tr w:rsidR="002A4F0C" w:rsidRPr="002A4F0C" w14:paraId="4096C01C" w14:textId="77777777" w:rsidTr="002A4F0C">
        <w:trPr>
          <w:cantSplit/>
        </w:trPr>
        <w:tc>
          <w:tcPr>
            <w:tcW w:w="1575" w:type="dxa"/>
            <w:shd w:val="clear" w:color="auto" w:fill="auto"/>
            <w:noWrap/>
            <w:vAlign w:val="center"/>
          </w:tcPr>
          <w:p w14:paraId="5163C07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17312</w:t>
            </w:r>
          </w:p>
        </w:tc>
        <w:tc>
          <w:tcPr>
            <w:tcW w:w="7938" w:type="dxa"/>
            <w:shd w:val="clear" w:color="auto" w:fill="auto"/>
            <w:vAlign w:val="bottom"/>
          </w:tcPr>
          <w:p w14:paraId="7ADB0D36" w14:textId="77777777" w:rsidR="002A4F0C" w:rsidRPr="002A4F0C" w:rsidRDefault="002A4F0C" w:rsidP="002A4F0C">
            <w:pPr>
              <w:spacing w:line="240" w:lineRule="auto"/>
              <w:rPr>
                <w:rFonts w:ascii="Arial" w:hAnsi="Arial"/>
                <w:szCs w:val="22"/>
              </w:rPr>
            </w:pPr>
            <w:r w:rsidRPr="002A4F0C">
              <w:rPr>
                <w:rFonts w:ascii="Arial" w:hAnsi="Arial"/>
                <w:szCs w:val="22"/>
              </w:rPr>
              <w:t>Kang HK, Bullman TA (1996). Mortality among U.S. veterans of the Persian Gulf War. NEJM, Vol 335 pp 1498-1504.</w:t>
            </w:r>
          </w:p>
        </w:tc>
      </w:tr>
      <w:tr w:rsidR="002A4F0C" w:rsidRPr="002A4F0C" w14:paraId="01DF82A4" w14:textId="77777777" w:rsidTr="002A4F0C">
        <w:trPr>
          <w:cantSplit/>
        </w:trPr>
        <w:tc>
          <w:tcPr>
            <w:tcW w:w="1575" w:type="dxa"/>
            <w:shd w:val="clear" w:color="auto" w:fill="auto"/>
            <w:noWrap/>
            <w:vAlign w:val="center"/>
          </w:tcPr>
          <w:p w14:paraId="7254D6CC"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17313</w:t>
            </w:r>
          </w:p>
        </w:tc>
        <w:tc>
          <w:tcPr>
            <w:tcW w:w="7938" w:type="dxa"/>
            <w:shd w:val="clear" w:color="auto" w:fill="auto"/>
            <w:vAlign w:val="bottom"/>
          </w:tcPr>
          <w:p w14:paraId="3BC14E24" w14:textId="77777777" w:rsidR="002A4F0C" w:rsidRPr="002A4F0C" w:rsidRDefault="002A4F0C" w:rsidP="002A4F0C">
            <w:pPr>
              <w:spacing w:line="240" w:lineRule="auto"/>
              <w:rPr>
                <w:rFonts w:ascii="Arial" w:hAnsi="Arial"/>
                <w:szCs w:val="22"/>
              </w:rPr>
            </w:pPr>
            <w:r w:rsidRPr="002A4F0C">
              <w:rPr>
                <w:rFonts w:ascii="Arial" w:hAnsi="Arial"/>
                <w:szCs w:val="22"/>
              </w:rPr>
              <w:t>Solomon Z, &amp; Mikulincer (1987). Combat stress reactions, post traumatic stress disorder and somatic complaints among Israeli soldiers. Journal of Psychosomatic Research, 31(1): 131-7.</w:t>
            </w:r>
          </w:p>
        </w:tc>
      </w:tr>
      <w:tr w:rsidR="002A4F0C" w:rsidRPr="002A4F0C" w14:paraId="28D761B8" w14:textId="77777777" w:rsidTr="002A4F0C">
        <w:trPr>
          <w:cantSplit/>
        </w:trPr>
        <w:tc>
          <w:tcPr>
            <w:tcW w:w="1575" w:type="dxa"/>
            <w:shd w:val="clear" w:color="auto" w:fill="auto"/>
            <w:noWrap/>
            <w:vAlign w:val="center"/>
          </w:tcPr>
          <w:p w14:paraId="76A36C98"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17314</w:t>
            </w:r>
          </w:p>
        </w:tc>
        <w:tc>
          <w:tcPr>
            <w:tcW w:w="7938" w:type="dxa"/>
            <w:shd w:val="clear" w:color="auto" w:fill="auto"/>
            <w:vAlign w:val="bottom"/>
          </w:tcPr>
          <w:p w14:paraId="768A0B10" w14:textId="77777777" w:rsidR="002A4F0C" w:rsidRPr="002A4F0C" w:rsidRDefault="002A4F0C" w:rsidP="002A4F0C">
            <w:pPr>
              <w:spacing w:line="240" w:lineRule="auto"/>
              <w:rPr>
                <w:rFonts w:ascii="Arial" w:hAnsi="Arial"/>
                <w:szCs w:val="22"/>
              </w:rPr>
            </w:pPr>
            <w:r w:rsidRPr="002A4F0C">
              <w:rPr>
                <w:rFonts w:ascii="Arial" w:hAnsi="Arial"/>
                <w:szCs w:val="22"/>
              </w:rPr>
              <w:t>Southwick SM, Morgan CA 111, Darnell A, Bremner D, Nicolaou AL, Nagy LM, &amp; Charney DS. (1995). Trauma-related symptoms in veterans of operation Desert Storm: a 2 - year follow-up. Am J Psychiatry, Vol 152 pp 1150-1155.</w:t>
            </w:r>
          </w:p>
        </w:tc>
      </w:tr>
      <w:tr w:rsidR="002A4F0C" w:rsidRPr="002A4F0C" w14:paraId="38C1F5A6" w14:textId="77777777" w:rsidTr="002A4F0C">
        <w:trPr>
          <w:cantSplit/>
        </w:trPr>
        <w:tc>
          <w:tcPr>
            <w:tcW w:w="1575" w:type="dxa"/>
            <w:shd w:val="clear" w:color="auto" w:fill="auto"/>
            <w:noWrap/>
            <w:vAlign w:val="center"/>
          </w:tcPr>
          <w:p w14:paraId="69CCA1E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17315</w:t>
            </w:r>
          </w:p>
        </w:tc>
        <w:tc>
          <w:tcPr>
            <w:tcW w:w="7938" w:type="dxa"/>
            <w:shd w:val="clear" w:color="auto" w:fill="auto"/>
            <w:vAlign w:val="bottom"/>
          </w:tcPr>
          <w:p w14:paraId="6A6B7DB2" w14:textId="77777777" w:rsidR="002A4F0C" w:rsidRPr="002A4F0C" w:rsidRDefault="002A4F0C" w:rsidP="002A4F0C">
            <w:pPr>
              <w:spacing w:line="240" w:lineRule="auto"/>
              <w:rPr>
                <w:rFonts w:ascii="Arial" w:hAnsi="Arial"/>
                <w:szCs w:val="22"/>
              </w:rPr>
            </w:pPr>
            <w:r w:rsidRPr="002A4F0C">
              <w:rPr>
                <w:rFonts w:ascii="Arial" w:hAnsi="Arial"/>
                <w:szCs w:val="22"/>
              </w:rPr>
              <w:t>Abbey SE, Garfinkel PE (1991). Neurasthenia and chronic fatigue syndrome: the role of culture in the making of a diagnosis. Am J Psychiatry, Vol 148 pp 1638-1646.</w:t>
            </w:r>
          </w:p>
        </w:tc>
      </w:tr>
      <w:tr w:rsidR="002A4F0C" w:rsidRPr="002A4F0C" w14:paraId="76D861BE" w14:textId="77777777" w:rsidTr="002A4F0C">
        <w:trPr>
          <w:cantSplit/>
        </w:trPr>
        <w:tc>
          <w:tcPr>
            <w:tcW w:w="1575" w:type="dxa"/>
            <w:shd w:val="clear" w:color="auto" w:fill="auto"/>
            <w:noWrap/>
            <w:vAlign w:val="center"/>
          </w:tcPr>
          <w:p w14:paraId="03F9AEEF"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17316</w:t>
            </w:r>
          </w:p>
        </w:tc>
        <w:tc>
          <w:tcPr>
            <w:tcW w:w="7938" w:type="dxa"/>
            <w:shd w:val="clear" w:color="auto" w:fill="auto"/>
            <w:vAlign w:val="bottom"/>
          </w:tcPr>
          <w:p w14:paraId="1CB8C132" w14:textId="77777777" w:rsidR="002A4F0C" w:rsidRPr="002A4F0C" w:rsidRDefault="002A4F0C" w:rsidP="002A4F0C">
            <w:pPr>
              <w:spacing w:line="240" w:lineRule="auto"/>
              <w:rPr>
                <w:rFonts w:ascii="Arial" w:hAnsi="Arial"/>
                <w:szCs w:val="22"/>
              </w:rPr>
            </w:pPr>
            <w:r w:rsidRPr="002A4F0C">
              <w:rPr>
                <w:rFonts w:ascii="Arial" w:hAnsi="Arial"/>
                <w:szCs w:val="22"/>
              </w:rPr>
              <w:t>Buchwald D, Garrity D (1994). Comparison of patients with chronic fatigue syndrome, fibromyalgia, and multiple chemical sensitivities. Arch Intern Med, Vol 154 pp 2049-2053.</w:t>
            </w:r>
          </w:p>
        </w:tc>
      </w:tr>
      <w:tr w:rsidR="002A4F0C" w:rsidRPr="002A4F0C" w14:paraId="7009A860" w14:textId="77777777" w:rsidTr="002A4F0C">
        <w:trPr>
          <w:cantSplit/>
        </w:trPr>
        <w:tc>
          <w:tcPr>
            <w:tcW w:w="1575" w:type="dxa"/>
            <w:shd w:val="clear" w:color="auto" w:fill="auto"/>
            <w:noWrap/>
            <w:vAlign w:val="center"/>
          </w:tcPr>
          <w:p w14:paraId="662ABA4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17317</w:t>
            </w:r>
          </w:p>
        </w:tc>
        <w:tc>
          <w:tcPr>
            <w:tcW w:w="7938" w:type="dxa"/>
            <w:shd w:val="clear" w:color="auto" w:fill="auto"/>
            <w:vAlign w:val="bottom"/>
          </w:tcPr>
          <w:p w14:paraId="1038D9D6" w14:textId="77777777" w:rsidR="002A4F0C" w:rsidRPr="002A4F0C" w:rsidRDefault="002A4F0C" w:rsidP="002A4F0C">
            <w:pPr>
              <w:spacing w:line="240" w:lineRule="auto"/>
              <w:rPr>
                <w:rFonts w:ascii="Arial" w:hAnsi="Arial"/>
                <w:szCs w:val="22"/>
              </w:rPr>
            </w:pPr>
            <w:r w:rsidRPr="002A4F0C">
              <w:rPr>
                <w:rFonts w:ascii="Arial" w:hAnsi="Arial"/>
                <w:szCs w:val="22"/>
              </w:rPr>
              <w:t>Haley RW, Hom J, Roland PS, Bryan WW, Van Ness PC, et al (1997). Evaluation of neurologic function in Gulf War veterans. A blinded case-control study. JAMA, Vol 277 pp 223-230.</w:t>
            </w:r>
          </w:p>
        </w:tc>
      </w:tr>
      <w:tr w:rsidR="002A4F0C" w:rsidRPr="002A4F0C" w14:paraId="325B14E3" w14:textId="77777777" w:rsidTr="002A4F0C">
        <w:trPr>
          <w:cantSplit/>
        </w:trPr>
        <w:tc>
          <w:tcPr>
            <w:tcW w:w="1575" w:type="dxa"/>
            <w:shd w:val="clear" w:color="auto" w:fill="auto"/>
            <w:noWrap/>
            <w:vAlign w:val="center"/>
          </w:tcPr>
          <w:p w14:paraId="3D8D6F9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17318</w:t>
            </w:r>
          </w:p>
        </w:tc>
        <w:tc>
          <w:tcPr>
            <w:tcW w:w="7938" w:type="dxa"/>
            <w:shd w:val="clear" w:color="auto" w:fill="auto"/>
            <w:vAlign w:val="bottom"/>
          </w:tcPr>
          <w:p w14:paraId="75FE2840" w14:textId="77777777" w:rsidR="002A4F0C" w:rsidRPr="002A4F0C" w:rsidRDefault="002A4F0C" w:rsidP="002A4F0C">
            <w:pPr>
              <w:spacing w:line="240" w:lineRule="auto"/>
              <w:rPr>
                <w:rFonts w:ascii="Arial" w:hAnsi="Arial"/>
                <w:szCs w:val="22"/>
              </w:rPr>
            </w:pPr>
            <w:r w:rsidRPr="002A4F0C">
              <w:rPr>
                <w:rFonts w:ascii="Arial" w:hAnsi="Arial"/>
                <w:szCs w:val="22"/>
              </w:rPr>
              <w:t>Roy MJ, Koslowe PA, Kroenke K, &amp; Magruder C. (1998). Signs, symptoms, and ill defined conditions in Persian Gulf War veterans: findings from the comprehensive clinical evaluation program. Psychomatic Medicine, Vol 60 pp 663-8.</w:t>
            </w:r>
          </w:p>
        </w:tc>
      </w:tr>
      <w:tr w:rsidR="002A4F0C" w:rsidRPr="002A4F0C" w14:paraId="6AA82034" w14:textId="77777777" w:rsidTr="002A4F0C">
        <w:trPr>
          <w:cantSplit/>
        </w:trPr>
        <w:tc>
          <w:tcPr>
            <w:tcW w:w="1575" w:type="dxa"/>
            <w:shd w:val="clear" w:color="auto" w:fill="auto"/>
            <w:noWrap/>
            <w:vAlign w:val="center"/>
          </w:tcPr>
          <w:p w14:paraId="6B3D293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17319</w:t>
            </w:r>
          </w:p>
        </w:tc>
        <w:tc>
          <w:tcPr>
            <w:tcW w:w="7938" w:type="dxa"/>
            <w:shd w:val="clear" w:color="auto" w:fill="auto"/>
            <w:vAlign w:val="bottom"/>
          </w:tcPr>
          <w:p w14:paraId="2462501D" w14:textId="77777777" w:rsidR="002A4F0C" w:rsidRPr="002A4F0C" w:rsidRDefault="002A4F0C" w:rsidP="002A4F0C">
            <w:pPr>
              <w:spacing w:line="240" w:lineRule="auto"/>
              <w:rPr>
                <w:rFonts w:ascii="Arial" w:hAnsi="Arial"/>
                <w:szCs w:val="22"/>
              </w:rPr>
            </w:pPr>
            <w:r w:rsidRPr="002A4F0C">
              <w:rPr>
                <w:rFonts w:ascii="Arial" w:hAnsi="Arial"/>
                <w:szCs w:val="22"/>
              </w:rPr>
              <w:t>Smith GR Jr, Monson RA, Ray DC (1986). Patients with multiple unexplained symptoms. Their characteristics, functional health, and health care utilization. Arch Intern Med, 146: 69-72.</w:t>
            </w:r>
          </w:p>
        </w:tc>
      </w:tr>
      <w:tr w:rsidR="002A4F0C" w:rsidRPr="002A4F0C" w14:paraId="3482AB04" w14:textId="77777777" w:rsidTr="002A4F0C">
        <w:trPr>
          <w:cantSplit/>
        </w:trPr>
        <w:tc>
          <w:tcPr>
            <w:tcW w:w="1575" w:type="dxa"/>
            <w:shd w:val="clear" w:color="auto" w:fill="auto"/>
            <w:noWrap/>
            <w:vAlign w:val="center"/>
          </w:tcPr>
          <w:p w14:paraId="4EE8698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17320</w:t>
            </w:r>
          </w:p>
        </w:tc>
        <w:tc>
          <w:tcPr>
            <w:tcW w:w="7938" w:type="dxa"/>
            <w:shd w:val="clear" w:color="auto" w:fill="auto"/>
            <w:vAlign w:val="bottom"/>
          </w:tcPr>
          <w:p w14:paraId="4524EC1B" w14:textId="77777777" w:rsidR="002A4F0C" w:rsidRPr="002A4F0C" w:rsidRDefault="002A4F0C" w:rsidP="002A4F0C">
            <w:pPr>
              <w:spacing w:line="240" w:lineRule="auto"/>
              <w:rPr>
                <w:rFonts w:ascii="Arial" w:hAnsi="Arial"/>
                <w:szCs w:val="22"/>
              </w:rPr>
            </w:pPr>
            <w:r w:rsidRPr="002A4F0C">
              <w:rPr>
                <w:rFonts w:ascii="Arial" w:hAnsi="Arial"/>
                <w:szCs w:val="22"/>
              </w:rPr>
              <w:t>Richards AL, Hyams KC, watts DM, Rozmajzl PJ, Woody JN, &amp; Merrell BR. (1993). Respiratory disease among military personnel in Saudi Arabia during Operation Desert Shield. American Journal of Public Health, Vol 83(9) pp 1326-9.</w:t>
            </w:r>
          </w:p>
        </w:tc>
      </w:tr>
      <w:tr w:rsidR="002A4F0C" w:rsidRPr="002A4F0C" w14:paraId="0B193D31" w14:textId="77777777" w:rsidTr="002A4F0C">
        <w:trPr>
          <w:cantSplit/>
        </w:trPr>
        <w:tc>
          <w:tcPr>
            <w:tcW w:w="1575" w:type="dxa"/>
            <w:shd w:val="clear" w:color="auto" w:fill="auto"/>
            <w:noWrap/>
            <w:vAlign w:val="center"/>
          </w:tcPr>
          <w:p w14:paraId="13E77ED0"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17321</w:t>
            </w:r>
          </w:p>
        </w:tc>
        <w:tc>
          <w:tcPr>
            <w:tcW w:w="7938" w:type="dxa"/>
            <w:shd w:val="clear" w:color="auto" w:fill="auto"/>
            <w:vAlign w:val="bottom"/>
          </w:tcPr>
          <w:p w14:paraId="32F8BA8B" w14:textId="77777777" w:rsidR="002A4F0C" w:rsidRPr="002A4F0C" w:rsidRDefault="002A4F0C" w:rsidP="002A4F0C">
            <w:pPr>
              <w:spacing w:line="240" w:lineRule="auto"/>
              <w:rPr>
                <w:rFonts w:ascii="Arial" w:hAnsi="Arial"/>
                <w:szCs w:val="22"/>
              </w:rPr>
            </w:pPr>
            <w:r w:rsidRPr="002A4F0C">
              <w:rPr>
                <w:rFonts w:ascii="Arial" w:hAnsi="Arial"/>
                <w:szCs w:val="22"/>
              </w:rPr>
              <w:t>Sillanpaa MC, Agar LM, Milner IB, Podany EC, Axelrod BN, &amp; Brown GG. (1997). Gulf War veterans: a neuropsychological examination. Journal of Clinical and Experimental Neuropsychology, Vol 19(2) pp 211-9.</w:t>
            </w:r>
          </w:p>
        </w:tc>
      </w:tr>
      <w:tr w:rsidR="002A4F0C" w:rsidRPr="002A4F0C" w14:paraId="4C4B84C3" w14:textId="77777777" w:rsidTr="002A4F0C">
        <w:trPr>
          <w:cantSplit/>
        </w:trPr>
        <w:tc>
          <w:tcPr>
            <w:tcW w:w="1575" w:type="dxa"/>
            <w:shd w:val="clear" w:color="auto" w:fill="auto"/>
            <w:noWrap/>
            <w:vAlign w:val="center"/>
          </w:tcPr>
          <w:p w14:paraId="624D3A58"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17322</w:t>
            </w:r>
          </w:p>
        </w:tc>
        <w:tc>
          <w:tcPr>
            <w:tcW w:w="7938" w:type="dxa"/>
            <w:shd w:val="clear" w:color="auto" w:fill="auto"/>
            <w:vAlign w:val="bottom"/>
          </w:tcPr>
          <w:p w14:paraId="47C42EFD" w14:textId="77777777" w:rsidR="002A4F0C" w:rsidRPr="002A4F0C" w:rsidRDefault="002A4F0C" w:rsidP="002A4F0C">
            <w:pPr>
              <w:spacing w:line="240" w:lineRule="auto"/>
              <w:rPr>
                <w:rFonts w:ascii="Arial" w:hAnsi="Arial"/>
                <w:szCs w:val="22"/>
              </w:rPr>
            </w:pPr>
            <w:r w:rsidRPr="002A4F0C">
              <w:rPr>
                <w:rFonts w:ascii="Arial" w:hAnsi="Arial"/>
                <w:szCs w:val="22"/>
              </w:rPr>
              <w:t>Stretch RH, Bliese PD, Marlowe DH, Wright KM, Knudson KH, Hoover CH. (1996). Psychological health of Gulf War-Era military personnel. Military Medicine, Vol 161(5) pp 257-261.</w:t>
            </w:r>
          </w:p>
        </w:tc>
      </w:tr>
      <w:tr w:rsidR="002A4F0C" w:rsidRPr="002A4F0C" w14:paraId="08D6AA29" w14:textId="77777777" w:rsidTr="002A4F0C">
        <w:trPr>
          <w:cantSplit/>
        </w:trPr>
        <w:tc>
          <w:tcPr>
            <w:tcW w:w="1575" w:type="dxa"/>
            <w:shd w:val="clear" w:color="auto" w:fill="auto"/>
            <w:noWrap/>
            <w:vAlign w:val="center"/>
          </w:tcPr>
          <w:p w14:paraId="0831196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17323</w:t>
            </w:r>
          </w:p>
        </w:tc>
        <w:tc>
          <w:tcPr>
            <w:tcW w:w="7938" w:type="dxa"/>
            <w:shd w:val="clear" w:color="auto" w:fill="auto"/>
            <w:vAlign w:val="bottom"/>
          </w:tcPr>
          <w:p w14:paraId="5EA8B28D" w14:textId="77777777" w:rsidR="002A4F0C" w:rsidRPr="002A4F0C" w:rsidRDefault="002A4F0C" w:rsidP="002A4F0C">
            <w:pPr>
              <w:spacing w:line="240" w:lineRule="auto"/>
              <w:rPr>
                <w:rFonts w:ascii="Arial" w:hAnsi="Arial"/>
                <w:szCs w:val="22"/>
              </w:rPr>
            </w:pPr>
            <w:r w:rsidRPr="002A4F0C">
              <w:rPr>
                <w:rFonts w:ascii="Arial" w:hAnsi="Arial"/>
                <w:szCs w:val="22"/>
              </w:rPr>
              <w:t>Stretch RH, Marlowe DH, Wright KM, Bliese PD, Knudson KH, Hoover CH. (1996). Post-traumatic stress disorder symptoms among Gulf War veterans. Military Medicine, Vol 161(7) pp 407-410.</w:t>
            </w:r>
          </w:p>
        </w:tc>
      </w:tr>
      <w:tr w:rsidR="002A4F0C" w:rsidRPr="002A4F0C" w14:paraId="5FC842B3" w14:textId="77777777" w:rsidTr="002A4F0C">
        <w:trPr>
          <w:cantSplit/>
        </w:trPr>
        <w:tc>
          <w:tcPr>
            <w:tcW w:w="1575" w:type="dxa"/>
            <w:shd w:val="clear" w:color="auto" w:fill="auto"/>
            <w:noWrap/>
            <w:vAlign w:val="center"/>
          </w:tcPr>
          <w:p w14:paraId="2E4A9FB1"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17324</w:t>
            </w:r>
          </w:p>
        </w:tc>
        <w:tc>
          <w:tcPr>
            <w:tcW w:w="7938" w:type="dxa"/>
            <w:shd w:val="clear" w:color="auto" w:fill="auto"/>
            <w:vAlign w:val="bottom"/>
          </w:tcPr>
          <w:p w14:paraId="7FDD16FF" w14:textId="77777777" w:rsidR="002A4F0C" w:rsidRPr="002A4F0C" w:rsidRDefault="002A4F0C" w:rsidP="002A4F0C">
            <w:pPr>
              <w:spacing w:line="240" w:lineRule="auto"/>
              <w:rPr>
                <w:rFonts w:ascii="Arial" w:hAnsi="Arial"/>
                <w:szCs w:val="22"/>
              </w:rPr>
            </w:pPr>
            <w:r w:rsidRPr="002A4F0C">
              <w:rPr>
                <w:rFonts w:ascii="Arial" w:hAnsi="Arial"/>
                <w:szCs w:val="22"/>
              </w:rPr>
              <w:t>Andras L, Korenyi-Both GS, Korenyi-Both AL, Juncer DJ (1997). Al Eskan disease: Persian Gulf Syndrome. Military Medicine, Vol 162 (1) pp 1-13.</w:t>
            </w:r>
          </w:p>
        </w:tc>
      </w:tr>
      <w:tr w:rsidR="002A4F0C" w:rsidRPr="002A4F0C" w14:paraId="21B93150" w14:textId="77777777" w:rsidTr="002A4F0C">
        <w:trPr>
          <w:cantSplit/>
        </w:trPr>
        <w:tc>
          <w:tcPr>
            <w:tcW w:w="1575" w:type="dxa"/>
            <w:shd w:val="clear" w:color="auto" w:fill="auto"/>
            <w:noWrap/>
            <w:vAlign w:val="center"/>
          </w:tcPr>
          <w:p w14:paraId="20B3B5D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17325</w:t>
            </w:r>
          </w:p>
        </w:tc>
        <w:tc>
          <w:tcPr>
            <w:tcW w:w="7938" w:type="dxa"/>
            <w:shd w:val="clear" w:color="auto" w:fill="auto"/>
            <w:vAlign w:val="bottom"/>
          </w:tcPr>
          <w:p w14:paraId="29544A75" w14:textId="77777777" w:rsidR="002A4F0C" w:rsidRPr="002A4F0C" w:rsidRDefault="002A4F0C" w:rsidP="002A4F0C">
            <w:pPr>
              <w:spacing w:line="240" w:lineRule="auto"/>
              <w:rPr>
                <w:rFonts w:ascii="Arial" w:hAnsi="Arial"/>
                <w:szCs w:val="22"/>
              </w:rPr>
            </w:pPr>
            <w:r w:rsidRPr="002A4F0C">
              <w:rPr>
                <w:rFonts w:ascii="Arial" w:hAnsi="Arial"/>
                <w:szCs w:val="22"/>
              </w:rPr>
              <w:t>Berezuk GP, McCarty GE (1992). Investigational drugs and vaccines fielded in support of Operation Desert Storm. Military Medicine, Vol 157 pp 404-6.</w:t>
            </w:r>
          </w:p>
        </w:tc>
      </w:tr>
      <w:tr w:rsidR="002A4F0C" w:rsidRPr="002A4F0C" w14:paraId="6B00BDD0" w14:textId="77777777" w:rsidTr="002A4F0C">
        <w:trPr>
          <w:cantSplit/>
        </w:trPr>
        <w:tc>
          <w:tcPr>
            <w:tcW w:w="1575" w:type="dxa"/>
            <w:shd w:val="clear" w:color="auto" w:fill="auto"/>
            <w:noWrap/>
            <w:vAlign w:val="center"/>
          </w:tcPr>
          <w:p w14:paraId="58A5967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17326</w:t>
            </w:r>
          </w:p>
        </w:tc>
        <w:tc>
          <w:tcPr>
            <w:tcW w:w="7938" w:type="dxa"/>
            <w:shd w:val="clear" w:color="auto" w:fill="auto"/>
            <w:vAlign w:val="bottom"/>
          </w:tcPr>
          <w:p w14:paraId="638B1DBD" w14:textId="77777777" w:rsidR="002A4F0C" w:rsidRPr="002A4F0C" w:rsidRDefault="002A4F0C" w:rsidP="002A4F0C">
            <w:pPr>
              <w:spacing w:line="240" w:lineRule="auto"/>
              <w:rPr>
                <w:rFonts w:ascii="Arial" w:hAnsi="Arial"/>
                <w:szCs w:val="22"/>
              </w:rPr>
            </w:pPr>
            <w:r w:rsidRPr="002A4F0C">
              <w:rPr>
                <w:rFonts w:ascii="Arial" w:hAnsi="Arial"/>
                <w:szCs w:val="22"/>
              </w:rPr>
              <w:t>Bell IR, Warg-Damiani L, Baldwin CM, Walsh ME, Schwartz GER (1998). Self-reported chemical sensitivity and wartime chemical exposures in Gulf War veterans with and without decreased global health ratings. Military Medicine, Vol 163(11) pp 725-732.</w:t>
            </w:r>
          </w:p>
        </w:tc>
      </w:tr>
      <w:tr w:rsidR="002A4F0C" w:rsidRPr="002A4F0C" w14:paraId="01966D7B" w14:textId="77777777" w:rsidTr="002A4F0C">
        <w:trPr>
          <w:cantSplit/>
        </w:trPr>
        <w:tc>
          <w:tcPr>
            <w:tcW w:w="1575" w:type="dxa"/>
            <w:shd w:val="clear" w:color="auto" w:fill="auto"/>
            <w:noWrap/>
            <w:vAlign w:val="center"/>
          </w:tcPr>
          <w:p w14:paraId="167ED2D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17327</w:t>
            </w:r>
          </w:p>
        </w:tc>
        <w:tc>
          <w:tcPr>
            <w:tcW w:w="7938" w:type="dxa"/>
            <w:shd w:val="clear" w:color="auto" w:fill="auto"/>
            <w:vAlign w:val="bottom"/>
          </w:tcPr>
          <w:p w14:paraId="1A6A7851" w14:textId="77777777" w:rsidR="002A4F0C" w:rsidRPr="002A4F0C" w:rsidRDefault="002A4F0C" w:rsidP="002A4F0C">
            <w:pPr>
              <w:spacing w:line="240" w:lineRule="auto"/>
              <w:rPr>
                <w:rFonts w:ascii="Arial" w:hAnsi="Arial"/>
                <w:szCs w:val="22"/>
              </w:rPr>
            </w:pPr>
            <w:r w:rsidRPr="002A4F0C">
              <w:rPr>
                <w:rFonts w:ascii="Arial" w:hAnsi="Arial"/>
                <w:szCs w:val="22"/>
              </w:rPr>
              <w:t>Hyams KC (1998). Developing case definitions for symptom-based conditions: the problem of specificity. Epidemiologic Reviews, Vol 20(2) pp 148-156.</w:t>
            </w:r>
          </w:p>
        </w:tc>
      </w:tr>
      <w:tr w:rsidR="002A4F0C" w:rsidRPr="002A4F0C" w14:paraId="627CF5C2" w14:textId="77777777" w:rsidTr="002A4F0C">
        <w:trPr>
          <w:cantSplit/>
        </w:trPr>
        <w:tc>
          <w:tcPr>
            <w:tcW w:w="1575" w:type="dxa"/>
            <w:shd w:val="clear" w:color="auto" w:fill="auto"/>
            <w:noWrap/>
            <w:vAlign w:val="center"/>
          </w:tcPr>
          <w:p w14:paraId="02F2C80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17328</w:t>
            </w:r>
          </w:p>
        </w:tc>
        <w:tc>
          <w:tcPr>
            <w:tcW w:w="7938" w:type="dxa"/>
            <w:shd w:val="clear" w:color="auto" w:fill="auto"/>
            <w:vAlign w:val="bottom"/>
          </w:tcPr>
          <w:p w14:paraId="36F14F53" w14:textId="77777777" w:rsidR="002A4F0C" w:rsidRPr="002A4F0C" w:rsidRDefault="002A4F0C" w:rsidP="002A4F0C">
            <w:pPr>
              <w:spacing w:line="240" w:lineRule="auto"/>
              <w:rPr>
                <w:rFonts w:ascii="Arial" w:hAnsi="Arial"/>
                <w:szCs w:val="22"/>
              </w:rPr>
            </w:pPr>
            <w:r w:rsidRPr="002A4F0C">
              <w:rPr>
                <w:rFonts w:ascii="Arial" w:hAnsi="Arial"/>
                <w:szCs w:val="22"/>
              </w:rPr>
              <w:t>Persian Gulf War Coordinating Board (1995). Unexplained illnesses among Desert Storm veterans. A search for causes, treatment, and cooperation. Arch Intern Med, 155: 262-8.</w:t>
            </w:r>
          </w:p>
        </w:tc>
      </w:tr>
      <w:tr w:rsidR="002A4F0C" w:rsidRPr="002A4F0C" w14:paraId="500C9981" w14:textId="77777777" w:rsidTr="002A4F0C">
        <w:trPr>
          <w:cantSplit/>
        </w:trPr>
        <w:tc>
          <w:tcPr>
            <w:tcW w:w="1575" w:type="dxa"/>
            <w:shd w:val="clear" w:color="auto" w:fill="auto"/>
            <w:noWrap/>
            <w:vAlign w:val="center"/>
          </w:tcPr>
          <w:p w14:paraId="6EECF37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17329</w:t>
            </w:r>
          </w:p>
        </w:tc>
        <w:tc>
          <w:tcPr>
            <w:tcW w:w="7938" w:type="dxa"/>
            <w:shd w:val="clear" w:color="auto" w:fill="auto"/>
            <w:vAlign w:val="bottom"/>
          </w:tcPr>
          <w:p w14:paraId="1344C37F" w14:textId="77777777" w:rsidR="002A4F0C" w:rsidRPr="002A4F0C" w:rsidRDefault="002A4F0C" w:rsidP="002A4F0C">
            <w:pPr>
              <w:spacing w:line="240" w:lineRule="auto"/>
              <w:rPr>
                <w:rFonts w:ascii="Arial" w:hAnsi="Arial"/>
                <w:szCs w:val="22"/>
              </w:rPr>
            </w:pPr>
            <w:r w:rsidRPr="002A4F0C">
              <w:rPr>
                <w:rFonts w:ascii="Arial" w:hAnsi="Arial"/>
                <w:szCs w:val="22"/>
              </w:rPr>
              <w:t>Kroenke K, Arrington ME, Mangelsdorff AD (1990). The prevalence of symptoms in medical outpatients and the adequacy of therapy. Arch Intern Med, Vol 150 pp 1685-9.</w:t>
            </w:r>
          </w:p>
        </w:tc>
      </w:tr>
      <w:tr w:rsidR="002A4F0C" w:rsidRPr="002A4F0C" w14:paraId="1BCA9353" w14:textId="77777777" w:rsidTr="002A4F0C">
        <w:trPr>
          <w:cantSplit/>
        </w:trPr>
        <w:tc>
          <w:tcPr>
            <w:tcW w:w="1575" w:type="dxa"/>
            <w:shd w:val="clear" w:color="auto" w:fill="auto"/>
            <w:noWrap/>
            <w:vAlign w:val="center"/>
          </w:tcPr>
          <w:p w14:paraId="0E69D6D0"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17330</w:t>
            </w:r>
          </w:p>
        </w:tc>
        <w:tc>
          <w:tcPr>
            <w:tcW w:w="7938" w:type="dxa"/>
            <w:shd w:val="clear" w:color="auto" w:fill="auto"/>
            <w:vAlign w:val="bottom"/>
          </w:tcPr>
          <w:p w14:paraId="0D62A116" w14:textId="77777777" w:rsidR="002A4F0C" w:rsidRPr="002A4F0C" w:rsidRDefault="002A4F0C" w:rsidP="002A4F0C">
            <w:pPr>
              <w:spacing w:line="240" w:lineRule="auto"/>
              <w:rPr>
                <w:rFonts w:ascii="Arial" w:hAnsi="Arial"/>
                <w:szCs w:val="22"/>
              </w:rPr>
            </w:pPr>
            <w:r w:rsidRPr="002A4F0C">
              <w:rPr>
                <w:rFonts w:ascii="Arial" w:hAnsi="Arial"/>
                <w:szCs w:val="22"/>
              </w:rPr>
              <w:t>Kroenke K, Price RK (1993). Symptoms in the community. Prevalence, classification, and psychiatric comorbidity. Arch Intern Med, Vol 153 pp 2474-2480.</w:t>
            </w:r>
          </w:p>
        </w:tc>
      </w:tr>
      <w:tr w:rsidR="002A4F0C" w:rsidRPr="002A4F0C" w14:paraId="3732F7CA" w14:textId="77777777" w:rsidTr="002A4F0C">
        <w:trPr>
          <w:cantSplit/>
        </w:trPr>
        <w:tc>
          <w:tcPr>
            <w:tcW w:w="1575" w:type="dxa"/>
            <w:shd w:val="clear" w:color="auto" w:fill="auto"/>
            <w:noWrap/>
            <w:vAlign w:val="center"/>
          </w:tcPr>
          <w:p w14:paraId="458291D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17331</w:t>
            </w:r>
          </w:p>
        </w:tc>
        <w:tc>
          <w:tcPr>
            <w:tcW w:w="7938" w:type="dxa"/>
            <w:shd w:val="clear" w:color="auto" w:fill="auto"/>
            <w:vAlign w:val="bottom"/>
          </w:tcPr>
          <w:p w14:paraId="3D2107BF" w14:textId="77777777" w:rsidR="002A4F0C" w:rsidRPr="002A4F0C" w:rsidRDefault="002A4F0C" w:rsidP="002A4F0C">
            <w:pPr>
              <w:spacing w:line="240" w:lineRule="auto"/>
              <w:rPr>
                <w:rFonts w:ascii="Arial" w:hAnsi="Arial"/>
                <w:szCs w:val="22"/>
              </w:rPr>
            </w:pPr>
            <w:r w:rsidRPr="002A4F0C">
              <w:rPr>
                <w:rFonts w:ascii="Arial" w:hAnsi="Arial"/>
                <w:szCs w:val="22"/>
              </w:rPr>
              <w:t>Kroenke K, Mangelsdorff D (1989). Common symptoms in ambulatory care: incidence, evaluation, therapy, and outcome. The American Journal of Medicine, Vol 86 pp 262-6.</w:t>
            </w:r>
          </w:p>
        </w:tc>
      </w:tr>
      <w:tr w:rsidR="002A4F0C" w:rsidRPr="002A4F0C" w14:paraId="55CB9F13" w14:textId="77777777" w:rsidTr="002A4F0C">
        <w:trPr>
          <w:cantSplit/>
        </w:trPr>
        <w:tc>
          <w:tcPr>
            <w:tcW w:w="1575" w:type="dxa"/>
            <w:shd w:val="clear" w:color="auto" w:fill="auto"/>
            <w:noWrap/>
            <w:vAlign w:val="center"/>
          </w:tcPr>
          <w:p w14:paraId="3958CC3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17332</w:t>
            </w:r>
          </w:p>
        </w:tc>
        <w:tc>
          <w:tcPr>
            <w:tcW w:w="7938" w:type="dxa"/>
            <w:shd w:val="clear" w:color="auto" w:fill="auto"/>
            <w:vAlign w:val="bottom"/>
          </w:tcPr>
          <w:p w14:paraId="1E9F0691" w14:textId="77777777" w:rsidR="002A4F0C" w:rsidRPr="002A4F0C" w:rsidRDefault="002A4F0C" w:rsidP="002A4F0C">
            <w:pPr>
              <w:spacing w:line="240" w:lineRule="auto"/>
              <w:rPr>
                <w:rFonts w:ascii="Arial" w:hAnsi="Arial"/>
                <w:szCs w:val="22"/>
              </w:rPr>
            </w:pPr>
            <w:r w:rsidRPr="002A4F0C">
              <w:rPr>
                <w:rFonts w:ascii="Arial" w:hAnsi="Arial"/>
                <w:szCs w:val="22"/>
              </w:rPr>
              <w:t>Vercoulen JHMM, Swanink CMA, Fennis JFM, Galama JMD, van der Meer JWM, Bleijenberg G. (1996). Prognosis in chronic fatigue syndrome: a prospective study on the natural course. Journal of Neurology, Neurosurgery, &amp; Psychiatry, Vol 60 pp 489-494.</w:t>
            </w:r>
          </w:p>
        </w:tc>
      </w:tr>
      <w:tr w:rsidR="002A4F0C" w:rsidRPr="002A4F0C" w14:paraId="1DEAF846" w14:textId="77777777" w:rsidTr="002A4F0C">
        <w:trPr>
          <w:cantSplit/>
        </w:trPr>
        <w:tc>
          <w:tcPr>
            <w:tcW w:w="1575" w:type="dxa"/>
            <w:shd w:val="clear" w:color="auto" w:fill="auto"/>
            <w:noWrap/>
            <w:vAlign w:val="center"/>
          </w:tcPr>
          <w:p w14:paraId="7FA270C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17333</w:t>
            </w:r>
          </w:p>
        </w:tc>
        <w:tc>
          <w:tcPr>
            <w:tcW w:w="7938" w:type="dxa"/>
            <w:shd w:val="clear" w:color="auto" w:fill="auto"/>
            <w:vAlign w:val="bottom"/>
          </w:tcPr>
          <w:p w14:paraId="15CE143C" w14:textId="77777777" w:rsidR="002A4F0C" w:rsidRPr="002A4F0C" w:rsidRDefault="002A4F0C" w:rsidP="002A4F0C">
            <w:pPr>
              <w:spacing w:line="240" w:lineRule="auto"/>
              <w:rPr>
                <w:rFonts w:ascii="Arial" w:hAnsi="Arial"/>
                <w:szCs w:val="22"/>
              </w:rPr>
            </w:pPr>
            <w:r w:rsidRPr="002A4F0C">
              <w:rPr>
                <w:rFonts w:ascii="Arial" w:hAnsi="Arial"/>
                <w:szCs w:val="22"/>
              </w:rPr>
              <w:t>Escobar JI, Golding JM, Hough RL, Karno M, Burnam MA, &amp; Wells KB (1987). Somatization in the community: relationship to disability and use of services. American Journal of Public Health, Vol 77(7) pp 837-840.</w:t>
            </w:r>
          </w:p>
        </w:tc>
      </w:tr>
      <w:tr w:rsidR="002A4F0C" w:rsidRPr="002A4F0C" w14:paraId="70013E13" w14:textId="77777777" w:rsidTr="002A4F0C">
        <w:trPr>
          <w:cantSplit/>
        </w:trPr>
        <w:tc>
          <w:tcPr>
            <w:tcW w:w="1575" w:type="dxa"/>
            <w:shd w:val="clear" w:color="auto" w:fill="auto"/>
            <w:noWrap/>
            <w:vAlign w:val="center"/>
          </w:tcPr>
          <w:p w14:paraId="5A434AE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17334</w:t>
            </w:r>
          </w:p>
        </w:tc>
        <w:tc>
          <w:tcPr>
            <w:tcW w:w="7938" w:type="dxa"/>
            <w:shd w:val="clear" w:color="auto" w:fill="auto"/>
            <w:vAlign w:val="bottom"/>
          </w:tcPr>
          <w:p w14:paraId="629E5A76" w14:textId="77777777" w:rsidR="002A4F0C" w:rsidRPr="002A4F0C" w:rsidRDefault="002A4F0C" w:rsidP="002A4F0C">
            <w:pPr>
              <w:spacing w:line="240" w:lineRule="auto"/>
              <w:rPr>
                <w:rFonts w:ascii="Arial" w:hAnsi="Arial"/>
                <w:szCs w:val="22"/>
              </w:rPr>
            </w:pPr>
            <w:r w:rsidRPr="002A4F0C">
              <w:rPr>
                <w:rFonts w:ascii="Arial" w:hAnsi="Arial"/>
                <w:szCs w:val="22"/>
              </w:rPr>
              <w:t>Kroenke K, Spitzer RL, deGruy FV 111, Hahn SR, Linzer M, Williams JBW, Brody D, Davies M (1997). Multisomatoform disorder. An alternative to undifferentiated somatoform disorder for the somatizing patient in primary care. Arch Gen psychiatry, Vol 54 pp 352-358.</w:t>
            </w:r>
          </w:p>
        </w:tc>
      </w:tr>
      <w:tr w:rsidR="002A4F0C" w:rsidRPr="002A4F0C" w14:paraId="6FACC234" w14:textId="77777777" w:rsidTr="002A4F0C">
        <w:trPr>
          <w:cantSplit/>
        </w:trPr>
        <w:tc>
          <w:tcPr>
            <w:tcW w:w="1575" w:type="dxa"/>
            <w:shd w:val="clear" w:color="auto" w:fill="auto"/>
            <w:noWrap/>
            <w:vAlign w:val="center"/>
          </w:tcPr>
          <w:p w14:paraId="7AB75D9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17335</w:t>
            </w:r>
          </w:p>
        </w:tc>
        <w:tc>
          <w:tcPr>
            <w:tcW w:w="7938" w:type="dxa"/>
            <w:shd w:val="clear" w:color="auto" w:fill="auto"/>
            <w:vAlign w:val="bottom"/>
          </w:tcPr>
          <w:p w14:paraId="678EE324" w14:textId="77777777" w:rsidR="002A4F0C" w:rsidRPr="002A4F0C" w:rsidRDefault="002A4F0C" w:rsidP="002A4F0C">
            <w:pPr>
              <w:spacing w:line="240" w:lineRule="auto"/>
              <w:rPr>
                <w:rFonts w:ascii="Arial" w:hAnsi="Arial"/>
                <w:szCs w:val="22"/>
              </w:rPr>
            </w:pPr>
            <w:r w:rsidRPr="002A4F0C">
              <w:rPr>
                <w:rFonts w:ascii="Arial" w:hAnsi="Arial"/>
                <w:szCs w:val="22"/>
              </w:rPr>
              <w:t>Straus SE. (1999). Bridging the gulf in war syndromes. The Lancet, Vol 353 pp 162-3.</w:t>
            </w:r>
          </w:p>
        </w:tc>
      </w:tr>
      <w:tr w:rsidR="002A4F0C" w:rsidRPr="002A4F0C" w14:paraId="04468230" w14:textId="77777777" w:rsidTr="002A4F0C">
        <w:trPr>
          <w:cantSplit/>
        </w:trPr>
        <w:tc>
          <w:tcPr>
            <w:tcW w:w="1575" w:type="dxa"/>
            <w:shd w:val="clear" w:color="auto" w:fill="auto"/>
            <w:noWrap/>
            <w:vAlign w:val="center"/>
          </w:tcPr>
          <w:p w14:paraId="51A334D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17336</w:t>
            </w:r>
          </w:p>
        </w:tc>
        <w:tc>
          <w:tcPr>
            <w:tcW w:w="7938" w:type="dxa"/>
            <w:shd w:val="clear" w:color="auto" w:fill="auto"/>
            <w:vAlign w:val="bottom"/>
          </w:tcPr>
          <w:p w14:paraId="7D2EB79A" w14:textId="77777777" w:rsidR="002A4F0C" w:rsidRPr="002A4F0C" w:rsidRDefault="002A4F0C" w:rsidP="002A4F0C">
            <w:pPr>
              <w:spacing w:line="240" w:lineRule="auto"/>
              <w:rPr>
                <w:rFonts w:ascii="Arial" w:hAnsi="Arial"/>
                <w:szCs w:val="22"/>
              </w:rPr>
            </w:pPr>
            <w:r w:rsidRPr="002A4F0C">
              <w:rPr>
                <w:rFonts w:ascii="Arial" w:hAnsi="Arial"/>
                <w:szCs w:val="22"/>
              </w:rPr>
              <w:t>Unwin C, Blatchley N, Coker W, Ferry S, Hotopf M, et al (1999). Health of UK servicemen who served in Persian Gulf War. The Lancet, 353: 169-78.</w:t>
            </w:r>
          </w:p>
        </w:tc>
      </w:tr>
      <w:tr w:rsidR="002A4F0C" w:rsidRPr="002A4F0C" w14:paraId="71B0580B" w14:textId="77777777" w:rsidTr="002A4F0C">
        <w:trPr>
          <w:cantSplit/>
        </w:trPr>
        <w:tc>
          <w:tcPr>
            <w:tcW w:w="1575" w:type="dxa"/>
            <w:shd w:val="clear" w:color="auto" w:fill="auto"/>
            <w:noWrap/>
            <w:vAlign w:val="center"/>
          </w:tcPr>
          <w:p w14:paraId="1FFD2D01"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17337</w:t>
            </w:r>
          </w:p>
        </w:tc>
        <w:tc>
          <w:tcPr>
            <w:tcW w:w="7938" w:type="dxa"/>
            <w:shd w:val="clear" w:color="auto" w:fill="auto"/>
            <w:vAlign w:val="bottom"/>
          </w:tcPr>
          <w:p w14:paraId="4EB4305E" w14:textId="77777777" w:rsidR="002A4F0C" w:rsidRPr="002A4F0C" w:rsidRDefault="002A4F0C" w:rsidP="002A4F0C">
            <w:pPr>
              <w:spacing w:line="240" w:lineRule="auto"/>
              <w:rPr>
                <w:rFonts w:ascii="Arial" w:hAnsi="Arial"/>
                <w:szCs w:val="22"/>
              </w:rPr>
            </w:pPr>
            <w:r w:rsidRPr="002A4F0C">
              <w:rPr>
                <w:rFonts w:ascii="Arial" w:hAnsi="Arial"/>
                <w:szCs w:val="22"/>
              </w:rPr>
              <w:t>Ismail K, Everitt B, Blatchley N, Hull L, Unwin C, David A, Wessely S (1999). Is there a Gulf War syndrome? The Lancet, Vol 353 pp 179-182.</w:t>
            </w:r>
          </w:p>
        </w:tc>
      </w:tr>
      <w:tr w:rsidR="002A4F0C" w:rsidRPr="002A4F0C" w14:paraId="758A8E0C" w14:textId="77777777" w:rsidTr="002A4F0C">
        <w:trPr>
          <w:cantSplit/>
        </w:trPr>
        <w:tc>
          <w:tcPr>
            <w:tcW w:w="1575" w:type="dxa"/>
            <w:shd w:val="clear" w:color="auto" w:fill="auto"/>
            <w:noWrap/>
            <w:vAlign w:val="center"/>
          </w:tcPr>
          <w:p w14:paraId="152E8C4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17339</w:t>
            </w:r>
          </w:p>
        </w:tc>
        <w:tc>
          <w:tcPr>
            <w:tcW w:w="7938" w:type="dxa"/>
            <w:shd w:val="clear" w:color="auto" w:fill="auto"/>
            <w:vAlign w:val="bottom"/>
          </w:tcPr>
          <w:p w14:paraId="35C8DB1C" w14:textId="77777777" w:rsidR="002A4F0C" w:rsidRPr="002A4F0C" w:rsidRDefault="002A4F0C" w:rsidP="002A4F0C">
            <w:pPr>
              <w:spacing w:line="240" w:lineRule="auto"/>
              <w:rPr>
                <w:rFonts w:ascii="Arial" w:hAnsi="Arial"/>
                <w:szCs w:val="22"/>
              </w:rPr>
            </w:pPr>
            <w:r w:rsidRPr="002A4F0C">
              <w:rPr>
                <w:rFonts w:ascii="Arial" w:hAnsi="Arial"/>
                <w:szCs w:val="22"/>
              </w:rPr>
              <w:t>Hadler NM (1984). Occupational illness. The issue of causality. Journal of Occupational Medicine, Vol 26(8) pp 587-593.</w:t>
            </w:r>
          </w:p>
        </w:tc>
      </w:tr>
      <w:tr w:rsidR="002A4F0C" w:rsidRPr="002A4F0C" w14:paraId="17E64774" w14:textId="77777777" w:rsidTr="002A4F0C">
        <w:trPr>
          <w:cantSplit/>
        </w:trPr>
        <w:tc>
          <w:tcPr>
            <w:tcW w:w="1575" w:type="dxa"/>
            <w:shd w:val="clear" w:color="auto" w:fill="auto"/>
            <w:noWrap/>
            <w:vAlign w:val="center"/>
          </w:tcPr>
          <w:p w14:paraId="5F784A2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17344</w:t>
            </w:r>
          </w:p>
        </w:tc>
        <w:tc>
          <w:tcPr>
            <w:tcW w:w="7938" w:type="dxa"/>
            <w:shd w:val="clear" w:color="auto" w:fill="auto"/>
            <w:vAlign w:val="bottom"/>
          </w:tcPr>
          <w:p w14:paraId="24C0EA39" w14:textId="77777777" w:rsidR="002A4F0C" w:rsidRPr="002A4F0C" w:rsidRDefault="002A4F0C" w:rsidP="002A4F0C">
            <w:pPr>
              <w:spacing w:line="240" w:lineRule="auto"/>
              <w:rPr>
                <w:rFonts w:ascii="Arial" w:hAnsi="Arial"/>
                <w:szCs w:val="22"/>
              </w:rPr>
            </w:pPr>
            <w:r w:rsidRPr="002A4F0C">
              <w:rPr>
                <w:rFonts w:ascii="Arial" w:hAnsi="Arial"/>
                <w:szCs w:val="22"/>
              </w:rPr>
              <w:t>Joellenbeck LM, Landrigan PJ, &amp; Larson EL (1998). Gulf War veterans' illnesses: a case study in causal inference. Environmental Research, 79: 71-81.</w:t>
            </w:r>
          </w:p>
        </w:tc>
      </w:tr>
      <w:tr w:rsidR="002A4F0C" w:rsidRPr="002A4F0C" w14:paraId="0A789857" w14:textId="77777777" w:rsidTr="002A4F0C">
        <w:trPr>
          <w:cantSplit/>
        </w:trPr>
        <w:tc>
          <w:tcPr>
            <w:tcW w:w="1575" w:type="dxa"/>
            <w:shd w:val="clear" w:color="auto" w:fill="auto"/>
            <w:noWrap/>
            <w:vAlign w:val="center"/>
          </w:tcPr>
          <w:p w14:paraId="784FF03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17345</w:t>
            </w:r>
          </w:p>
        </w:tc>
        <w:tc>
          <w:tcPr>
            <w:tcW w:w="7938" w:type="dxa"/>
            <w:shd w:val="clear" w:color="auto" w:fill="auto"/>
            <w:vAlign w:val="bottom"/>
          </w:tcPr>
          <w:p w14:paraId="2DBEC42C" w14:textId="77777777" w:rsidR="002A4F0C" w:rsidRPr="002A4F0C" w:rsidRDefault="002A4F0C" w:rsidP="002A4F0C">
            <w:pPr>
              <w:spacing w:line="240" w:lineRule="auto"/>
              <w:rPr>
                <w:rFonts w:ascii="Arial" w:hAnsi="Arial"/>
                <w:szCs w:val="22"/>
              </w:rPr>
            </w:pPr>
            <w:r w:rsidRPr="002A4F0C">
              <w:rPr>
                <w:rFonts w:ascii="Arial" w:hAnsi="Arial"/>
                <w:szCs w:val="22"/>
              </w:rPr>
              <w:t>Haley RW, Kurt TL, Hom J (1997). Is there a gulf war syndrome? Searching for syndromes by factor analysis of symptoms. JAMA, Vol 277(3) pp 215-222.</w:t>
            </w:r>
          </w:p>
        </w:tc>
      </w:tr>
      <w:tr w:rsidR="002A4F0C" w:rsidRPr="002A4F0C" w14:paraId="0B55EC3A" w14:textId="77777777" w:rsidTr="002A4F0C">
        <w:trPr>
          <w:cantSplit/>
        </w:trPr>
        <w:tc>
          <w:tcPr>
            <w:tcW w:w="1575" w:type="dxa"/>
            <w:shd w:val="clear" w:color="auto" w:fill="auto"/>
            <w:noWrap/>
            <w:vAlign w:val="center"/>
          </w:tcPr>
          <w:p w14:paraId="4F78F89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17346</w:t>
            </w:r>
          </w:p>
        </w:tc>
        <w:tc>
          <w:tcPr>
            <w:tcW w:w="7938" w:type="dxa"/>
            <w:shd w:val="clear" w:color="auto" w:fill="auto"/>
            <w:vAlign w:val="bottom"/>
          </w:tcPr>
          <w:p w14:paraId="6EE61238" w14:textId="77777777" w:rsidR="002A4F0C" w:rsidRPr="002A4F0C" w:rsidRDefault="002A4F0C" w:rsidP="002A4F0C">
            <w:pPr>
              <w:spacing w:line="240" w:lineRule="auto"/>
              <w:rPr>
                <w:rFonts w:ascii="Arial" w:hAnsi="Arial"/>
                <w:szCs w:val="22"/>
              </w:rPr>
            </w:pPr>
            <w:r w:rsidRPr="002A4F0C">
              <w:rPr>
                <w:rFonts w:ascii="Arial" w:hAnsi="Arial"/>
                <w:szCs w:val="22"/>
              </w:rPr>
              <w:t>Osman Y. (1997). Environmental surveys conducted in the Gulf region following the Gulf War to identify possible neurobehavioral consequences. Environmental Research, Vol 73 pp 207-210.</w:t>
            </w:r>
          </w:p>
        </w:tc>
      </w:tr>
      <w:tr w:rsidR="002A4F0C" w:rsidRPr="002A4F0C" w14:paraId="785E8E32" w14:textId="77777777" w:rsidTr="002A4F0C">
        <w:trPr>
          <w:cantSplit/>
        </w:trPr>
        <w:tc>
          <w:tcPr>
            <w:tcW w:w="1575" w:type="dxa"/>
            <w:shd w:val="clear" w:color="auto" w:fill="auto"/>
            <w:noWrap/>
            <w:vAlign w:val="center"/>
          </w:tcPr>
          <w:p w14:paraId="7A542689"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17347</w:t>
            </w:r>
          </w:p>
        </w:tc>
        <w:tc>
          <w:tcPr>
            <w:tcW w:w="7938" w:type="dxa"/>
            <w:shd w:val="clear" w:color="auto" w:fill="auto"/>
            <w:vAlign w:val="bottom"/>
          </w:tcPr>
          <w:p w14:paraId="09576230" w14:textId="77777777" w:rsidR="002A4F0C" w:rsidRPr="002A4F0C" w:rsidRDefault="002A4F0C" w:rsidP="002A4F0C">
            <w:pPr>
              <w:spacing w:line="240" w:lineRule="auto"/>
              <w:rPr>
                <w:rFonts w:ascii="Arial" w:hAnsi="Arial"/>
                <w:szCs w:val="22"/>
              </w:rPr>
            </w:pPr>
            <w:r w:rsidRPr="002A4F0C">
              <w:rPr>
                <w:rFonts w:ascii="Arial" w:hAnsi="Arial"/>
                <w:szCs w:val="22"/>
              </w:rPr>
              <w:t>Nisipeanu P, &amp; Korczyn AD (1993). Psychological stress as risk factor for exacerbations in multiple sclerosis. Neurology, 43: 1311-2.</w:t>
            </w:r>
          </w:p>
        </w:tc>
      </w:tr>
      <w:tr w:rsidR="002A4F0C" w:rsidRPr="002A4F0C" w14:paraId="36E02F47" w14:textId="77777777" w:rsidTr="002A4F0C">
        <w:trPr>
          <w:cantSplit/>
        </w:trPr>
        <w:tc>
          <w:tcPr>
            <w:tcW w:w="1575" w:type="dxa"/>
            <w:shd w:val="clear" w:color="auto" w:fill="auto"/>
            <w:noWrap/>
            <w:vAlign w:val="center"/>
          </w:tcPr>
          <w:p w14:paraId="5E820E4C"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17353</w:t>
            </w:r>
          </w:p>
        </w:tc>
        <w:tc>
          <w:tcPr>
            <w:tcW w:w="7938" w:type="dxa"/>
            <w:shd w:val="clear" w:color="auto" w:fill="auto"/>
            <w:vAlign w:val="bottom"/>
          </w:tcPr>
          <w:p w14:paraId="3E6B5672" w14:textId="77777777" w:rsidR="002A4F0C" w:rsidRPr="002A4F0C" w:rsidRDefault="002A4F0C" w:rsidP="002A4F0C">
            <w:pPr>
              <w:spacing w:line="240" w:lineRule="auto"/>
              <w:rPr>
                <w:rFonts w:ascii="Arial" w:hAnsi="Arial"/>
                <w:szCs w:val="22"/>
              </w:rPr>
            </w:pPr>
            <w:r w:rsidRPr="002A4F0C">
              <w:rPr>
                <w:rFonts w:ascii="Arial" w:hAnsi="Arial"/>
                <w:szCs w:val="22"/>
              </w:rPr>
              <w:t>Poirier MC, Weston A, Schoket B, Shamkhani H, Pan C-f, McDiarmid MA, Scott BG, Deeter DP, Heller JM, Jacobson-Kram D, &amp; Rothman N. (1998). Biomonitoring of United States army soldiers serving in Kuwait in 1991. Cancer Epidemiology, Biomarkers &amp; Prevention, Vol 7(6) pp 545-51.</w:t>
            </w:r>
          </w:p>
        </w:tc>
      </w:tr>
      <w:tr w:rsidR="002A4F0C" w:rsidRPr="002A4F0C" w14:paraId="3D885B58" w14:textId="77777777" w:rsidTr="002A4F0C">
        <w:trPr>
          <w:cantSplit/>
        </w:trPr>
        <w:tc>
          <w:tcPr>
            <w:tcW w:w="1575" w:type="dxa"/>
            <w:shd w:val="clear" w:color="auto" w:fill="auto"/>
            <w:noWrap/>
            <w:vAlign w:val="center"/>
          </w:tcPr>
          <w:p w14:paraId="518284C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17354</w:t>
            </w:r>
          </w:p>
        </w:tc>
        <w:tc>
          <w:tcPr>
            <w:tcW w:w="7938" w:type="dxa"/>
            <w:shd w:val="clear" w:color="auto" w:fill="auto"/>
            <w:vAlign w:val="bottom"/>
          </w:tcPr>
          <w:p w14:paraId="172D3CF6" w14:textId="77777777" w:rsidR="002A4F0C" w:rsidRPr="002A4F0C" w:rsidRDefault="002A4F0C" w:rsidP="002A4F0C">
            <w:pPr>
              <w:spacing w:line="240" w:lineRule="auto"/>
              <w:rPr>
                <w:rFonts w:ascii="Arial" w:hAnsi="Arial"/>
                <w:szCs w:val="22"/>
              </w:rPr>
            </w:pPr>
            <w:r w:rsidRPr="002A4F0C">
              <w:rPr>
                <w:rFonts w:ascii="Arial" w:hAnsi="Arial"/>
                <w:szCs w:val="22"/>
              </w:rPr>
              <w:t>Wolfe J, Proctor SP, Davis JD, Borgos MS, &amp; Friedman MJ. (1993). Health symptoms reported by Persian Gulf War veterans two years after return. Journal of Social Issues, Vol 49(4) pp 15-31.</w:t>
            </w:r>
          </w:p>
        </w:tc>
      </w:tr>
      <w:tr w:rsidR="002A4F0C" w:rsidRPr="002A4F0C" w14:paraId="767187C3" w14:textId="77777777" w:rsidTr="002A4F0C">
        <w:trPr>
          <w:cantSplit/>
        </w:trPr>
        <w:tc>
          <w:tcPr>
            <w:tcW w:w="1575" w:type="dxa"/>
            <w:shd w:val="clear" w:color="auto" w:fill="auto"/>
            <w:noWrap/>
            <w:vAlign w:val="center"/>
          </w:tcPr>
          <w:p w14:paraId="33251EB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17355</w:t>
            </w:r>
          </w:p>
        </w:tc>
        <w:tc>
          <w:tcPr>
            <w:tcW w:w="7938" w:type="dxa"/>
            <w:shd w:val="clear" w:color="auto" w:fill="auto"/>
            <w:vAlign w:val="bottom"/>
          </w:tcPr>
          <w:p w14:paraId="3218A4A8" w14:textId="77777777" w:rsidR="002A4F0C" w:rsidRPr="002A4F0C" w:rsidRDefault="002A4F0C" w:rsidP="002A4F0C">
            <w:pPr>
              <w:spacing w:line="240" w:lineRule="auto"/>
              <w:rPr>
                <w:rFonts w:ascii="Arial" w:hAnsi="Arial"/>
                <w:szCs w:val="22"/>
              </w:rPr>
            </w:pPr>
            <w:r w:rsidRPr="002A4F0C">
              <w:rPr>
                <w:rFonts w:ascii="Arial" w:hAnsi="Arial"/>
                <w:szCs w:val="22"/>
              </w:rPr>
              <w:t>Gray GC, Hawksworth AW, Smith TC, Kang HK, et al (1998). Gulf war veterans' health registries. Who is most likely to seek evaluation? American Journal of Epidemiology, 148 (4) pp 343-9.</w:t>
            </w:r>
          </w:p>
        </w:tc>
      </w:tr>
      <w:tr w:rsidR="002A4F0C" w:rsidRPr="002A4F0C" w14:paraId="382F7632" w14:textId="77777777" w:rsidTr="002A4F0C">
        <w:trPr>
          <w:cantSplit/>
        </w:trPr>
        <w:tc>
          <w:tcPr>
            <w:tcW w:w="1575" w:type="dxa"/>
            <w:shd w:val="clear" w:color="auto" w:fill="auto"/>
            <w:noWrap/>
            <w:vAlign w:val="center"/>
          </w:tcPr>
          <w:p w14:paraId="7C722FA9"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17356</w:t>
            </w:r>
          </w:p>
        </w:tc>
        <w:tc>
          <w:tcPr>
            <w:tcW w:w="7938" w:type="dxa"/>
            <w:shd w:val="clear" w:color="auto" w:fill="auto"/>
            <w:vAlign w:val="bottom"/>
          </w:tcPr>
          <w:p w14:paraId="439B4EEB" w14:textId="77777777" w:rsidR="002A4F0C" w:rsidRPr="002A4F0C" w:rsidRDefault="002A4F0C" w:rsidP="002A4F0C">
            <w:pPr>
              <w:spacing w:line="240" w:lineRule="auto"/>
              <w:rPr>
                <w:rFonts w:ascii="Arial" w:hAnsi="Arial"/>
                <w:szCs w:val="22"/>
              </w:rPr>
            </w:pPr>
            <w:r w:rsidRPr="002A4F0C">
              <w:rPr>
                <w:rFonts w:ascii="Arial" w:hAnsi="Arial"/>
                <w:szCs w:val="22"/>
              </w:rPr>
              <w:t>Masci D.(1994). Gulf War syndrome benefits approved by House Panel. Congressional Quarterly Weekly Report, Vol 52 pp 1805-6.</w:t>
            </w:r>
          </w:p>
        </w:tc>
      </w:tr>
      <w:tr w:rsidR="002A4F0C" w:rsidRPr="002A4F0C" w14:paraId="24DD1836" w14:textId="77777777" w:rsidTr="002A4F0C">
        <w:trPr>
          <w:cantSplit/>
        </w:trPr>
        <w:tc>
          <w:tcPr>
            <w:tcW w:w="1575" w:type="dxa"/>
            <w:shd w:val="clear" w:color="auto" w:fill="auto"/>
            <w:noWrap/>
            <w:vAlign w:val="center"/>
          </w:tcPr>
          <w:p w14:paraId="0FD63A6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17357</w:t>
            </w:r>
          </w:p>
        </w:tc>
        <w:tc>
          <w:tcPr>
            <w:tcW w:w="7938" w:type="dxa"/>
            <w:shd w:val="clear" w:color="auto" w:fill="auto"/>
            <w:vAlign w:val="bottom"/>
          </w:tcPr>
          <w:p w14:paraId="288C2E68" w14:textId="77777777" w:rsidR="002A4F0C" w:rsidRPr="002A4F0C" w:rsidRDefault="002A4F0C" w:rsidP="002A4F0C">
            <w:pPr>
              <w:spacing w:line="240" w:lineRule="auto"/>
              <w:rPr>
                <w:rFonts w:ascii="Arial" w:hAnsi="Arial"/>
                <w:szCs w:val="22"/>
              </w:rPr>
            </w:pPr>
            <w:r w:rsidRPr="002A4F0C">
              <w:rPr>
                <w:rFonts w:ascii="Arial" w:hAnsi="Arial"/>
                <w:szCs w:val="22"/>
              </w:rPr>
              <w:t>Weiss B. (1998). Neurobehavioral properties of chemical sensitivity syndromes. Neurotoxicology, Vol 19(2) pp 259-68.</w:t>
            </w:r>
          </w:p>
        </w:tc>
      </w:tr>
      <w:tr w:rsidR="002A4F0C" w:rsidRPr="002A4F0C" w14:paraId="7B941B68" w14:textId="77777777" w:rsidTr="002A4F0C">
        <w:trPr>
          <w:cantSplit/>
        </w:trPr>
        <w:tc>
          <w:tcPr>
            <w:tcW w:w="1575" w:type="dxa"/>
            <w:shd w:val="clear" w:color="auto" w:fill="auto"/>
            <w:noWrap/>
            <w:vAlign w:val="center"/>
          </w:tcPr>
          <w:p w14:paraId="50F68D9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17362</w:t>
            </w:r>
          </w:p>
        </w:tc>
        <w:tc>
          <w:tcPr>
            <w:tcW w:w="7938" w:type="dxa"/>
            <w:shd w:val="clear" w:color="auto" w:fill="auto"/>
            <w:vAlign w:val="bottom"/>
          </w:tcPr>
          <w:p w14:paraId="1DA26F4A" w14:textId="77777777" w:rsidR="002A4F0C" w:rsidRPr="002A4F0C" w:rsidRDefault="002A4F0C" w:rsidP="002A4F0C">
            <w:pPr>
              <w:spacing w:line="240" w:lineRule="auto"/>
              <w:rPr>
                <w:rFonts w:ascii="Arial" w:hAnsi="Arial"/>
                <w:szCs w:val="22"/>
              </w:rPr>
            </w:pPr>
            <w:r w:rsidRPr="002A4F0C">
              <w:rPr>
                <w:rFonts w:ascii="Arial" w:hAnsi="Arial"/>
                <w:szCs w:val="22"/>
              </w:rPr>
              <w:t>Nicolson GL and Nicolson NL (1998). Gulf War Illness: complex medical, scientific and political paradox. Medicine, Conflict and Survival, 14(2): 156-65.</w:t>
            </w:r>
          </w:p>
        </w:tc>
      </w:tr>
      <w:tr w:rsidR="002A4F0C" w:rsidRPr="002A4F0C" w14:paraId="24158934" w14:textId="77777777" w:rsidTr="002A4F0C">
        <w:trPr>
          <w:cantSplit/>
        </w:trPr>
        <w:tc>
          <w:tcPr>
            <w:tcW w:w="1575" w:type="dxa"/>
            <w:shd w:val="clear" w:color="auto" w:fill="auto"/>
            <w:noWrap/>
            <w:vAlign w:val="center"/>
          </w:tcPr>
          <w:p w14:paraId="7BEC677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17363</w:t>
            </w:r>
          </w:p>
        </w:tc>
        <w:tc>
          <w:tcPr>
            <w:tcW w:w="7938" w:type="dxa"/>
            <w:shd w:val="clear" w:color="auto" w:fill="auto"/>
            <w:vAlign w:val="bottom"/>
          </w:tcPr>
          <w:p w14:paraId="3749C4F4" w14:textId="77777777" w:rsidR="002A4F0C" w:rsidRPr="002A4F0C" w:rsidRDefault="002A4F0C" w:rsidP="002A4F0C">
            <w:pPr>
              <w:spacing w:line="240" w:lineRule="auto"/>
              <w:rPr>
                <w:rFonts w:ascii="Arial" w:hAnsi="Arial"/>
                <w:szCs w:val="22"/>
              </w:rPr>
            </w:pPr>
            <w:r w:rsidRPr="002A4F0C">
              <w:rPr>
                <w:rFonts w:ascii="Arial" w:hAnsi="Arial"/>
                <w:szCs w:val="22"/>
              </w:rPr>
              <w:t>Zhang Q, Shou X, Denny T, Ottenweller JE, et al (1999). Changes in immune parameters seen in Gulf War veterans but Not in civilians with Chronic Fatigue Syndrome. Clinical and Diagnostic Laboratory Immunology, 6(1) pp 6-13.</w:t>
            </w:r>
          </w:p>
        </w:tc>
      </w:tr>
      <w:tr w:rsidR="002A4F0C" w:rsidRPr="002A4F0C" w14:paraId="2921726B" w14:textId="77777777" w:rsidTr="002A4F0C">
        <w:trPr>
          <w:cantSplit/>
        </w:trPr>
        <w:tc>
          <w:tcPr>
            <w:tcW w:w="1575" w:type="dxa"/>
            <w:shd w:val="clear" w:color="auto" w:fill="auto"/>
            <w:noWrap/>
            <w:vAlign w:val="center"/>
          </w:tcPr>
          <w:p w14:paraId="693D4B1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17364</w:t>
            </w:r>
          </w:p>
        </w:tc>
        <w:tc>
          <w:tcPr>
            <w:tcW w:w="7938" w:type="dxa"/>
            <w:shd w:val="clear" w:color="auto" w:fill="auto"/>
            <w:vAlign w:val="bottom"/>
          </w:tcPr>
          <w:p w14:paraId="6F76517F" w14:textId="77777777" w:rsidR="002A4F0C" w:rsidRPr="002A4F0C" w:rsidRDefault="002A4F0C" w:rsidP="002A4F0C">
            <w:pPr>
              <w:spacing w:line="240" w:lineRule="auto"/>
              <w:rPr>
                <w:rFonts w:ascii="Arial" w:hAnsi="Arial"/>
                <w:szCs w:val="22"/>
              </w:rPr>
            </w:pPr>
            <w:r w:rsidRPr="002A4F0C">
              <w:rPr>
                <w:rFonts w:ascii="Arial" w:hAnsi="Arial"/>
                <w:szCs w:val="22"/>
              </w:rPr>
              <w:t>Knoke JD and Gray GC (1998). Hospitalizations for unexplained illnesses among U.S. veterans of the Persian Gulf War. Emerging Infectious Diseases Vol 4 (2) pp 211-9.</w:t>
            </w:r>
          </w:p>
        </w:tc>
      </w:tr>
      <w:tr w:rsidR="002A4F0C" w:rsidRPr="002A4F0C" w14:paraId="11954666" w14:textId="77777777" w:rsidTr="002A4F0C">
        <w:trPr>
          <w:cantSplit/>
        </w:trPr>
        <w:tc>
          <w:tcPr>
            <w:tcW w:w="1575" w:type="dxa"/>
            <w:shd w:val="clear" w:color="auto" w:fill="auto"/>
            <w:noWrap/>
            <w:vAlign w:val="center"/>
          </w:tcPr>
          <w:p w14:paraId="032F415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17365</w:t>
            </w:r>
          </w:p>
        </w:tc>
        <w:tc>
          <w:tcPr>
            <w:tcW w:w="7938" w:type="dxa"/>
            <w:shd w:val="clear" w:color="auto" w:fill="auto"/>
            <w:vAlign w:val="bottom"/>
          </w:tcPr>
          <w:p w14:paraId="46E9C772" w14:textId="77777777" w:rsidR="002A4F0C" w:rsidRPr="002A4F0C" w:rsidRDefault="002A4F0C" w:rsidP="002A4F0C">
            <w:pPr>
              <w:spacing w:line="240" w:lineRule="auto"/>
              <w:rPr>
                <w:rFonts w:ascii="Arial" w:hAnsi="Arial"/>
                <w:szCs w:val="22"/>
              </w:rPr>
            </w:pPr>
            <w:r w:rsidRPr="002A4F0C">
              <w:rPr>
                <w:rFonts w:ascii="Arial" w:hAnsi="Arial"/>
                <w:szCs w:val="22"/>
              </w:rPr>
              <w:t>Nicolson GL, Burton DM and Nicolson NL (1996). Chronic Fatigue Illness and Operation Desert Storm. Journal of Occupational and Environmental Medicine 38(1) pp 14-16.</w:t>
            </w:r>
          </w:p>
        </w:tc>
      </w:tr>
      <w:tr w:rsidR="002A4F0C" w:rsidRPr="002A4F0C" w14:paraId="27E8E427" w14:textId="77777777" w:rsidTr="002A4F0C">
        <w:trPr>
          <w:cantSplit/>
        </w:trPr>
        <w:tc>
          <w:tcPr>
            <w:tcW w:w="1575" w:type="dxa"/>
            <w:shd w:val="clear" w:color="auto" w:fill="auto"/>
            <w:noWrap/>
            <w:vAlign w:val="center"/>
          </w:tcPr>
          <w:p w14:paraId="26BA6357"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17366</w:t>
            </w:r>
          </w:p>
        </w:tc>
        <w:tc>
          <w:tcPr>
            <w:tcW w:w="7938" w:type="dxa"/>
            <w:shd w:val="clear" w:color="auto" w:fill="auto"/>
            <w:vAlign w:val="bottom"/>
          </w:tcPr>
          <w:p w14:paraId="5781C17E" w14:textId="77777777" w:rsidR="002A4F0C" w:rsidRPr="002A4F0C" w:rsidRDefault="002A4F0C" w:rsidP="002A4F0C">
            <w:pPr>
              <w:spacing w:line="240" w:lineRule="auto"/>
              <w:rPr>
                <w:rFonts w:ascii="Arial" w:hAnsi="Arial"/>
                <w:szCs w:val="22"/>
              </w:rPr>
            </w:pPr>
            <w:r w:rsidRPr="002A4F0C">
              <w:rPr>
                <w:rFonts w:ascii="Arial" w:hAnsi="Arial"/>
                <w:szCs w:val="22"/>
              </w:rPr>
              <w:t>Kroenke K, Koslowe P and Roy M (1998). Symptoms in 18,495 Persian Gulf War veterans. Latency of onset and lack of association with self-reported exposures. Journal of Occupational and Environmental Medicine, 40(6): 520-28.</w:t>
            </w:r>
          </w:p>
        </w:tc>
      </w:tr>
      <w:tr w:rsidR="002A4F0C" w:rsidRPr="002A4F0C" w14:paraId="68435DE4" w14:textId="77777777" w:rsidTr="002A4F0C">
        <w:trPr>
          <w:cantSplit/>
        </w:trPr>
        <w:tc>
          <w:tcPr>
            <w:tcW w:w="1575" w:type="dxa"/>
            <w:shd w:val="clear" w:color="auto" w:fill="auto"/>
            <w:noWrap/>
            <w:vAlign w:val="center"/>
          </w:tcPr>
          <w:p w14:paraId="2C857CC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17367</w:t>
            </w:r>
          </w:p>
        </w:tc>
        <w:tc>
          <w:tcPr>
            <w:tcW w:w="7938" w:type="dxa"/>
            <w:shd w:val="clear" w:color="auto" w:fill="auto"/>
            <w:vAlign w:val="bottom"/>
          </w:tcPr>
          <w:p w14:paraId="18113C4F" w14:textId="77777777" w:rsidR="002A4F0C" w:rsidRPr="002A4F0C" w:rsidRDefault="002A4F0C" w:rsidP="002A4F0C">
            <w:pPr>
              <w:spacing w:line="240" w:lineRule="auto"/>
              <w:rPr>
                <w:rFonts w:ascii="Arial" w:hAnsi="Arial"/>
                <w:szCs w:val="22"/>
              </w:rPr>
            </w:pPr>
            <w:r w:rsidRPr="002A4F0C">
              <w:rPr>
                <w:rFonts w:ascii="Arial" w:hAnsi="Arial"/>
                <w:szCs w:val="22"/>
              </w:rPr>
              <w:t>Hom J, Haley RW and Kurt TL (1997). Neuropsychological correlates of Gulf War Syndrome. Archives of Clinical Neuropsychology 12 (6) pp 531-544.</w:t>
            </w:r>
          </w:p>
        </w:tc>
      </w:tr>
      <w:tr w:rsidR="002A4F0C" w:rsidRPr="002A4F0C" w14:paraId="719C575C" w14:textId="77777777" w:rsidTr="002A4F0C">
        <w:trPr>
          <w:cantSplit/>
        </w:trPr>
        <w:tc>
          <w:tcPr>
            <w:tcW w:w="1575" w:type="dxa"/>
            <w:shd w:val="clear" w:color="auto" w:fill="auto"/>
            <w:noWrap/>
            <w:vAlign w:val="center"/>
          </w:tcPr>
          <w:p w14:paraId="7B75E0B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17368</w:t>
            </w:r>
          </w:p>
        </w:tc>
        <w:tc>
          <w:tcPr>
            <w:tcW w:w="7938" w:type="dxa"/>
            <w:shd w:val="clear" w:color="auto" w:fill="auto"/>
            <w:vAlign w:val="bottom"/>
          </w:tcPr>
          <w:p w14:paraId="743A09F1" w14:textId="77777777" w:rsidR="002A4F0C" w:rsidRPr="002A4F0C" w:rsidRDefault="002A4F0C" w:rsidP="002A4F0C">
            <w:pPr>
              <w:spacing w:line="240" w:lineRule="auto"/>
              <w:rPr>
                <w:rFonts w:ascii="Arial" w:hAnsi="Arial"/>
                <w:szCs w:val="22"/>
              </w:rPr>
            </w:pPr>
            <w:r w:rsidRPr="002A4F0C">
              <w:rPr>
                <w:rFonts w:ascii="Arial" w:hAnsi="Arial"/>
                <w:szCs w:val="22"/>
              </w:rPr>
              <w:t>Klaustermeyer WB, Kraske GK, Lee KG, et al (1998). Allergic and immunologic profile of symptomatic Persian Gulf war veterans. Annals of Allergy, Asthma and Immunology 80 (3) pp 269-73.</w:t>
            </w:r>
          </w:p>
        </w:tc>
      </w:tr>
      <w:tr w:rsidR="002A4F0C" w:rsidRPr="002A4F0C" w14:paraId="256E9C50" w14:textId="77777777" w:rsidTr="002A4F0C">
        <w:trPr>
          <w:cantSplit/>
        </w:trPr>
        <w:tc>
          <w:tcPr>
            <w:tcW w:w="1575" w:type="dxa"/>
            <w:shd w:val="clear" w:color="auto" w:fill="auto"/>
            <w:noWrap/>
            <w:vAlign w:val="center"/>
          </w:tcPr>
          <w:p w14:paraId="15D06B8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17383</w:t>
            </w:r>
          </w:p>
        </w:tc>
        <w:tc>
          <w:tcPr>
            <w:tcW w:w="7938" w:type="dxa"/>
            <w:shd w:val="clear" w:color="auto" w:fill="auto"/>
            <w:vAlign w:val="bottom"/>
          </w:tcPr>
          <w:p w14:paraId="77B993F9" w14:textId="77777777" w:rsidR="002A4F0C" w:rsidRPr="002A4F0C" w:rsidRDefault="002A4F0C" w:rsidP="002A4F0C">
            <w:pPr>
              <w:spacing w:line="240" w:lineRule="auto"/>
              <w:rPr>
                <w:rFonts w:ascii="Arial" w:hAnsi="Arial"/>
                <w:szCs w:val="22"/>
              </w:rPr>
            </w:pPr>
            <w:r w:rsidRPr="002A4F0C">
              <w:rPr>
                <w:rFonts w:ascii="Arial" w:hAnsi="Arial"/>
                <w:szCs w:val="22"/>
              </w:rPr>
              <w:t>Showalter E (1997). Gulf War Syndrome. Hystories: Hysterical Epidemics and Modern Media,  Chapter 9, Part 3: 133-43. Columbia University Press.</w:t>
            </w:r>
          </w:p>
        </w:tc>
      </w:tr>
      <w:tr w:rsidR="002A4F0C" w:rsidRPr="002A4F0C" w14:paraId="05DC53AD" w14:textId="77777777" w:rsidTr="002A4F0C">
        <w:trPr>
          <w:cantSplit/>
        </w:trPr>
        <w:tc>
          <w:tcPr>
            <w:tcW w:w="1575" w:type="dxa"/>
            <w:shd w:val="clear" w:color="auto" w:fill="auto"/>
            <w:noWrap/>
            <w:vAlign w:val="center"/>
          </w:tcPr>
          <w:p w14:paraId="1F6F6F6C" w14:textId="77777777" w:rsidR="002A4F0C" w:rsidRPr="002A4F0C" w:rsidRDefault="002A4F0C" w:rsidP="002A4F0C">
            <w:pPr>
              <w:spacing w:line="240" w:lineRule="auto"/>
              <w:jc w:val="center"/>
              <w:rPr>
                <w:rFonts w:ascii="Arial" w:hAnsi="Arial"/>
                <w:szCs w:val="22"/>
              </w:rPr>
            </w:pPr>
            <w:r w:rsidRPr="002A4F0C">
              <w:rPr>
                <w:rFonts w:ascii="Arial" w:hAnsi="Arial"/>
                <w:szCs w:val="22"/>
              </w:rPr>
              <w:t>17400</w:t>
            </w:r>
          </w:p>
        </w:tc>
        <w:tc>
          <w:tcPr>
            <w:tcW w:w="7938" w:type="dxa"/>
            <w:shd w:val="clear" w:color="auto" w:fill="auto"/>
            <w:vAlign w:val="bottom"/>
          </w:tcPr>
          <w:p w14:paraId="11124B38" w14:textId="77777777" w:rsidR="002A4F0C" w:rsidRPr="002A4F0C" w:rsidRDefault="002A4F0C" w:rsidP="002A4F0C">
            <w:pPr>
              <w:spacing w:line="240" w:lineRule="auto"/>
              <w:rPr>
                <w:rFonts w:ascii="Arial" w:hAnsi="Arial"/>
                <w:szCs w:val="22"/>
              </w:rPr>
            </w:pPr>
            <w:r w:rsidRPr="002A4F0C">
              <w:rPr>
                <w:rFonts w:ascii="Arial" w:hAnsi="Arial"/>
                <w:szCs w:val="22"/>
              </w:rPr>
              <w:t>Etzel RA, Ashley DL (1994). Volatile organic compounds in the blood of persons in Kuwait during oil fires. International Archives of Occupational &amp; Environmental Health, Vol 66(2) pp 125-9.</w:t>
            </w:r>
          </w:p>
        </w:tc>
      </w:tr>
      <w:tr w:rsidR="002A4F0C" w:rsidRPr="002A4F0C" w14:paraId="73DFD542" w14:textId="77777777" w:rsidTr="002A4F0C">
        <w:trPr>
          <w:cantSplit/>
        </w:trPr>
        <w:tc>
          <w:tcPr>
            <w:tcW w:w="1575" w:type="dxa"/>
            <w:shd w:val="clear" w:color="auto" w:fill="auto"/>
            <w:noWrap/>
            <w:vAlign w:val="center"/>
          </w:tcPr>
          <w:p w14:paraId="7082CD6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17490</w:t>
            </w:r>
          </w:p>
        </w:tc>
        <w:tc>
          <w:tcPr>
            <w:tcW w:w="7938" w:type="dxa"/>
            <w:shd w:val="clear" w:color="auto" w:fill="auto"/>
            <w:vAlign w:val="bottom"/>
          </w:tcPr>
          <w:p w14:paraId="650E6259" w14:textId="77777777" w:rsidR="002A4F0C" w:rsidRPr="002A4F0C" w:rsidRDefault="002A4F0C" w:rsidP="002A4F0C">
            <w:pPr>
              <w:spacing w:line="240" w:lineRule="auto"/>
              <w:rPr>
                <w:rFonts w:ascii="Arial" w:hAnsi="Arial"/>
                <w:szCs w:val="22"/>
              </w:rPr>
            </w:pPr>
            <w:r w:rsidRPr="002A4F0C">
              <w:rPr>
                <w:rFonts w:ascii="Arial" w:hAnsi="Arial"/>
                <w:szCs w:val="22"/>
              </w:rPr>
              <w:t>Nicolson GL, Hyman E, Korenyi-Both A, lopez DA, Nicolson N, Rea W, Urnovitz H. (1995). Progress on Persian Gulf illness - Reality and hypotheses. International Journal of Occupational Medicine and Toxicology, Vol 4 (3) pp 365-70.</w:t>
            </w:r>
          </w:p>
        </w:tc>
      </w:tr>
      <w:tr w:rsidR="002A4F0C" w:rsidRPr="002A4F0C" w14:paraId="09E6AC4A" w14:textId="77777777" w:rsidTr="002A4F0C">
        <w:trPr>
          <w:cantSplit/>
        </w:trPr>
        <w:tc>
          <w:tcPr>
            <w:tcW w:w="1575" w:type="dxa"/>
            <w:shd w:val="clear" w:color="auto" w:fill="auto"/>
            <w:noWrap/>
            <w:vAlign w:val="center"/>
          </w:tcPr>
          <w:p w14:paraId="6D05388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17519</w:t>
            </w:r>
          </w:p>
        </w:tc>
        <w:tc>
          <w:tcPr>
            <w:tcW w:w="7938" w:type="dxa"/>
            <w:shd w:val="clear" w:color="auto" w:fill="auto"/>
            <w:vAlign w:val="bottom"/>
          </w:tcPr>
          <w:p w14:paraId="7C55FD63" w14:textId="77777777" w:rsidR="002A4F0C" w:rsidRPr="002A4F0C" w:rsidRDefault="002A4F0C" w:rsidP="002A4F0C">
            <w:pPr>
              <w:spacing w:line="240" w:lineRule="auto"/>
              <w:rPr>
                <w:rFonts w:ascii="Arial" w:hAnsi="Arial"/>
                <w:szCs w:val="22"/>
              </w:rPr>
            </w:pPr>
            <w:r w:rsidRPr="002A4F0C">
              <w:rPr>
                <w:rFonts w:ascii="Arial" w:hAnsi="Arial"/>
                <w:szCs w:val="22"/>
              </w:rPr>
              <w:t>Kang HK, Bullman T (1998). Counterpoint: responding to inadequate critique of birth defects paper. American Journal of Epidemiology, 148(4) pp 326-327.</w:t>
            </w:r>
          </w:p>
        </w:tc>
      </w:tr>
      <w:tr w:rsidR="002A4F0C" w:rsidRPr="002A4F0C" w14:paraId="10A10663" w14:textId="77777777" w:rsidTr="002A4F0C">
        <w:trPr>
          <w:cantSplit/>
        </w:trPr>
        <w:tc>
          <w:tcPr>
            <w:tcW w:w="1575" w:type="dxa"/>
            <w:shd w:val="clear" w:color="auto" w:fill="auto"/>
            <w:noWrap/>
            <w:vAlign w:val="center"/>
          </w:tcPr>
          <w:p w14:paraId="716C46F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17520</w:t>
            </w:r>
          </w:p>
        </w:tc>
        <w:tc>
          <w:tcPr>
            <w:tcW w:w="7938" w:type="dxa"/>
            <w:shd w:val="clear" w:color="auto" w:fill="auto"/>
            <w:vAlign w:val="bottom"/>
          </w:tcPr>
          <w:p w14:paraId="61EB080F" w14:textId="77777777" w:rsidR="002A4F0C" w:rsidRPr="002A4F0C" w:rsidRDefault="002A4F0C" w:rsidP="002A4F0C">
            <w:pPr>
              <w:spacing w:line="240" w:lineRule="auto"/>
              <w:rPr>
                <w:rFonts w:ascii="Arial" w:hAnsi="Arial"/>
                <w:szCs w:val="22"/>
              </w:rPr>
            </w:pPr>
            <w:r w:rsidRPr="002A4F0C">
              <w:rPr>
                <w:rFonts w:ascii="Arial" w:hAnsi="Arial"/>
                <w:szCs w:val="22"/>
              </w:rPr>
              <w:t>Kang HK, Bullman T (1999). Counterpoint: negligible "Healthy-Warrior Effect" on Gulf War Veterans' mortality. American Journal of Epidemiology, 148(4) pp 324-325.</w:t>
            </w:r>
          </w:p>
        </w:tc>
      </w:tr>
      <w:tr w:rsidR="002A4F0C" w:rsidRPr="002A4F0C" w14:paraId="5A975FD5" w14:textId="77777777" w:rsidTr="002A4F0C">
        <w:trPr>
          <w:cantSplit/>
        </w:trPr>
        <w:tc>
          <w:tcPr>
            <w:tcW w:w="1575" w:type="dxa"/>
            <w:shd w:val="clear" w:color="auto" w:fill="auto"/>
            <w:noWrap/>
            <w:vAlign w:val="center"/>
          </w:tcPr>
          <w:p w14:paraId="0C7EBCC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17521</w:t>
            </w:r>
          </w:p>
        </w:tc>
        <w:tc>
          <w:tcPr>
            <w:tcW w:w="7938" w:type="dxa"/>
            <w:shd w:val="clear" w:color="auto" w:fill="auto"/>
            <w:vAlign w:val="bottom"/>
          </w:tcPr>
          <w:p w14:paraId="751C528A" w14:textId="77777777" w:rsidR="002A4F0C" w:rsidRPr="002A4F0C" w:rsidRDefault="002A4F0C" w:rsidP="002A4F0C">
            <w:pPr>
              <w:spacing w:line="240" w:lineRule="auto"/>
              <w:rPr>
                <w:rFonts w:ascii="Arial" w:hAnsi="Arial"/>
                <w:szCs w:val="22"/>
              </w:rPr>
            </w:pPr>
            <w:r w:rsidRPr="002A4F0C">
              <w:rPr>
                <w:rFonts w:ascii="Arial" w:hAnsi="Arial"/>
                <w:szCs w:val="22"/>
              </w:rPr>
              <w:t>Gray GC, Knoke JD, Berg SW, Wignall FS, &amp; Barrett-Connor E (1998). Counterpoint: responding to suppositions and misunderstandings. American Journal of Epidemiology, Vol 148 (4) pp 328-333.</w:t>
            </w:r>
          </w:p>
        </w:tc>
      </w:tr>
      <w:tr w:rsidR="002A4F0C" w:rsidRPr="002A4F0C" w14:paraId="718D531F" w14:textId="77777777" w:rsidTr="002A4F0C">
        <w:trPr>
          <w:cantSplit/>
        </w:trPr>
        <w:tc>
          <w:tcPr>
            <w:tcW w:w="1575" w:type="dxa"/>
            <w:shd w:val="clear" w:color="auto" w:fill="auto"/>
            <w:noWrap/>
            <w:vAlign w:val="center"/>
          </w:tcPr>
          <w:p w14:paraId="7C44573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17522</w:t>
            </w:r>
          </w:p>
        </w:tc>
        <w:tc>
          <w:tcPr>
            <w:tcW w:w="7938" w:type="dxa"/>
            <w:shd w:val="clear" w:color="auto" w:fill="auto"/>
            <w:vAlign w:val="bottom"/>
          </w:tcPr>
          <w:p w14:paraId="64D24426" w14:textId="77777777" w:rsidR="002A4F0C" w:rsidRPr="002A4F0C" w:rsidRDefault="002A4F0C" w:rsidP="002A4F0C">
            <w:pPr>
              <w:spacing w:line="240" w:lineRule="auto"/>
              <w:rPr>
                <w:rFonts w:ascii="Arial" w:hAnsi="Arial"/>
                <w:szCs w:val="22"/>
              </w:rPr>
            </w:pPr>
            <w:r w:rsidRPr="002A4F0C">
              <w:rPr>
                <w:rFonts w:ascii="Arial" w:hAnsi="Arial"/>
                <w:szCs w:val="22"/>
              </w:rPr>
              <w:t>Rocca WA, Cha RH, Waring SC, Kokmen E (1998). Incidence of dementia and Alzheimer's Disease. A reanalysis of data from Rochester, Minnesota, 1975-1984. American Journal of Epidemiology, 148(1) pp 51-62.</w:t>
            </w:r>
          </w:p>
        </w:tc>
      </w:tr>
      <w:tr w:rsidR="002A4F0C" w:rsidRPr="002A4F0C" w14:paraId="722E9648" w14:textId="77777777" w:rsidTr="002A4F0C">
        <w:trPr>
          <w:cantSplit/>
        </w:trPr>
        <w:tc>
          <w:tcPr>
            <w:tcW w:w="1575" w:type="dxa"/>
            <w:shd w:val="clear" w:color="auto" w:fill="auto"/>
            <w:noWrap/>
            <w:vAlign w:val="center"/>
          </w:tcPr>
          <w:p w14:paraId="55BACCF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17523</w:t>
            </w:r>
          </w:p>
        </w:tc>
        <w:tc>
          <w:tcPr>
            <w:tcW w:w="7938" w:type="dxa"/>
            <w:shd w:val="clear" w:color="auto" w:fill="auto"/>
            <w:vAlign w:val="bottom"/>
          </w:tcPr>
          <w:p w14:paraId="7A56E225" w14:textId="77777777" w:rsidR="002A4F0C" w:rsidRPr="002A4F0C" w:rsidRDefault="002A4F0C" w:rsidP="002A4F0C">
            <w:pPr>
              <w:spacing w:line="240" w:lineRule="auto"/>
              <w:rPr>
                <w:rFonts w:ascii="Arial" w:hAnsi="Arial"/>
                <w:szCs w:val="22"/>
              </w:rPr>
            </w:pPr>
            <w:r w:rsidRPr="002A4F0C">
              <w:rPr>
                <w:rFonts w:ascii="Arial" w:hAnsi="Arial"/>
                <w:szCs w:val="22"/>
              </w:rPr>
              <w:t>Nemetz PN, Leibson C, Naessens JM, Beard M, Kokmen E, Annegers JF, &amp; Kurland LT. (1999). Traumatic brain injury and time to onset of Alzheimer's Disease: a population-based study. American Journal of Epidemiology, Vol 149 (1) pp 32-40.</w:t>
            </w:r>
          </w:p>
        </w:tc>
      </w:tr>
      <w:tr w:rsidR="002A4F0C" w:rsidRPr="002A4F0C" w14:paraId="7DF1D9E8" w14:textId="77777777" w:rsidTr="002A4F0C">
        <w:trPr>
          <w:cantSplit/>
        </w:trPr>
        <w:tc>
          <w:tcPr>
            <w:tcW w:w="1575" w:type="dxa"/>
            <w:shd w:val="clear" w:color="auto" w:fill="auto"/>
            <w:noWrap/>
            <w:vAlign w:val="center"/>
          </w:tcPr>
          <w:p w14:paraId="00483747"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17524</w:t>
            </w:r>
          </w:p>
        </w:tc>
        <w:tc>
          <w:tcPr>
            <w:tcW w:w="7938" w:type="dxa"/>
            <w:shd w:val="clear" w:color="auto" w:fill="auto"/>
            <w:vAlign w:val="bottom"/>
          </w:tcPr>
          <w:p w14:paraId="6D7D60A7" w14:textId="77777777" w:rsidR="002A4F0C" w:rsidRPr="002A4F0C" w:rsidRDefault="002A4F0C" w:rsidP="002A4F0C">
            <w:pPr>
              <w:spacing w:line="240" w:lineRule="auto"/>
              <w:rPr>
                <w:rFonts w:ascii="Arial" w:hAnsi="Arial"/>
                <w:szCs w:val="22"/>
              </w:rPr>
            </w:pPr>
            <w:r w:rsidRPr="002A4F0C">
              <w:rPr>
                <w:rFonts w:ascii="Arial" w:hAnsi="Arial"/>
                <w:szCs w:val="22"/>
              </w:rPr>
              <w:t>Reeves WC. (1998). Gulf war illness &amp; CFS - are they related? Http://www.cdc.gov/ncidod/diseases/cfs/hot_CFS_GWI.htm</w:t>
            </w:r>
          </w:p>
        </w:tc>
      </w:tr>
      <w:tr w:rsidR="002A4F0C" w:rsidRPr="002A4F0C" w14:paraId="00520DC2" w14:textId="77777777" w:rsidTr="002A4F0C">
        <w:trPr>
          <w:cantSplit/>
        </w:trPr>
        <w:tc>
          <w:tcPr>
            <w:tcW w:w="1575" w:type="dxa"/>
            <w:shd w:val="clear" w:color="auto" w:fill="auto"/>
            <w:noWrap/>
            <w:vAlign w:val="center"/>
          </w:tcPr>
          <w:p w14:paraId="42418F71"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17525</w:t>
            </w:r>
          </w:p>
        </w:tc>
        <w:tc>
          <w:tcPr>
            <w:tcW w:w="7938" w:type="dxa"/>
            <w:shd w:val="clear" w:color="auto" w:fill="auto"/>
            <w:vAlign w:val="bottom"/>
          </w:tcPr>
          <w:p w14:paraId="6828CD1F" w14:textId="77777777" w:rsidR="002A4F0C" w:rsidRPr="002A4F0C" w:rsidRDefault="002A4F0C" w:rsidP="002A4F0C">
            <w:pPr>
              <w:spacing w:line="240" w:lineRule="auto"/>
              <w:rPr>
                <w:rFonts w:ascii="Arial" w:hAnsi="Arial"/>
                <w:szCs w:val="22"/>
              </w:rPr>
            </w:pPr>
            <w:r w:rsidRPr="002A4F0C">
              <w:rPr>
                <w:rFonts w:ascii="Arial" w:hAnsi="Arial"/>
                <w:szCs w:val="22"/>
              </w:rPr>
              <w:t>Department of Veterans Affairs (US) (1998). VA research on Gulf War veterans' Health. Http://www.va.gov/pressrel/pgrsch98.htm</w:t>
            </w:r>
          </w:p>
        </w:tc>
      </w:tr>
      <w:tr w:rsidR="002A4F0C" w:rsidRPr="002A4F0C" w14:paraId="502FFD18" w14:textId="77777777" w:rsidTr="002A4F0C">
        <w:trPr>
          <w:cantSplit/>
        </w:trPr>
        <w:tc>
          <w:tcPr>
            <w:tcW w:w="1575" w:type="dxa"/>
            <w:shd w:val="clear" w:color="auto" w:fill="auto"/>
            <w:noWrap/>
            <w:vAlign w:val="center"/>
          </w:tcPr>
          <w:p w14:paraId="66E689B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17526</w:t>
            </w:r>
          </w:p>
        </w:tc>
        <w:tc>
          <w:tcPr>
            <w:tcW w:w="7938" w:type="dxa"/>
            <w:shd w:val="clear" w:color="auto" w:fill="auto"/>
            <w:vAlign w:val="bottom"/>
          </w:tcPr>
          <w:p w14:paraId="353F15B1" w14:textId="77777777" w:rsidR="002A4F0C" w:rsidRPr="002A4F0C" w:rsidRDefault="002A4F0C" w:rsidP="002A4F0C">
            <w:pPr>
              <w:spacing w:line="240" w:lineRule="auto"/>
              <w:rPr>
                <w:rFonts w:ascii="Arial" w:hAnsi="Arial"/>
                <w:szCs w:val="22"/>
              </w:rPr>
            </w:pPr>
            <w:r w:rsidRPr="002A4F0C">
              <w:rPr>
                <w:rFonts w:ascii="Arial" w:hAnsi="Arial"/>
                <w:szCs w:val="22"/>
              </w:rPr>
              <w:t>Gulf War Veterans: Measuring Health. National Academy Press, Gulf War Veterans (1999) Executive Summary. Http://zoom.nap.edu/nap-cgi/rezoom.cgi?isbn=0309065801&amp;page=1</w:t>
            </w:r>
          </w:p>
        </w:tc>
      </w:tr>
      <w:tr w:rsidR="002A4F0C" w:rsidRPr="002A4F0C" w14:paraId="5694765A" w14:textId="77777777" w:rsidTr="002A4F0C">
        <w:trPr>
          <w:cantSplit/>
        </w:trPr>
        <w:tc>
          <w:tcPr>
            <w:tcW w:w="1575" w:type="dxa"/>
            <w:shd w:val="clear" w:color="auto" w:fill="auto"/>
            <w:noWrap/>
            <w:vAlign w:val="center"/>
          </w:tcPr>
          <w:p w14:paraId="5C0D5AB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17527</w:t>
            </w:r>
          </w:p>
        </w:tc>
        <w:tc>
          <w:tcPr>
            <w:tcW w:w="7938" w:type="dxa"/>
            <w:shd w:val="clear" w:color="auto" w:fill="auto"/>
            <w:vAlign w:val="bottom"/>
          </w:tcPr>
          <w:p w14:paraId="075EB00C" w14:textId="77777777" w:rsidR="002A4F0C" w:rsidRPr="002A4F0C" w:rsidRDefault="002A4F0C" w:rsidP="002A4F0C">
            <w:pPr>
              <w:spacing w:line="240" w:lineRule="auto"/>
              <w:rPr>
                <w:rFonts w:ascii="Arial" w:hAnsi="Arial"/>
                <w:szCs w:val="22"/>
              </w:rPr>
            </w:pPr>
            <w:r w:rsidRPr="002A4F0C">
              <w:rPr>
                <w:rFonts w:ascii="Arial" w:hAnsi="Arial"/>
                <w:szCs w:val="22"/>
              </w:rPr>
              <w:t>Nerve agents. Lethal organo-phosphorus compounds inhibiting cholinesterase. Http://www.opcw.nl/chemhaz/nerve.htm</w:t>
            </w:r>
          </w:p>
        </w:tc>
      </w:tr>
      <w:tr w:rsidR="002A4F0C" w:rsidRPr="002A4F0C" w14:paraId="52C3DC6B" w14:textId="77777777" w:rsidTr="002A4F0C">
        <w:trPr>
          <w:cantSplit/>
        </w:trPr>
        <w:tc>
          <w:tcPr>
            <w:tcW w:w="1575" w:type="dxa"/>
            <w:shd w:val="clear" w:color="auto" w:fill="auto"/>
            <w:noWrap/>
            <w:vAlign w:val="center"/>
          </w:tcPr>
          <w:p w14:paraId="188D4B2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17528</w:t>
            </w:r>
          </w:p>
        </w:tc>
        <w:tc>
          <w:tcPr>
            <w:tcW w:w="7938" w:type="dxa"/>
            <w:shd w:val="clear" w:color="auto" w:fill="auto"/>
            <w:vAlign w:val="bottom"/>
          </w:tcPr>
          <w:p w14:paraId="7F895662" w14:textId="77777777" w:rsidR="002A4F0C" w:rsidRPr="002A4F0C" w:rsidRDefault="002A4F0C" w:rsidP="002A4F0C">
            <w:pPr>
              <w:spacing w:line="240" w:lineRule="auto"/>
              <w:rPr>
                <w:rFonts w:ascii="Arial" w:hAnsi="Arial"/>
                <w:szCs w:val="22"/>
              </w:rPr>
            </w:pPr>
            <w:r w:rsidRPr="002A4F0C">
              <w:rPr>
                <w:rFonts w:ascii="Arial" w:hAnsi="Arial"/>
                <w:szCs w:val="22"/>
              </w:rPr>
              <w:t>Office of Congressional &amp; government affairs. (1999). Va Research on Persian Gulf Veterans. Testimony. Http:www4.nationalacademie…</w:t>
            </w:r>
          </w:p>
        </w:tc>
      </w:tr>
      <w:tr w:rsidR="002A4F0C" w:rsidRPr="002A4F0C" w14:paraId="1FB18B7A" w14:textId="77777777" w:rsidTr="002A4F0C">
        <w:trPr>
          <w:cantSplit/>
        </w:trPr>
        <w:tc>
          <w:tcPr>
            <w:tcW w:w="1575" w:type="dxa"/>
            <w:shd w:val="clear" w:color="auto" w:fill="auto"/>
            <w:noWrap/>
            <w:vAlign w:val="center"/>
          </w:tcPr>
          <w:p w14:paraId="3EEBE79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17529</w:t>
            </w:r>
          </w:p>
        </w:tc>
        <w:tc>
          <w:tcPr>
            <w:tcW w:w="7938" w:type="dxa"/>
            <w:shd w:val="clear" w:color="auto" w:fill="auto"/>
            <w:vAlign w:val="bottom"/>
          </w:tcPr>
          <w:p w14:paraId="7B2042D9" w14:textId="77777777" w:rsidR="002A4F0C" w:rsidRPr="002A4F0C" w:rsidRDefault="002A4F0C" w:rsidP="002A4F0C">
            <w:pPr>
              <w:spacing w:line="240" w:lineRule="auto"/>
              <w:rPr>
                <w:rFonts w:ascii="Arial" w:hAnsi="Arial"/>
                <w:szCs w:val="22"/>
              </w:rPr>
            </w:pPr>
            <w:r w:rsidRPr="002A4F0C">
              <w:rPr>
                <w:rFonts w:ascii="Arial" w:hAnsi="Arial"/>
                <w:szCs w:val="22"/>
              </w:rPr>
              <w:t>Office of Congressional &amp; government affairs. (1998). Veterans Programs Enhancement Act of 1998. Public Laws. Http://www4.nationalacademie…</w:t>
            </w:r>
          </w:p>
        </w:tc>
      </w:tr>
      <w:tr w:rsidR="002A4F0C" w:rsidRPr="002A4F0C" w14:paraId="52112A53" w14:textId="77777777" w:rsidTr="002A4F0C">
        <w:trPr>
          <w:cantSplit/>
        </w:trPr>
        <w:tc>
          <w:tcPr>
            <w:tcW w:w="1575" w:type="dxa"/>
            <w:shd w:val="clear" w:color="auto" w:fill="auto"/>
            <w:noWrap/>
            <w:vAlign w:val="center"/>
          </w:tcPr>
          <w:p w14:paraId="7940788C"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17530</w:t>
            </w:r>
          </w:p>
        </w:tc>
        <w:tc>
          <w:tcPr>
            <w:tcW w:w="7938" w:type="dxa"/>
            <w:shd w:val="clear" w:color="auto" w:fill="auto"/>
            <w:vAlign w:val="bottom"/>
          </w:tcPr>
          <w:p w14:paraId="395D79A9" w14:textId="77777777" w:rsidR="002A4F0C" w:rsidRPr="002A4F0C" w:rsidRDefault="002A4F0C" w:rsidP="002A4F0C">
            <w:pPr>
              <w:spacing w:line="240" w:lineRule="auto"/>
              <w:rPr>
                <w:rFonts w:ascii="Arial" w:hAnsi="Arial"/>
                <w:szCs w:val="22"/>
              </w:rPr>
            </w:pPr>
            <w:r w:rsidRPr="002A4F0C">
              <w:rPr>
                <w:rFonts w:ascii="Arial" w:hAnsi="Arial"/>
                <w:szCs w:val="22"/>
              </w:rPr>
              <w:t>CDC. Persian Gulf War Study Fact Sheet - January 3, (1997). CDC Office of Communication. Http://www.cdc.gov/nceh/programs/veterans/pgw/pub/1997/pgw_fs.htm</w:t>
            </w:r>
          </w:p>
        </w:tc>
      </w:tr>
      <w:tr w:rsidR="002A4F0C" w:rsidRPr="002A4F0C" w14:paraId="3EE79CBF" w14:textId="77777777" w:rsidTr="002A4F0C">
        <w:trPr>
          <w:cantSplit/>
        </w:trPr>
        <w:tc>
          <w:tcPr>
            <w:tcW w:w="1575" w:type="dxa"/>
            <w:shd w:val="clear" w:color="auto" w:fill="auto"/>
            <w:noWrap/>
            <w:vAlign w:val="center"/>
          </w:tcPr>
          <w:p w14:paraId="77919B80"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17531</w:t>
            </w:r>
          </w:p>
        </w:tc>
        <w:tc>
          <w:tcPr>
            <w:tcW w:w="7938" w:type="dxa"/>
            <w:shd w:val="clear" w:color="auto" w:fill="auto"/>
            <w:vAlign w:val="bottom"/>
          </w:tcPr>
          <w:p w14:paraId="2807662D" w14:textId="77777777" w:rsidR="002A4F0C" w:rsidRPr="002A4F0C" w:rsidRDefault="002A4F0C" w:rsidP="002A4F0C">
            <w:pPr>
              <w:spacing w:line="240" w:lineRule="auto"/>
              <w:rPr>
                <w:rFonts w:ascii="Arial" w:hAnsi="Arial"/>
                <w:szCs w:val="22"/>
              </w:rPr>
            </w:pPr>
            <w:r w:rsidRPr="002A4F0C">
              <w:rPr>
                <w:rFonts w:ascii="Arial" w:hAnsi="Arial"/>
                <w:szCs w:val="22"/>
              </w:rPr>
              <w:t>CDC Media Relations: Facts about the Persian Gulf War Study, January 3 (1997). Http://www.cdc.gov/od/oc/media/fact/gulf.htm</w:t>
            </w:r>
          </w:p>
        </w:tc>
      </w:tr>
      <w:tr w:rsidR="002A4F0C" w:rsidRPr="002A4F0C" w14:paraId="248980FE" w14:textId="77777777" w:rsidTr="002A4F0C">
        <w:trPr>
          <w:cantSplit/>
        </w:trPr>
        <w:tc>
          <w:tcPr>
            <w:tcW w:w="1575" w:type="dxa"/>
            <w:shd w:val="clear" w:color="auto" w:fill="auto"/>
            <w:noWrap/>
            <w:vAlign w:val="center"/>
          </w:tcPr>
          <w:p w14:paraId="56752167"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17532</w:t>
            </w:r>
          </w:p>
        </w:tc>
        <w:tc>
          <w:tcPr>
            <w:tcW w:w="7938" w:type="dxa"/>
            <w:shd w:val="clear" w:color="auto" w:fill="auto"/>
            <w:vAlign w:val="bottom"/>
          </w:tcPr>
          <w:p w14:paraId="668F5A56" w14:textId="77777777" w:rsidR="002A4F0C" w:rsidRPr="002A4F0C" w:rsidRDefault="002A4F0C" w:rsidP="002A4F0C">
            <w:pPr>
              <w:spacing w:line="240" w:lineRule="auto"/>
              <w:rPr>
                <w:rFonts w:ascii="Arial" w:hAnsi="Arial"/>
                <w:szCs w:val="22"/>
              </w:rPr>
            </w:pPr>
            <w:r w:rsidRPr="002A4F0C">
              <w:rPr>
                <w:rFonts w:ascii="Arial" w:hAnsi="Arial"/>
                <w:szCs w:val="22"/>
              </w:rPr>
              <w:t>UK Ministry of Defence (1999). Gulf Veterans' Illnesses. .  Retrieved 5 October 1999, from http://www.mod.uk/policy/gulfwar/index.htm</w:t>
            </w:r>
          </w:p>
        </w:tc>
      </w:tr>
      <w:tr w:rsidR="002A4F0C" w:rsidRPr="002A4F0C" w14:paraId="0A32AF7A" w14:textId="77777777" w:rsidTr="002A4F0C">
        <w:trPr>
          <w:cantSplit/>
        </w:trPr>
        <w:tc>
          <w:tcPr>
            <w:tcW w:w="1575" w:type="dxa"/>
            <w:shd w:val="clear" w:color="auto" w:fill="auto"/>
            <w:noWrap/>
            <w:vAlign w:val="center"/>
          </w:tcPr>
          <w:p w14:paraId="4A264B6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17533</w:t>
            </w:r>
          </w:p>
        </w:tc>
        <w:tc>
          <w:tcPr>
            <w:tcW w:w="7938" w:type="dxa"/>
            <w:shd w:val="clear" w:color="auto" w:fill="auto"/>
            <w:vAlign w:val="bottom"/>
          </w:tcPr>
          <w:p w14:paraId="3A27213B" w14:textId="77777777" w:rsidR="002A4F0C" w:rsidRPr="002A4F0C" w:rsidRDefault="002A4F0C" w:rsidP="002A4F0C">
            <w:pPr>
              <w:spacing w:line="240" w:lineRule="auto"/>
              <w:rPr>
                <w:rFonts w:ascii="Arial" w:hAnsi="Arial"/>
                <w:szCs w:val="22"/>
              </w:rPr>
            </w:pPr>
            <w:r w:rsidRPr="002A4F0C">
              <w:rPr>
                <w:rFonts w:ascii="Arial" w:hAnsi="Arial"/>
                <w:szCs w:val="22"/>
              </w:rPr>
              <w:t>Oil well fires. (1998). Http://www.gulflink.osd.mil/library/rowl/</w:t>
            </w:r>
          </w:p>
        </w:tc>
      </w:tr>
      <w:tr w:rsidR="002A4F0C" w:rsidRPr="002A4F0C" w14:paraId="41C85636" w14:textId="77777777" w:rsidTr="002A4F0C">
        <w:trPr>
          <w:cantSplit/>
        </w:trPr>
        <w:tc>
          <w:tcPr>
            <w:tcW w:w="1575" w:type="dxa"/>
            <w:shd w:val="clear" w:color="auto" w:fill="auto"/>
            <w:noWrap/>
            <w:vAlign w:val="center"/>
          </w:tcPr>
          <w:p w14:paraId="55828308"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17534</w:t>
            </w:r>
          </w:p>
        </w:tc>
        <w:tc>
          <w:tcPr>
            <w:tcW w:w="7938" w:type="dxa"/>
            <w:shd w:val="clear" w:color="auto" w:fill="auto"/>
            <w:vAlign w:val="bottom"/>
          </w:tcPr>
          <w:p w14:paraId="0AE9AE17" w14:textId="77777777" w:rsidR="002A4F0C" w:rsidRPr="002A4F0C" w:rsidRDefault="002A4F0C" w:rsidP="002A4F0C">
            <w:pPr>
              <w:spacing w:line="240" w:lineRule="auto"/>
              <w:rPr>
                <w:rFonts w:ascii="Arial" w:hAnsi="Arial"/>
                <w:szCs w:val="22"/>
              </w:rPr>
            </w:pPr>
            <w:r w:rsidRPr="002A4F0C">
              <w:rPr>
                <w:rFonts w:ascii="Arial" w:hAnsi="Arial"/>
                <w:szCs w:val="22"/>
              </w:rPr>
              <w:t>Hyams KC, Wignall FS, Roswell R (1996). War syndromes and their evaluation: from the US Civil War to the Persian Gulf War. Annals of Internal Medicine, Vol 125 pp 398-405. Http://www.gulflink.osd.mil/medical/med_syndrome.htm</w:t>
            </w:r>
          </w:p>
        </w:tc>
      </w:tr>
      <w:tr w:rsidR="002A4F0C" w:rsidRPr="002A4F0C" w14:paraId="5C08EF8D" w14:textId="77777777" w:rsidTr="002A4F0C">
        <w:trPr>
          <w:cantSplit/>
        </w:trPr>
        <w:tc>
          <w:tcPr>
            <w:tcW w:w="1575" w:type="dxa"/>
            <w:shd w:val="clear" w:color="auto" w:fill="auto"/>
            <w:noWrap/>
            <w:vAlign w:val="center"/>
          </w:tcPr>
          <w:p w14:paraId="3DA035C0"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17535</w:t>
            </w:r>
          </w:p>
        </w:tc>
        <w:tc>
          <w:tcPr>
            <w:tcW w:w="7938" w:type="dxa"/>
            <w:shd w:val="clear" w:color="auto" w:fill="auto"/>
            <w:vAlign w:val="bottom"/>
          </w:tcPr>
          <w:p w14:paraId="463AE250" w14:textId="77777777" w:rsidR="002A4F0C" w:rsidRPr="002A4F0C" w:rsidRDefault="002A4F0C" w:rsidP="002A4F0C">
            <w:pPr>
              <w:spacing w:line="240" w:lineRule="auto"/>
              <w:rPr>
                <w:rFonts w:ascii="Arial" w:hAnsi="Arial"/>
                <w:szCs w:val="22"/>
              </w:rPr>
            </w:pPr>
            <w:r w:rsidRPr="002A4F0C">
              <w:rPr>
                <w:rFonts w:ascii="Arial" w:hAnsi="Arial"/>
                <w:szCs w:val="22"/>
              </w:rPr>
              <w:t>Depleted uranium fact sheet (1998). Http://www.gulflink.osd.mil/du/du_factsheet_4aug98.html</w:t>
            </w:r>
          </w:p>
        </w:tc>
      </w:tr>
      <w:tr w:rsidR="002A4F0C" w:rsidRPr="002A4F0C" w14:paraId="4595C476" w14:textId="77777777" w:rsidTr="002A4F0C">
        <w:trPr>
          <w:cantSplit/>
        </w:trPr>
        <w:tc>
          <w:tcPr>
            <w:tcW w:w="1575" w:type="dxa"/>
            <w:shd w:val="clear" w:color="auto" w:fill="auto"/>
            <w:noWrap/>
            <w:vAlign w:val="center"/>
          </w:tcPr>
          <w:p w14:paraId="5DDAE1E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17536</w:t>
            </w:r>
          </w:p>
        </w:tc>
        <w:tc>
          <w:tcPr>
            <w:tcW w:w="7938" w:type="dxa"/>
            <w:shd w:val="clear" w:color="auto" w:fill="auto"/>
            <w:vAlign w:val="bottom"/>
          </w:tcPr>
          <w:p w14:paraId="3119CB37" w14:textId="77777777" w:rsidR="002A4F0C" w:rsidRPr="002A4F0C" w:rsidRDefault="002A4F0C" w:rsidP="002A4F0C">
            <w:pPr>
              <w:spacing w:line="240" w:lineRule="auto"/>
              <w:rPr>
                <w:rFonts w:ascii="Arial" w:hAnsi="Arial"/>
                <w:szCs w:val="22"/>
              </w:rPr>
            </w:pPr>
            <w:r w:rsidRPr="002A4F0C">
              <w:rPr>
                <w:rFonts w:ascii="Arial" w:hAnsi="Arial"/>
                <w:szCs w:val="22"/>
              </w:rPr>
              <w:t>OSAGWI (1998). Environmental exposure report: depleted uranium in the Gulf. [report index only]. Http://www.gulflink.osd.mil/du/</w:t>
            </w:r>
          </w:p>
        </w:tc>
      </w:tr>
      <w:tr w:rsidR="002A4F0C" w:rsidRPr="002A4F0C" w14:paraId="00FBBC07" w14:textId="77777777" w:rsidTr="002A4F0C">
        <w:trPr>
          <w:cantSplit/>
        </w:trPr>
        <w:tc>
          <w:tcPr>
            <w:tcW w:w="1575" w:type="dxa"/>
            <w:shd w:val="clear" w:color="auto" w:fill="auto"/>
            <w:noWrap/>
            <w:vAlign w:val="center"/>
          </w:tcPr>
          <w:p w14:paraId="1D9EC7A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17537</w:t>
            </w:r>
          </w:p>
        </w:tc>
        <w:tc>
          <w:tcPr>
            <w:tcW w:w="7938" w:type="dxa"/>
            <w:shd w:val="clear" w:color="auto" w:fill="auto"/>
            <w:vAlign w:val="bottom"/>
          </w:tcPr>
          <w:p w14:paraId="6F5DEA8B" w14:textId="77777777" w:rsidR="002A4F0C" w:rsidRPr="002A4F0C" w:rsidRDefault="002A4F0C" w:rsidP="002A4F0C">
            <w:pPr>
              <w:spacing w:line="240" w:lineRule="auto"/>
              <w:rPr>
                <w:rFonts w:ascii="Arial" w:hAnsi="Arial"/>
                <w:szCs w:val="22"/>
              </w:rPr>
            </w:pPr>
            <w:r w:rsidRPr="002A4F0C">
              <w:rPr>
                <w:rFonts w:ascii="Arial" w:hAnsi="Arial"/>
                <w:szCs w:val="22"/>
              </w:rPr>
              <w:t>A guide to Gulf War Veterans' Health: 1998 Continuing Medical Education Program Independent Study: Release in March 1998 by Department of Veterans' Affairs, US.</w:t>
            </w:r>
          </w:p>
        </w:tc>
      </w:tr>
      <w:tr w:rsidR="002A4F0C" w:rsidRPr="002A4F0C" w14:paraId="4C843244" w14:textId="77777777" w:rsidTr="002A4F0C">
        <w:trPr>
          <w:cantSplit/>
        </w:trPr>
        <w:tc>
          <w:tcPr>
            <w:tcW w:w="1575" w:type="dxa"/>
            <w:shd w:val="clear" w:color="auto" w:fill="auto"/>
            <w:noWrap/>
            <w:vAlign w:val="center"/>
          </w:tcPr>
          <w:p w14:paraId="546910D0"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17548</w:t>
            </w:r>
          </w:p>
        </w:tc>
        <w:tc>
          <w:tcPr>
            <w:tcW w:w="7938" w:type="dxa"/>
            <w:shd w:val="clear" w:color="auto" w:fill="auto"/>
            <w:vAlign w:val="bottom"/>
          </w:tcPr>
          <w:p w14:paraId="5DB6E536" w14:textId="77777777" w:rsidR="002A4F0C" w:rsidRPr="002A4F0C" w:rsidRDefault="002A4F0C" w:rsidP="002A4F0C">
            <w:pPr>
              <w:spacing w:line="240" w:lineRule="auto"/>
              <w:rPr>
                <w:rFonts w:ascii="Arial" w:hAnsi="Arial"/>
                <w:szCs w:val="22"/>
              </w:rPr>
            </w:pPr>
            <w:r w:rsidRPr="002A4F0C">
              <w:rPr>
                <w:rFonts w:ascii="Arial" w:hAnsi="Arial"/>
                <w:szCs w:val="22"/>
              </w:rPr>
              <w:t>VA establishes new Advisory Committee on Gulf War Illnesses. Http://www.gulflink.osd.mil/news/na_va_committee_9sep99.html</w:t>
            </w:r>
          </w:p>
        </w:tc>
      </w:tr>
      <w:tr w:rsidR="002A4F0C" w:rsidRPr="002A4F0C" w14:paraId="2A026AAC" w14:textId="77777777" w:rsidTr="002A4F0C">
        <w:trPr>
          <w:cantSplit/>
        </w:trPr>
        <w:tc>
          <w:tcPr>
            <w:tcW w:w="1575" w:type="dxa"/>
            <w:shd w:val="clear" w:color="auto" w:fill="auto"/>
            <w:noWrap/>
            <w:vAlign w:val="center"/>
          </w:tcPr>
          <w:p w14:paraId="068938E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17549</w:t>
            </w:r>
          </w:p>
        </w:tc>
        <w:tc>
          <w:tcPr>
            <w:tcW w:w="7938" w:type="dxa"/>
            <w:shd w:val="clear" w:color="auto" w:fill="auto"/>
            <w:vAlign w:val="bottom"/>
          </w:tcPr>
          <w:p w14:paraId="595842AA" w14:textId="77777777" w:rsidR="002A4F0C" w:rsidRPr="002A4F0C" w:rsidRDefault="002A4F0C" w:rsidP="002A4F0C">
            <w:pPr>
              <w:spacing w:line="240" w:lineRule="auto"/>
              <w:rPr>
                <w:rFonts w:ascii="Arial" w:hAnsi="Arial"/>
                <w:szCs w:val="22"/>
              </w:rPr>
            </w:pPr>
            <w:r w:rsidRPr="002A4F0C">
              <w:rPr>
                <w:rFonts w:ascii="Arial" w:hAnsi="Arial"/>
                <w:szCs w:val="22"/>
              </w:rPr>
              <w:t>Remarks by Dr.Bernard Rostker. Special Assistant to the Deputy Secretary of Defense for Gulf War Illnesses prepared for American Legion National Convention, National Veterans Affairs &amp; Rehabilitation Commission Meeting, September 4, 1999. Http://www.gulflink.osd.mil/spch_amlegion_4sep99.html</w:t>
            </w:r>
          </w:p>
        </w:tc>
      </w:tr>
      <w:tr w:rsidR="002A4F0C" w:rsidRPr="002A4F0C" w14:paraId="159CD644" w14:textId="77777777" w:rsidTr="002A4F0C">
        <w:trPr>
          <w:cantSplit/>
        </w:trPr>
        <w:tc>
          <w:tcPr>
            <w:tcW w:w="1575" w:type="dxa"/>
            <w:shd w:val="clear" w:color="auto" w:fill="auto"/>
            <w:noWrap/>
            <w:vAlign w:val="center"/>
          </w:tcPr>
          <w:p w14:paraId="39C3061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17550</w:t>
            </w:r>
          </w:p>
        </w:tc>
        <w:tc>
          <w:tcPr>
            <w:tcW w:w="7938" w:type="dxa"/>
            <w:shd w:val="clear" w:color="auto" w:fill="auto"/>
            <w:vAlign w:val="bottom"/>
          </w:tcPr>
          <w:p w14:paraId="09CCEC95" w14:textId="77777777" w:rsidR="002A4F0C" w:rsidRPr="002A4F0C" w:rsidRDefault="002A4F0C" w:rsidP="002A4F0C">
            <w:pPr>
              <w:spacing w:line="240" w:lineRule="auto"/>
              <w:rPr>
                <w:rFonts w:ascii="Arial" w:hAnsi="Arial"/>
                <w:szCs w:val="22"/>
              </w:rPr>
            </w:pPr>
            <w:r w:rsidRPr="002A4F0C">
              <w:rPr>
                <w:rFonts w:ascii="Arial" w:hAnsi="Arial"/>
                <w:szCs w:val="22"/>
              </w:rPr>
              <w:t>Special Oversight Board for Department of Defense Investigations of Gulf War Chemical &amp; Biological Incidents. Interim Report.(1998)</w:t>
            </w:r>
          </w:p>
        </w:tc>
      </w:tr>
      <w:tr w:rsidR="002A4F0C" w:rsidRPr="002A4F0C" w14:paraId="6D09281D" w14:textId="77777777" w:rsidTr="002A4F0C">
        <w:trPr>
          <w:cantSplit/>
        </w:trPr>
        <w:tc>
          <w:tcPr>
            <w:tcW w:w="1575" w:type="dxa"/>
            <w:shd w:val="clear" w:color="auto" w:fill="auto"/>
            <w:noWrap/>
            <w:vAlign w:val="center"/>
          </w:tcPr>
          <w:p w14:paraId="3CD4A2C7"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17551</w:t>
            </w:r>
          </w:p>
        </w:tc>
        <w:tc>
          <w:tcPr>
            <w:tcW w:w="7938" w:type="dxa"/>
            <w:shd w:val="clear" w:color="auto" w:fill="auto"/>
            <w:vAlign w:val="bottom"/>
          </w:tcPr>
          <w:p w14:paraId="44758F59" w14:textId="77777777" w:rsidR="002A4F0C" w:rsidRPr="002A4F0C" w:rsidRDefault="002A4F0C" w:rsidP="002A4F0C">
            <w:pPr>
              <w:spacing w:line="240" w:lineRule="auto"/>
              <w:rPr>
                <w:rFonts w:ascii="Arial" w:hAnsi="Arial"/>
                <w:szCs w:val="22"/>
              </w:rPr>
            </w:pPr>
            <w:r w:rsidRPr="002A4F0C">
              <w:rPr>
                <w:rFonts w:ascii="Arial" w:hAnsi="Arial"/>
                <w:szCs w:val="22"/>
              </w:rPr>
              <w:t>Extracts from Public Law (1999)105-368 105th Congress An Act To…</w:t>
            </w:r>
          </w:p>
        </w:tc>
      </w:tr>
      <w:tr w:rsidR="002A4F0C" w:rsidRPr="002A4F0C" w14:paraId="01C5F8D9" w14:textId="77777777" w:rsidTr="002A4F0C">
        <w:trPr>
          <w:cantSplit/>
        </w:trPr>
        <w:tc>
          <w:tcPr>
            <w:tcW w:w="1575" w:type="dxa"/>
            <w:shd w:val="clear" w:color="auto" w:fill="auto"/>
            <w:noWrap/>
            <w:vAlign w:val="center"/>
          </w:tcPr>
          <w:p w14:paraId="1354D820" w14:textId="77777777" w:rsidR="002A4F0C" w:rsidRPr="002A4F0C" w:rsidRDefault="002A4F0C" w:rsidP="002A4F0C">
            <w:pPr>
              <w:spacing w:line="240" w:lineRule="auto"/>
              <w:jc w:val="center"/>
              <w:rPr>
                <w:rFonts w:ascii="Arial" w:hAnsi="Arial"/>
                <w:szCs w:val="22"/>
              </w:rPr>
            </w:pPr>
            <w:r w:rsidRPr="002A4F0C">
              <w:rPr>
                <w:rFonts w:ascii="Arial" w:hAnsi="Arial"/>
                <w:szCs w:val="22"/>
              </w:rPr>
              <w:t>17552</w:t>
            </w:r>
          </w:p>
        </w:tc>
        <w:tc>
          <w:tcPr>
            <w:tcW w:w="7938" w:type="dxa"/>
            <w:shd w:val="clear" w:color="auto" w:fill="auto"/>
            <w:vAlign w:val="bottom"/>
          </w:tcPr>
          <w:p w14:paraId="38F3F335" w14:textId="77777777" w:rsidR="002A4F0C" w:rsidRPr="002A4F0C" w:rsidRDefault="002A4F0C" w:rsidP="002A4F0C">
            <w:pPr>
              <w:spacing w:line="240" w:lineRule="auto"/>
              <w:rPr>
                <w:rFonts w:ascii="Arial" w:hAnsi="Arial"/>
                <w:szCs w:val="22"/>
              </w:rPr>
            </w:pPr>
            <w:r w:rsidRPr="002A4F0C">
              <w:rPr>
                <w:rFonts w:ascii="Arial" w:hAnsi="Arial"/>
                <w:szCs w:val="22"/>
              </w:rPr>
              <w:t>Extracts from interviews for Special Oversight Board for Department of Defense.</w:t>
            </w:r>
          </w:p>
        </w:tc>
      </w:tr>
      <w:tr w:rsidR="002A4F0C" w:rsidRPr="002A4F0C" w14:paraId="4F80D8BD" w14:textId="77777777" w:rsidTr="002A4F0C">
        <w:trPr>
          <w:cantSplit/>
        </w:trPr>
        <w:tc>
          <w:tcPr>
            <w:tcW w:w="1575" w:type="dxa"/>
            <w:shd w:val="clear" w:color="auto" w:fill="auto"/>
            <w:noWrap/>
            <w:vAlign w:val="center"/>
          </w:tcPr>
          <w:p w14:paraId="22E83FF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17614</w:t>
            </w:r>
          </w:p>
        </w:tc>
        <w:tc>
          <w:tcPr>
            <w:tcW w:w="7938" w:type="dxa"/>
            <w:shd w:val="clear" w:color="auto" w:fill="auto"/>
            <w:vAlign w:val="bottom"/>
          </w:tcPr>
          <w:p w14:paraId="42EB1491" w14:textId="77777777" w:rsidR="002A4F0C" w:rsidRPr="002A4F0C" w:rsidRDefault="002A4F0C" w:rsidP="002A4F0C">
            <w:pPr>
              <w:spacing w:line="240" w:lineRule="auto"/>
              <w:rPr>
                <w:rFonts w:ascii="Arial" w:hAnsi="Arial"/>
                <w:szCs w:val="22"/>
              </w:rPr>
            </w:pPr>
            <w:r w:rsidRPr="002A4F0C">
              <w:rPr>
                <w:rFonts w:ascii="Arial" w:hAnsi="Arial"/>
                <w:szCs w:val="22"/>
              </w:rPr>
              <w:t>Pierce PF (1997). Physical and emotional health of Gulf War veteran women. Aviation, Space, and, Environmental Medicine, 68(4): 317-21.</w:t>
            </w:r>
          </w:p>
        </w:tc>
      </w:tr>
      <w:tr w:rsidR="002A4F0C" w:rsidRPr="002A4F0C" w14:paraId="3B8986CA" w14:textId="77777777" w:rsidTr="002A4F0C">
        <w:trPr>
          <w:cantSplit/>
        </w:trPr>
        <w:tc>
          <w:tcPr>
            <w:tcW w:w="1575" w:type="dxa"/>
            <w:shd w:val="clear" w:color="auto" w:fill="auto"/>
            <w:noWrap/>
            <w:vAlign w:val="center"/>
          </w:tcPr>
          <w:p w14:paraId="1D07B13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17671</w:t>
            </w:r>
          </w:p>
        </w:tc>
        <w:tc>
          <w:tcPr>
            <w:tcW w:w="7938" w:type="dxa"/>
            <w:shd w:val="clear" w:color="auto" w:fill="auto"/>
            <w:vAlign w:val="bottom"/>
          </w:tcPr>
          <w:p w14:paraId="4B273E30" w14:textId="77777777" w:rsidR="002A4F0C" w:rsidRPr="002A4F0C" w:rsidRDefault="002A4F0C" w:rsidP="002A4F0C">
            <w:pPr>
              <w:spacing w:line="240" w:lineRule="auto"/>
              <w:rPr>
                <w:rFonts w:ascii="Arial" w:hAnsi="Arial"/>
                <w:szCs w:val="22"/>
              </w:rPr>
            </w:pPr>
            <w:r w:rsidRPr="002A4F0C">
              <w:rPr>
                <w:rFonts w:ascii="Arial" w:hAnsi="Arial"/>
                <w:szCs w:val="22"/>
              </w:rPr>
              <w:t>Canada Department of National Defence, Gulf War Illness Advisory Committee (1998). Health Study of Canadian Forces Personnel Involved in the 1991 Conflict in the Persian Gulf. .,  Volume 1. Goss Gilroy Inc. Ottawa, Canada.</w:t>
            </w:r>
          </w:p>
        </w:tc>
      </w:tr>
      <w:tr w:rsidR="002A4F0C" w:rsidRPr="002A4F0C" w14:paraId="3D25AD9A" w14:textId="77777777" w:rsidTr="002A4F0C">
        <w:trPr>
          <w:cantSplit/>
        </w:trPr>
        <w:tc>
          <w:tcPr>
            <w:tcW w:w="1575" w:type="dxa"/>
            <w:shd w:val="clear" w:color="auto" w:fill="auto"/>
            <w:noWrap/>
            <w:vAlign w:val="center"/>
          </w:tcPr>
          <w:p w14:paraId="2604B49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17673</w:t>
            </w:r>
          </w:p>
        </w:tc>
        <w:tc>
          <w:tcPr>
            <w:tcW w:w="7938" w:type="dxa"/>
            <w:shd w:val="clear" w:color="auto" w:fill="auto"/>
            <w:vAlign w:val="bottom"/>
          </w:tcPr>
          <w:p w14:paraId="1D901FEE" w14:textId="77777777" w:rsidR="002A4F0C" w:rsidRPr="002A4F0C" w:rsidRDefault="002A4F0C" w:rsidP="002A4F0C">
            <w:pPr>
              <w:spacing w:line="240" w:lineRule="auto"/>
              <w:rPr>
                <w:rFonts w:ascii="Arial" w:hAnsi="Arial"/>
                <w:szCs w:val="22"/>
              </w:rPr>
            </w:pPr>
            <w:r w:rsidRPr="002A4F0C">
              <w:rPr>
                <w:rFonts w:ascii="Arial" w:hAnsi="Arial"/>
                <w:szCs w:val="22"/>
              </w:rPr>
              <w:t>Health Survey of military personnel by King's College, London (1999).</w:t>
            </w:r>
          </w:p>
        </w:tc>
      </w:tr>
      <w:tr w:rsidR="002A4F0C" w:rsidRPr="002A4F0C" w14:paraId="00D5D28F" w14:textId="77777777" w:rsidTr="002A4F0C">
        <w:trPr>
          <w:cantSplit/>
        </w:trPr>
        <w:tc>
          <w:tcPr>
            <w:tcW w:w="1575" w:type="dxa"/>
            <w:shd w:val="clear" w:color="auto" w:fill="auto"/>
            <w:noWrap/>
            <w:vAlign w:val="center"/>
          </w:tcPr>
          <w:p w14:paraId="6981B300"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17674</w:t>
            </w:r>
          </w:p>
        </w:tc>
        <w:tc>
          <w:tcPr>
            <w:tcW w:w="7938" w:type="dxa"/>
            <w:shd w:val="clear" w:color="auto" w:fill="auto"/>
            <w:vAlign w:val="bottom"/>
          </w:tcPr>
          <w:p w14:paraId="2FBD00D6" w14:textId="77777777" w:rsidR="002A4F0C" w:rsidRPr="002A4F0C" w:rsidRDefault="002A4F0C" w:rsidP="002A4F0C">
            <w:pPr>
              <w:spacing w:line="240" w:lineRule="auto"/>
              <w:rPr>
                <w:rFonts w:ascii="Arial" w:hAnsi="Arial"/>
                <w:szCs w:val="22"/>
              </w:rPr>
            </w:pPr>
            <w:r w:rsidRPr="002A4F0C">
              <w:rPr>
                <w:rFonts w:ascii="Arial" w:hAnsi="Arial"/>
                <w:szCs w:val="22"/>
              </w:rPr>
              <w:t>Robb N. (1998). New clinics will help soldiers deal after effects of overseas service. Canadian Medical Association Journal, Vol 159 p 168. Www.mdmanagement.ca/cmaj/vol-159/issue….</w:t>
            </w:r>
          </w:p>
        </w:tc>
      </w:tr>
      <w:tr w:rsidR="002A4F0C" w:rsidRPr="002A4F0C" w14:paraId="54A5A549" w14:textId="77777777" w:rsidTr="002A4F0C">
        <w:trPr>
          <w:cantSplit/>
        </w:trPr>
        <w:tc>
          <w:tcPr>
            <w:tcW w:w="1575" w:type="dxa"/>
            <w:shd w:val="clear" w:color="auto" w:fill="auto"/>
            <w:noWrap/>
            <w:vAlign w:val="center"/>
          </w:tcPr>
          <w:p w14:paraId="25FB6FFF"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17675</w:t>
            </w:r>
          </w:p>
        </w:tc>
        <w:tc>
          <w:tcPr>
            <w:tcW w:w="7938" w:type="dxa"/>
            <w:shd w:val="clear" w:color="auto" w:fill="auto"/>
            <w:vAlign w:val="bottom"/>
          </w:tcPr>
          <w:p w14:paraId="3A045E62" w14:textId="77777777" w:rsidR="002A4F0C" w:rsidRPr="002A4F0C" w:rsidRDefault="002A4F0C" w:rsidP="002A4F0C">
            <w:pPr>
              <w:spacing w:line="240" w:lineRule="auto"/>
              <w:rPr>
                <w:rFonts w:ascii="Arial" w:hAnsi="Arial"/>
                <w:szCs w:val="22"/>
              </w:rPr>
            </w:pPr>
            <w:r w:rsidRPr="002A4F0C">
              <w:rPr>
                <w:rFonts w:ascii="Arial" w:hAnsi="Arial"/>
                <w:szCs w:val="22"/>
              </w:rPr>
              <w:t>Kaires P (1999). Canada's Gulf war veterans. Canadian Medical Association Journal, Vol 160 p 1126. Www.mdmanagement.ca/cmaj/vol-160/issue-8/1126a.htm</w:t>
            </w:r>
          </w:p>
        </w:tc>
      </w:tr>
      <w:tr w:rsidR="002A4F0C" w:rsidRPr="002A4F0C" w14:paraId="1E954877" w14:textId="77777777" w:rsidTr="002A4F0C">
        <w:trPr>
          <w:cantSplit/>
        </w:trPr>
        <w:tc>
          <w:tcPr>
            <w:tcW w:w="1575" w:type="dxa"/>
            <w:shd w:val="clear" w:color="auto" w:fill="auto"/>
            <w:noWrap/>
            <w:vAlign w:val="center"/>
          </w:tcPr>
          <w:p w14:paraId="71C2D53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17676</w:t>
            </w:r>
          </w:p>
        </w:tc>
        <w:tc>
          <w:tcPr>
            <w:tcW w:w="7938" w:type="dxa"/>
            <w:shd w:val="clear" w:color="auto" w:fill="auto"/>
            <w:vAlign w:val="bottom"/>
          </w:tcPr>
          <w:p w14:paraId="5A7A3D7A" w14:textId="77777777" w:rsidR="002A4F0C" w:rsidRPr="002A4F0C" w:rsidRDefault="002A4F0C" w:rsidP="002A4F0C">
            <w:pPr>
              <w:spacing w:line="240" w:lineRule="auto"/>
              <w:rPr>
                <w:rFonts w:ascii="Arial" w:hAnsi="Arial"/>
                <w:szCs w:val="22"/>
              </w:rPr>
            </w:pPr>
            <w:r w:rsidRPr="002A4F0C">
              <w:rPr>
                <w:rFonts w:ascii="Arial" w:hAnsi="Arial"/>
                <w:szCs w:val="22"/>
              </w:rPr>
              <w:t>Canada's Military Legacy: Ceasefire. Www.dnd.ca/menu/legacy/gulf_cease_e.htm</w:t>
            </w:r>
          </w:p>
        </w:tc>
      </w:tr>
      <w:tr w:rsidR="002A4F0C" w:rsidRPr="002A4F0C" w14:paraId="79DF7419" w14:textId="77777777" w:rsidTr="002A4F0C">
        <w:trPr>
          <w:cantSplit/>
        </w:trPr>
        <w:tc>
          <w:tcPr>
            <w:tcW w:w="1575" w:type="dxa"/>
            <w:shd w:val="clear" w:color="auto" w:fill="auto"/>
            <w:noWrap/>
            <w:vAlign w:val="center"/>
          </w:tcPr>
          <w:p w14:paraId="6009BA38"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17677</w:t>
            </w:r>
          </w:p>
        </w:tc>
        <w:tc>
          <w:tcPr>
            <w:tcW w:w="7938" w:type="dxa"/>
            <w:shd w:val="clear" w:color="auto" w:fill="auto"/>
            <w:vAlign w:val="bottom"/>
          </w:tcPr>
          <w:p w14:paraId="7039F100" w14:textId="77777777" w:rsidR="002A4F0C" w:rsidRPr="002A4F0C" w:rsidRDefault="002A4F0C" w:rsidP="002A4F0C">
            <w:pPr>
              <w:spacing w:line="240" w:lineRule="auto"/>
              <w:rPr>
                <w:rFonts w:ascii="Arial" w:hAnsi="Arial"/>
                <w:szCs w:val="22"/>
              </w:rPr>
            </w:pPr>
            <w:r w:rsidRPr="002A4F0C">
              <w:rPr>
                <w:rFonts w:ascii="Arial" w:hAnsi="Arial"/>
                <w:szCs w:val="22"/>
              </w:rPr>
              <w:t>Background to the use of medical countermeasures to protect British forces during Gulf war (Operation Granby) (1999). U.K. Ministry of Defence. Www.mod.uk/policy/gulfwar/info/mcm.htm</w:t>
            </w:r>
          </w:p>
        </w:tc>
      </w:tr>
      <w:tr w:rsidR="002A4F0C" w:rsidRPr="002A4F0C" w14:paraId="5EDD898F" w14:textId="77777777" w:rsidTr="002A4F0C">
        <w:trPr>
          <w:cantSplit/>
        </w:trPr>
        <w:tc>
          <w:tcPr>
            <w:tcW w:w="1575" w:type="dxa"/>
            <w:shd w:val="clear" w:color="auto" w:fill="auto"/>
            <w:noWrap/>
            <w:vAlign w:val="center"/>
          </w:tcPr>
          <w:p w14:paraId="0C75E0E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17678</w:t>
            </w:r>
          </w:p>
        </w:tc>
        <w:tc>
          <w:tcPr>
            <w:tcW w:w="7938" w:type="dxa"/>
            <w:shd w:val="clear" w:color="auto" w:fill="auto"/>
            <w:vAlign w:val="bottom"/>
          </w:tcPr>
          <w:p w14:paraId="21413D68" w14:textId="77777777" w:rsidR="002A4F0C" w:rsidRPr="002A4F0C" w:rsidRDefault="002A4F0C" w:rsidP="002A4F0C">
            <w:pPr>
              <w:spacing w:line="240" w:lineRule="auto"/>
              <w:rPr>
                <w:rFonts w:ascii="Arial" w:hAnsi="Arial"/>
                <w:szCs w:val="22"/>
              </w:rPr>
            </w:pPr>
            <w:r w:rsidRPr="002A4F0C">
              <w:rPr>
                <w:rFonts w:ascii="Arial" w:hAnsi="Arial"/>
                <w:szCs w:val="22"/>
              </w:rPr>
              <w:t>MOD research into Gulf war veterans' illnesses. (1999). Www.mod.uk/policy/research/research.htm</w:t>
            </w:r>
          </w:p>
        </w:tc>
      </w:tr>
      <w:tr w:rsidR="002A4F0C" w:rsidRPr="002A4F0C" w14:paraId="77DF75F2" w14:textId="77777777" w:rsidTr="002A4F0C">
        <w:trPr>
          <w:cantSplit/>
        </w:trPr>
        <w:tc>
          <w:tcPr>
            <w:tcW w:w="1575" w:type="dxa"/>
            <w:shd w:val="clear" w:color="auto" w:fill="auto"/>
            <w:noWrap/>
            <w:vAlign w:val="center"/>
          </w:tcPr>
          <w:p w14:paraId="73F3176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17679</w:t>
            </w:r>
          </w:p>
        </w:tc>
        <w:tc>
          <w:tcPr>
            <w:tcW w:w="7938" w:type="dxa"/>
            <w:shd w:val="clear" w:color="auto" w:fill="auto"/>
            <w:vAlign w:val="bottom"/>
          </w:tcPr>
          <w:p w14:paraId="4FD6A0B1" w14:textId="77777777" w:rsidR="002A4F0C" w:rsidRPr="002A4F0C" w:rsidRDefault="002A4F0C" w:rsidP="002A4F0C">
            <w:pPr>
              <w:spacing w:line="240" w:lineRule="auto"/>
              <w:rPr>
                <w:rFonts w:ascii="Arial" w:hAnsi="Arial"/>
                <w:szCs w:val="22"/>
              </w:rPr>
            </w:pPr>
            <w:r w:rsidRPr="002A4F0C">
              <w:rPr>
                <w:rFonts w:ascii="Arial" w:hAnsi="Arial"/>
                <w:szCs w:val="22"/>
              </w:rPr>
              <w:t>Systematic literature review. (1999). Www.mod.uk/policy/gulfwar/research/literatu.htm</w:t>
            </w:r>
          </w:p>
        </w:tc>
      </w:tr>
      <w:tr w:rsidR="002A4F0C" w:rsidRPr="002A4F0C" w14:paraId="56CE0078" w14:textId="77777777" w:rsidTr="002A4F0C">
        <w:trPr>
          <w:cantSplit/>
        </w:trPr>
        <w:tc>
          <w:tcPr>
            <w:tcW w:w="1575" w:type="dxa"/>
            <w:shd w:val="clear" w:color="auto" w:fill="auto"/>
            <w:noWrap/>
            <w:vAlign w:val="center"/>
          </w:tcPr>
          <w:p w14:paraId="52BCC85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17680</w:t>
            </w:r>
          </w:p>
        </w:tc>
        <w:tc>
          <w:tcPr>
            <w:tcW w:w="7938" w:type="dxa"/>
            <w:shd w:val="clear" w:color="auto" w:fill="auto"/>
            <w:vAlign w:val="bottom"/>
          </w:tcPr>
          <w:p w14:paraId="2F5E7C29" w14:textId="77777777" w:rsidR="002A4F0C" w:rsidRPr="002A4F0C" w:rsidRDefault="002A4F0C" w:rsidP="002A4F0C">
            <w:pPr>
              <w:spacing w:line="240" w:lineRule="auto"/>
              <w:rPr>
                <w:rFonts w:ascii="Arial" w:hAnsi="Arial"/>
                <w:szCs w:val="22"/>
              </w:rPr>
            </w:pPr>
            <w:r w:rsidRPr="002A4F0C">
              <w:rPr>
                <w:rFonts w:ascii="Arial" w:hAnsi="Arial"/>
                <w:szCs w:val="22"/>
              </w:rPr>
              <w:t>Neuromuscular symptoms study. (1999). Www.mod.uk/policy/gulfwar/research/neuromus.htm</w:t>
            </w:r>
          </w:p>
        </w:tc>
      </w:tr>
      <w:tr w:rsidR="002A4F0C" w:rsidRPr="002A4F0C" w14:paraId="65B3657E" w14:textId="77777777" w:rsidTr="002A4F0C">
        <w:trPr>
          <w:cantSplit/>
        </w:trPr>
        <w:tc>
          <w:tcPr>
            <w:tcW w:w="1575" w:type="dxa"/>
            <w:shd w:val="clear" w:color="auto" w:fill="auto"/>
            <w:noWrap/>
            <w:vAlign w:val="center"/>
          </w:tcPr>
          <w:p w14:paraId="37F4D1B0"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17681</w:t>
            </w:r>
          </w:p>
        </w:tc>
        <w:tc>
          <w:tcPr>
            <w:tcW w:w="7938" w:type="dxa"/>
            <w:shd w:val="clear" w:color="auto" w:fill="auto"/>
            <w:vAlign w:val="bottom"/>
          </w:tcPr>
          <w:p w14:paraId="461D1B76" w14:textId="77777777" w:rsidR="002A4F0C" w:rsidRPr="002A4F0C" w:rsidRDefault="002A4F0C" w:rsidP="002A4F0C">
            <w:pPr>
              <w:spacing w:line="240" w:lineRule="auto"/>
              <w:rPr>
                <w:rFonts w:ascii="Arial" w:hAnsi="Arial"/>
                <w:szCs w:val="22"/>
              </w:rPr>
            </w:pPr>
            <w:r w:rsidRPr="002A4F0C">
              <w:rPr>
                <w:rFonts w:ascii="Arial" w:hAnsi="Arial"/>
                <w:szCs w:val="22"/>
              </w:rPr>
              <w:t>MOD Research (1999). Interactions Research: Outline find. Consequences of multiple vaccination with pyridosti pretreatment in the guinea pig - a multi parameters. Biomedical Sciences Dept, CBD Porton Down, Salisbury, UK. .  Retrieved 22 November 1999, from http://www.mod.uk/policy/gulfwar/research/findings.htm</w:t>
            </w:r>
          </w:p>
        </w:tc>
      </w:tr>
      <w:tr w:rsidR="002A4F0C" w:rsidRPr="002A4F0C" w14:paraId="143BFF73" w14:textId="77777777" w:rsidTr="002A4F0C">
        <w:trPr>
          <w:cantSplit/>
        </w:trPr>
        <w:tc>
          <w:tcPr>
            <w:tcW w:w="1575" w:type="dxa"/>
            <w:shd w:val="clear" w:color="auto" w:fill="auto"/>
            <w:noWrap/>
            <w:vAlign w:val="center"/>
          </w:tcPr>
          <w:p w14:paraId="2E4974A2"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17682</w:t>
            </w:r>
          </w:p>
        </w:tc>
        <w:tc>
          <w:tcPr>
            <w:tcW w:w="7938" w:type="dxa"/>
            <w:shd w:val="clear" w:color="auto" w:fill="auto"/>
            <w:vAlign w:val="bottom"/>
          </w:tcPr>
          <w:p w14:paraId="530C26DE" w14:textId="77777777" w:rsidR="002A4F0C" w:rsidRPr="002A4F0C" w:rsidRDefault="002A4F0C" w:rsidP="002A4F0C">
            <w:pPr>
              <w:spacing w:line="240" w:lineRule="auto"/>
              <w:rPr>
                <w:rFonts w:ascii="Arial" w:hAnsi="Arial"/>
                <w:szCs w:val="22"/>
              </w:rPr>
            </w:pPr>
            <w:r w:rsidRPr="002A4F0C">
              <w:rPr>
                <w:rFonts w:ascii="Arial" w:hAnsi="Arial"/>
                <w:szCs w:val="22"/>
              </w:rPr>
              <w:t>UK Ministry of Defence (1999). Interactions Research. .  Retrieved 22 November 1999, from Www.mod.uk/policy/gulfwar/research/interact.htm</w:t>
            </w:r>
          </w:p>
        </w:tc>
      </w:tr>
      <w:tr w:rsidR="002A4F0C" w:rsidRPr="002A4F0C" w14:paraId="158CC558" w14:textId="77777777" w:rsidTr="002A4F0C">
        <w:trPr>
          <w:cantSplit/>
        </w:trPr>
        <w:tc>
          <w:tcPr>
            <w:tcW w:w="1575" w:type="dxa"/>
            <w:shd w:val="clear" w:color="auto" w:fill="auto"/>
            <w:noWrap/>
            <w:vAlign w:val="center"/>
          </w:tcPr>
          <w:p w14:paraId="5CC3885C"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17683</w:t>
            </w:r>
          </w:p>
        </w:tc>
        <w:tc>
          <w:tcPr>
            <w:tcW w:w="7938" w:type="dxa"/>
            <w:shd w:val="clear" w:color="auto" w:fill="auto"/>
            <w:vAlign w:val="bottom"/>
          </w:tcPr>
          <w:p w14:paraId="54532A5B" w14:textId="77777777" w:rsidR="002A4F0C" w:rsidRPr="002A4F0C" w:rsidRDefault="002A4F0C" w:rsidP="002A4F0C">
            <w:pPr>
              <w:spacing w:line="240" w:lineRule="auto"/>
              <w:rPr>
                <w:rFonts w:ascii="Arial" w:hAnsi="Arial"/>
                <w:szCs w:val="22"/>
              </w:rPr>
            </w:pPr>
            <w:r w:rsidRPr="002A4F0C">
              <w:rPr>
                <w:rFonts w:ascii="Arial" w:hAnsi="Arial"/>
                <w:szCs w:val="22"/>
              </w:rPr>
              <w:t>Epidemiological Studies (1999). UK Ministry of Defence. Ww.mod.uk/policy/gulfwar/research/epidemio.htm</w:t>
            </w:r>
          </w:p>
        </w:tc>
      </w:tr>
      <w:tr w:rsidR="002A4F0C" w:rsidRPr="002A4F0C" w14:paraId="72459787" w14:textId="77777777" w:rsidTr="002A4F0C">
        <w:trPr>
          <w:cantSplit/>
        </w:trPr>
        <w:tc>
          <w:tcPr>
            <w:tcW w:w="1575" w:type="dxa"/>
            <w:shd w:val="clear" w:color="auto" w:fill="auto"/>
            <w:noWrap/>
            <w:vAlign w:val="center"/>
          </w:tcPr>
          <w:p w14:paraId="547B841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17684</w:t>
            </w:r>
          </w:p>
        </w:tc>
        <w:tc>
          <w:tcPr>
            <w:tcW w:w="7938" w:type="dxa"/>
            <w:shd w:val="clear" w:color="auto" w:fill="auto"/>
            <w:vAlign w:val="bottom"/>
          </w:tcPr>
          <w:p w14:paraId="2187D00F" w14:textId="77777777" w:rsidR="002A4F0C" w:rsidRPr="002A4F0C" w:rsidRDefault="002A4F0C" w:rsidP="002A4F0C">
            <w:pPr>
              <w:spacing w:line="240" w:lineRule="auto"/>
              <w:rPr>
                <w:rFonts w:ascii="Arial" w:hAnsi="Arial"/>
                <w:szCs w:val="22"/>
              </w:rPr>
            </w:pPr>
            <w:r w:rsidRPr="002A4F0C">
              <w:rPr>
                <w:rFonts w:ascii="Arial" w:hAnsi="Arial"/>
                <w:szCs w:val="22"/>
              </w:rPr>
              <w:t>New tests promised on depleted uranium.(1999). Www.mod.uk/news/prs/331_99.htm</w:t>
            </w:r>
          </w:p>
        </w:tc>
      </w:tr>
      <w:tr w:rsidR="002A4F0C" w:rsidRPr="002A4F0C" w14:paraId="7025F9EF" w14:textId="77777777" w:rsidTr="002A4F0C">
        <w:trPr>
          <w:cantSplit/>
        </w:trPr>
        <w:tc>
          <w:tcPr>
            <w:tcW w:w="1575" w:type="dxa"/>
            <w:shd w:val="clear" w:color="auto" w:fill="auto"/>
            <w:noWrap/>
            <w:vAlign w:val="center"/>
          </w:tcPr>
          <w:p w14:paraId="72D30C34"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17685</w:t>
            </w:r>
          </w:p>
        </w:tc>
        <w:tc>
          <w:tcPr>
            <w:tcW w:w="7938" w:type="dxa"/>
            <w:shd w:val="clear" w:color="auto" w:fill="auto"/>
            <w:vAlign w:val="bottom"/>
          </w:tcPr>
          <w:p w14:paraId="258811F7" w14:textId="77777777" w:rsidR="002A4F0C" w:rsidRPr="002A4F0C" w:rsidRDefault="002A4F0C" w:rsidP="002A4F0C">
            <w:pPr>
              <w:spacing w:line="240" w:lineRule="auto"/>
              <w:rPr>
                <w:rFonts w:ascii="Arial" w:hAnsi="Arial"/>
                <w:szCs w:val="22"/>
              </w:rPr>
            </w:pPr>
            <w:r w:rsidRPr="002A4F0C">
              <w:rPr>
                <w:rFonts w:ascii="Arial" w:hAnsi="Arial"/>
                <w:szCs w:val="22"/>
              </w:rPr>
              <w:t>Archives of press releases (1999). UK Ministry of Defence. Www.mod.uk/policy/gulf/updates/press.htm</w:t>
            </w:r>
          </w:p>
        </w:tc>
      </w:tr>
      <w:tr w:rsidR="002A4F0C" w:rsidRPr="002A4F0C" w14:paraId="7155F383" w14:textId="77777777" w:rsidTr="002A4F0C">
        <w:trPr>
          <w:cantSplit/>
        </w:trPr>
        <w:tc>
          <w:tcPr>
            <w:tcW w:w="1575" w:type="dxa"/>
            <w:shd w:val="clear" w:color="auto" w:fill="auto"/>
            <w:noWrap/>
            <w:vAlign w:val="center"/>
          </w:tcPr>
          <w:p w14:paraId="7BF2316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17686</w:t>
            </w:r>
          </w:p>
        </w:tc>
        <w:tc>
          <w:tcPr>
            <w:tcW w:w="7938" w:type="dxa"/>
            <w:shd w:val="clear" w:color="auto" w:fill="auto"/>
            <w:vAlign w:val="bottom"/>
          </w:tcPr>
          <w:p w14:paraId="155ECFC8" w14:textId="77777777" w:rsidR="002A4F0C" w:rsidRPr="002A4F0C" w:rsidRDefault="002A4F0C" w:rsidP="002A4F0C">
            <w:pPr>
              <w:spacing w:line="240" w:lineRule="auto"/>
              <w:rPr>
                <w:rFonts w:ascii="Arial" w:hAnsi="Arial"/>
                <w:szCs w:val="22"/>
              </w:rPr>
            </w:pPr>
            <w:r w:rsidRPr="002A4F0C">
              <w:rPr>
                <w:rFonts w:ascii="Arial" w:hAnsi="Arial"/>
                <w:szCs w:val="22"/>
              </w:rPr>
              <w:t>Information pack on Gulf veterans' illnesses (1999). UK Ministry of Defence. Www.mod.uk/policy/gulfwar/info/infopack.htm</w:t>
            </w:r>
          </w:p>
        </w:tc>
      </w:tr>
      <w:tr w:rsidR="002A4F0C" w:rsidRPr="002A4F0C" w14:paraId="254E1E29" w14:textId="77777777" w:rsidTr="002A4F0C">
        <w:trPr>
          <w:cantSplit/>
        </w:trPr>
        <w:tc>
          <w:tcPr>
            <w:tcW w:w="1575" w:type="dxa"/>
            <w:shd w:val="clear" w:color="auto" w:fill="auto"/>
            <w:noWrap/>
            <w:vAlign w:val="center"/>
          </w:tcPr>
          <w:p w14:paraId="096BC9D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17687</w:t>
            </w:r>
          </w:p>
        </w:tc>
        <w:tc>
          <w:tcPr>
            <w:tcW w:w="7938" w:type="dxa"/>
            <w:shd w:val="clear" w:color="auto" w:fill="auto"/>
            <w:vAlign w:val="bottom"/>
          </w:tcPr>
          <w:p w14:paraId="072B5AFC" w14:textId="77777777" w:rsidR="002A4F0C" w:rsidRPr="002A4F0C" w:rsidRDefault="002A4F0C" w:rsidP="002A4F0C">
            <w:pPr>
              <w:spacing w:line="240" w:lineRule="auto"/>
              <w:rPr>
                <w:rFonts w:ascii="Arial" w:hAnsi="Arial"/>
                <w:szCs w:val="22"/>
              </w:rPr>
            </w:pPr>
            <w:r w:rsidRPr="002A4F0C">
              <w:rPr>
                <w:rFonts w:ascii="Arial" w:hAnsi="Arial"/>
                <w:szCs w:val="22"/>
              </w:rPr>
              <w:t>Medical records in the Gulf. (1999). UK Ministry of Defence.</w:t>
            </w:r>
          </w:p>
        </w:tc>
      </w:tr>
      <w:tr w:rsidR="002A4F0C" w:rsidRPr="002A4F0C" w14:paraId="5A794B51" w14:textId="77777777" w:rsidTr="002A4F0C">
        <w:trPr>
          <w:cantSplit/>
        </w:trPr>
        <w:tc>
          <w:tcPr>
            <w:tcW w:w="1575" w:type="dxa"/>
            <w:shd w:val="clear" w:color="auto" w:fill="auto"/>
            <w:noWrap/>
            <w:vAlign w:val="center"/>
          </w:tcPr>
          <w:p w14:paraId="40E7CF9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17688</w:t>
            </w:r>
          </w:p>
        </w:tc>
        <w:tc>
          <w:tcPr>
            <w:tcW w:w="7938" w:type="dxa"/>
            <w:shd w:val="clear" w:color="auto" w:fill="auto"/>
            <w:vAlign w:val="bottom"/>
          </w:tcPr>
          <w:p w14:paraId="18143671" w14:textId="77777777" w:rsidR="002A4F0C" w:rsidRPr="002A4F0C" w:rsidRDefault="002A4F0C" w:rsidP="002A4F0C">
            <w:pPr>
              <w:spacing w:line="240" w:lineRule="auto"/>
              <w:rPr>
                <w:rFonts w:ascii="Arial" w:hAnsi="Arial"/>
                <w:szCs w:val="22"/>
              </w:rPr>
            </w:pPr>
            <w:r w:rsidRPr="002A4F0C">
              <w:rPr>
                <w:rFonts w:ascii="Arial" w:hAnsi="Arial"/>
                <w:szCs w:val="22"/>
              </w:rPr>
              <w:t>Testing for the presence of depleted uranium in UK veterans of the Gulf conflict: the current position. (1999). UK Ministry of Defence. Www.mod.uk/policy/gulfwar/info/dutesting.htm</w:t>
            </w:r>
          </w:p>
        </w:tc>
      </w:tr>
      <w:tr w:rsidR="002A4F0C" w:rsidRPr="002A4F0C" w14:paraId="33271383" w14:textId="77777777" w:rsidTr="002A4F0C">
        <w:trPr>
          <w:cantSplit/>
        </w:trPr>
        <w:tc>
          <w:tcPr>
            <w:tcW w:w="1575" w:type="dxa"/>
            <w:shd w:val="clear" w:color="auto" w:fill="auto"/>
            <w:noWrap/>
            <w:vAlign w:val="center"/>
          </w:tcPr>
          <w:p w14:paraId="7A4B3A17"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17689</w:t>
            </w:r>
          </w:p>
        </w:tc>
        <w:tc>
          <w:tcPr>
            <w:tcW w:w="7938" w:type="dxa"/>
            <w:shd w:val="clear" w:color="auto" w:fill="auto"/>
            <w:vAlign w:val="bottom"/>
          </w:tcPr>
          <w:p w14:paraId="33007220" w14:textId="77777777" w:rsidR="002A4F0C" w:rsidRPr="002A4F0C" w:rsidRDefault="002A4F0C" w:rsidP="002A4F0C">
            <w:pPr>
              <w:spacing w:line="240" w:lineRule="auto"/>
              <w:rPr>
                <w:rFonts w:ascii="Arial" w:hAnsi="Arial"/>
                <w:szCs w:val="22"/>
              </w:rPr>
            </w:pPr>
            <w:r w:rsidRPr="002A4F0C">
              <w:rPr>
                <w:rFonts w:ascii="Arial" w:hAnsi="Arial"/>
                <w:szCs w:val="22"/>
              </w:rPr>
              <w:t>Iraqi CW capability during the Gulf war (1999). UK Ministry of Defence. Www.mod.uk/policy/gulfwar/info/cw_capability.htm</w:t>
            </w:r>
          </w:p>
        </w:tc>
      </w:tr>
      <w:tr w:rsidR="002A4F0C" w:rsidRPr="002A4F0C" w14:paraId="5F336BF2" w14:textId="77777777" w:rsidTr="002A4F0C">
        <w:trPr>
          <w:cantSplit/>
        </w:trPr>
        <w:tc>
          <w:tcPr>
            <w:tcW w:w="1575" w:type="dxa"/>
            <w:shd w:val="clear" w:color="auto" w:fill="auto"/>
            <w:noWrap/>
            <w:vAlign w:val="center"/>
          </w:tcPr>
          <w:p w14:paraId="7D2452E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17690</w:t>
            </w:r>
          </w:p>
        </w:tc>
        <w:tc>
          <w:tcPr>
            <w:tcW w:w="7938" w:type="dxa"/>
            <w:shd w:val="clear" w:color="auto" w:fill="auto"/>
            <w:vAlign w:val="bottom"/>
          </w:tcPr>
          <w:p w14:paraId="758DE266" w14:textId="77777777" w:rsidR="002A4F0C" w:rsidRPr="002A4F0C" w:rsidRDefault="002A4F0C" w:rsidP="002A4F0C">
            <w:pPr>
              <w:spacing w:line="240" w:lineRule="auto"/>
              <w:rPr>
                <w:rFonts w:ascii="Arial" w:hAnsi="Arial"/>
                <w:szCs w:val="22"/>
              </w:rPr>
            </w:pPr>
            <w:r w:rsidRPr="002A4F0C">
              <w:rPr>
                <w:rFonts w:ascii="Arial" w:hAnsi="Arial"/>
                <w:szCs w:val="22"/>
              </w:rPr>
              <w:t>Gulf veterans' illnesses. Information and reports (1999). UK Ministry of Defence. Www.mod.uk/policy/gulfwar/info/info.htm</w:t>
            </w:r>
          </w:p>
        </w:tc>
      </w:tr>
      <w:tr w:rsidR="002A4F0C" w:rsidRPr="002A4F0C" w14:paraId="2BFA7D4D" w14:textId="77777777" w:rsidTr="002A4F0C">
        <w:trPr>
          <w:cantSplit/>
        </w:trPr>
        <w:tc>
          <w:tcPr>
            <w:tcW w:w="1575" w:type="dxa"/>
            <w:shd w:val="clear" w:color="auto" w:fill="auto"/>
            <w:noWrap/>
            <w:vAlign w:val="center"/>
          </w:tcPr>
          <w:p w14:paraId="52C11DB9" w14:textId="77777777" w:rsidR="002A4F0C" w:rsidRPr="002A4F0C" w:rsidRDefault="002A4F0C" w:rsidP="002A4F0C">
            <w:pPr>
              <w:spacing w:line="240" w:lineRule="auto"/>
              <w:jc w:val="center"/>
              <w:rPr>
                <w:rFonts w:ascii="Arial" w:hAnsi="Arial"/>
                <w:szCs w:val="22"/>
              </w:rPr>
            </w:pPr>
            <w:r w:rsidRPr="002A4F0C">
              <w:rPr>
                <w:rFonts w:ascii="Arial" w:hAnsi="Arial"/>
                <w:szCs w:val="22"/>
              </w:rPr>
              <w:t>17691</w:t>
            </w:r>
          </w:p>
        </w:tc>
        <w:tc>
          <w:tcPr>
            <w:tcW w:w="7938" w:type="dxa"/>
            <w:shd w:val="clear" w:color="auto" w:fill="auto"/>
            <w:vAlign w:val="bottom"/>
          </w:tcPr>
          <w:p w14:paraId="559E10E1" w14:textId="77777777" w:rsidR="002A4F0C" w:rsidRPr="002A4F0C" w:rsidRDefault="002A4F0C" w:rsidP="002A4F0C">
            <w:pPr>
              <w:spacing w:line="240" w:lineRule="auto"/>
              <w:rPr>
                <w:rFonts w:ascii="Arial" w:hAnsi="Arial"/>
                <w:szCs w:val="22"/>
              </w:rPr>
            </w:pPr>
            <w:r w:rsidRPr="002A4F0C">
              <w:rPr>
                <w:rFonts w:ascii="Arial" w:hAnsi="Arial"/>
                <w:szCs w:val="22"/>
              </w:rPr>
              <w:t>Gulf veterans' illnesses. What's new? (1999). UK Ministry of Defence. Www.mod.uk/policy/gulfwar/updates/whatsnew.htm</w:t>
            </w:r>
          </w:p>
        </w:tc>
      </w:tr>
      <w:tr w:rsidR="002A4F0C" w:rsidRPr="002A4F0C" w14:paraId="6F94AE83" w14:textId="77777777" w:rsidTr="002A4F0C">
        <w:trPr>
          <w:cantSplit/>
        </w:trPr>
        <w:tc>
          <w:tcPr>
            <w:tcW w:w="1575" w:type="dxa"/>
            <w:shd w:val="clear" w:color="auto" w:fill="auto"/>
            <w:noWrap/>
            <w:vAlign w:val="center"/>
          </w:tcPr>
          <w:p w14:paraId="43A5CC9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17800</w:t>
            </w:r>
          </w:p>
        </w:tc>
        <w:tc>
          <w:tcPr>
            <w:tcW w:w="7938" w:type="dxa"/>
            <w:shd w:val="clear" w:color="auto" w:fill="auto"/>
            <w:vAlign w:val="bottom"/>
          </w:tcPr>
          <w:p w14:paraId="4AA6799F" w14:textId="77777777" w:rsidR="002A4F0C" w:rsidRPr="002A4F0C" w:rsidRDefault="002A4F0C" w:rsidP="002A4F0C">
            <w:pPr>
              <w:spacing w:line="240" w:lineRule="auto"/>
              <w:rPr>
                <w:rFonts w:ascii="Arial" w:hAnsi="Arial"/>
                <w:szCs w:val="22"/>
              </w:rPr>
            </w:pPr>
            <w:r w:rsidRPr="002A4F0C">
              <w:rPr>
                <w:rFonts w:ascii="Arial" w:hAnsi="Arial"/>
                <w:szCs w:val="22"/>
              </w:rPr>
              <w:t>United States Senate Committee on Veterans' Affairs (1998): Report of the special investigation unit on Gulf War illnesses. Vol 1 &amp; 2. Http://www.gulflink.osd.mil/library/senate/siu_index.html</w:t>
            </w:r>
          </w:p>
        </w:tc>
      </w:tr>
      <w:tr w:rsidR="002A4F0C" w:rsidRPr="002A4F0C" w14:paraId="6C7368B7" w14:textId="77777777" w:rsidTr="002A4F0C">
        <w:trPr>
          <w:cantSplit/>
        </w:trPr>
        <w:tc>
          <w:tcPr>
            <w:tcW w:w="1575" w:type="dxa"/>
            <w:shd w:val="clear" w:color="auto" w:fill="auto"/>
            <w:noWrap/>
            <w:vAlign w:val="center"/>
          </w:tcPr>
          <w:p w14:paraId="35F7CB0E"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17801</w:t>
            </w:r>
          </w:p>
        </w:tc>
        <w:tc>
          <w:tcPr>
            <w:tcW w:w="7938" w:type="dxa"/>
            <w:shd w:val="clear" w:color="auto" w:fill="auto"/>
            <w:vAlign w:val="bottom"/>
          </w:tcPr>
          <w:p w14:paraId="7E35AE7A" w14:textId="77777777" w:rsidR="002A4F0C" w:rsidRPr="002A4F0C" w:rsidRDefault="002A4F0C" w:rsidP="002A4F0C">
            <w:pPr>
              <w:spacing w:line="240" w:lineRule="auto"/>
              <w:rPr>
                <w:rFonts w:ascii="Arial" w:hAnsi="Arial"/>
                <w:szCs w:val="22"/>
              </w:rPr>
            </w:pPr>
            <w:r w:rsidRPr="002A4F0C">
              <w:rPr>
                <w:rFonts w:ascii="Arial" w:hAnsi="Arial"/>
                <w:szCs w:val="22"/>
              </w:rPr>
              <w:t>Annual Report to Congress (1998). Persian Gulf veterans coordinating board - research working group. Research on Gulf War Veterans' Illnesses. Http://www.va.gov/resdev/pgulf98/gwrpt98.htm</w:t>
            </w:r>
          </w:p>
        </w:tc>
      </w:tr>
      <w:tr w:rsidR="002A4F0C" w:rsidRPr="002A4F0C" w14:paraId="7FFD1914" w14:textId="77777777" w:rsidTr="002A4F0C">
        <w:trPr>
          <w:cantSplit/>
        </w:trPr>
        <w:tc>
          <w:tcPr>
            <w:tcW w:w="1575" w:type="dxa"/>
            <w:shd w:val="clear" w:color="auto" w:fill="auto"/>
            <w:noWrap/>
            <w:vAlign w:val="center"/>
          </w:tcPr>
          <w:p w14:paraId="228531F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17802</w:t>
            </w:r>
          </w:p>
        </w:tc>
        <w:tc>
          <w:tcPr>
            <w:tcW w:w="7938" w:type="dxa"/>
            <w:shd w:val="clear" w:color="auto" w:fill="auto"/>
            <w:vAlign w:val="bottom"/>
          </w:tcPr>
          <w:p w14:paraId="6ADB73F9" w14:textId="77777777" w:rsidR="002A4F0C" w:rsidRPr="002A4F0C" w:rsidRDefault="002A4F0C" w:rsidP="002A4F0C">
            <w:pPr>
              <w:spacing w:line="240" w:lineRule="auto"/>
              <w:rPr>
                <w:rFonts w:ascii="Arial" w:hAnsi="Arial"/>
                <w:szCs w:val="22"/>
              </w:rPr>
            </w:pPr>
            <w:r w:rsidRPr="002A4F0C">
              <w:rPr>
                <w:rFonts w:ascii="Arial" w:hAnsi="Arial"/>
                <w:szCs w:val="22"/>
              </w:rPr>
              <w:t>Persian Gulf Veterans' Benefit Act implemented. (1995). Http://www.ns.net/cadva/news/d103195.htm</w:t>
            </w:r>
          </w:p>
        </w:tc>
      </w:tr>
      <w:tr w:rsidR="002A4F0C" w:rsidRPr="002A4F0C" w14:paraId="181F6169" w14:textId="77777777" w:rsidTr="002A4F0C">
        <w:trPr>
          <w:cantSplit/>
        </w:trPr>
        <w:tc>
          <w:tcPr>
            <w:tcW w:w="1575" w:type="dxa"/>
            <w:shd w:val="clear" w:color="auto" w:fill="auto"/>
            <w:noWrap/>
            <w:vAlign w:val="center"/>
          </w:tcPr>
          <w:p w14:paraId="2BB81DC3"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17803</w:t>
            </w:r>
          </w:p>
        </w:tc>
        <w:tc>
          <w:tcPr>
            <w:tcW w:w="7938" w:type="dxa"/>
            <w:shd w:val="clear" w:color="auto" w:fill="auto"/>
            <w:vAlign w:val="bottom"/>
          </w:tcPr>
          <w:p w14:paraId="515A814E" w14:textId="77777777" w:rsidR="002A4F0C" w:rsidRPr="002A4F0C" w:rsidRDefault="002A4F0C" w:rsidP="002A4F0C">
            <w:pPr>
              <w:spacing w:line="240" w:lineRule="auto"/>
              <w:rPr>
                <w:rFonts w:ascii="Arial" w:hAnsi="Arial"/>
                <w:szCs w:val="22"/>
              </w:rPr>
            </w:pPr>
            <w:r w:rsidRPr="002A4F0C">
              <w:rPr>
                <w:rFonts w:ascii="Arial" w:hAnsi="Arial"/>
                <w:szCs w:val="22"/>
              </w:rPr>
              <w:t>Background document on Gulf War-related research for the health impact of chemical exposures during the Gulf War: a research impact of chemical exposures during the Gulf war: a research planning conference (1999) Centres for Disease Control and Prevention (CDC).</w:t>
            </w:r>
          </w:p>
        </w:tc>
      </w:tr>
      <w:tr w:rsidR="002A4F0C" w:rsidRPr="002A4F0C" w14:paraId="7F8847DD" w14:textId="77777777" w:rsidTr="002A4F0C">
        <w:trPr>
          <w:cantSplit/>
        </w:trPr>
        <w:tc>
          <w:tcPr>
            <w:tcW w:w="1575" w:type="dxa"/>
            <w:shd w:val="clear" w:color="auto" w:fill="auto"/>
            <w:noWrap/>
            <w:vAlign w:val="center"/>
          </w:tcPr>
          <w:p w14:paraId="06E8A4F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17804</w:t>
            </w:r>
          </w:p>
        </w:tc>
        <w:tc>
          <w:tcPr>
            <w:tcW w:w="7938" w:type="dxa"/>
            <w:shd w:val="clear" w:color="auto" w:fill="auto"/>
            <w:vAlign w:val="bottom"/>
          </w:tcPr>
          <w:p w14:paraId="260DEEA0" w14:textId="77777777" w:rsidR="002A4F0C" w:rsidRPr="002A4F0C" w:rsidRDefault="002A4F0C" w:rsidP="002A4F0C">
            <w:pPr>
              <w:spacing w:line="240" w:lineRule="auto"/>
              <w:rPr>
                <w:rFonts w:ascii="Arial" w:hAnsi="Arial"/>
                <w:szCs w:val="22"/>
              </w:rPr>
            </w:pPr>
            <w:r w:rsidRPr="002A4F0C">
              <w:rPr>
                <w:rFonts w:ascii="Arial" w:hAnsi="Arial"/>
                <w:szCs w:val="22"/>
              </w:rPr>
              <w:t>Presidential Advisory Committee on Gulf War Veterans' Illnesses. Final Report. Http://www.gwvi.ncr.gov/exsumm-f.html</w:t>
            </w:r>
          </w:p>
        </w:tc>
      </w:tr>
      <w:tr w:rsidR="002A4F0C" w:rsidRPr="002A4F0C" w14:paraId="7BE19F7C" w14:textId="77777777" w:rsidTr="002A4F0C">
        <w:trPr>
          <w:cantSplit/>
        </w:trPr>
        <w:tc>
          <w:tcPr>
            <w:tcW w:w="1575" w:type="dxa"/>
            <w:shd w:val="clear" w:color="auto" w:fill="auto"/>
            <w:noWrap/>
            <w:vAlign w:val="center"/>
          </w:tcPr>
          <w:p w14:paraId="2A39DE0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17849</w:t>
            </w:r>
          </w:p>
        </w:tc>
        <w:tc>
          <w:tcPr>
            <w:tcW w:w="7938" w:type="dxa"/>
            <w:shd w:val="clear" w:color="auto" w:fill="auto"/>
            <w:vAlign w:val="bottom"/>
          </w:tcPr>
          <w:p w14:paraId="09076606" w14:textId="77777777" w:rsidR="002A4F0C" w:rsidRPr="002A4F0C" w:rsidRDefault="002A4F0C" w:rsidP="002A4F0C">
            <w:pPr>
              <w:spacing w:line="240" w:lineRule="auto"/>
              <w:rPr>
                <w:rFonts w:ascii="Arial" w:hAnsi="Arial"/>
                <w:szCs w:val="22"/>
              </w:rPr>
            </w:pPr>
            <w:r w:rsidRPr="002A4F0C">
              <w:rPr>
                <w:rFonts w:ascii="Arial" w:hAnsi="Arial"/>
                <w:szCs w:val="22"/>
              </w:rPr>
              <w:t>Depleted uranium expert shares knowledge. Http://www.gulflink.osd.mil/news/na_harley_03jan00.html</w:t>
            </w:r>
          </w:p>
        </w:tc>
      </w:tr>
      <w:tr w:rsidR="002A4F0C" w:rsidRPr="002A4F0C" w14:paraId="348D7BA7" w14:textId="77777777" w:rsidTr="002A4F0C">
        <w:trPr>
          <w:cantSplit/>
        </w:trPr>
        <w:tc>
          <w:tcPr>
            <w:tcW w:w="1575" w:type="dxa"/>
            <w:shd w:val="clear" w:color="auto" w:fill="auto"/>
            <w:noWrap/>
            <w:vAlign w:val="center"/>
          </w:tcPr>
          <w:p w14:paraId="19B057CD"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17850</w:t>
            </w:r>
          </w:p>
        </w:tc>
        <w:tc>
          <w:tcPr>
            <w:tcW w:w="7938" w:type="dxa"/>
            <w:shd w:val="clear" w:color="auto" w:fill="auto"/>
            <w:vAlign w:val="bottom"/>
          </w:tcPr>
          <w:p w14:paraId="1D2521C6" w14:textId="77777777" w:rsidR="002A4F0C" w:rsidRPr="002A4F0C" w:rsidRDefault="002A4F0C" w:rsidP="002A4F0C">
            <w:pPr>
              <w:spacing w:line="240" w:lineRule="auto"/>
              <w:rPr>
                <w:rFonts w:ascii="Arial" w:hAnsi="Arial"/>
                <w:szCs w:val="22"/>
              </w:rPr>
            </w:pPr>
            <w:r w:rsidRPr="002A4F0C">
              <w:rPr>
                <w:rFonts w:ascii="Arial" w:hAnsi="Arial"/>
                <w:szCs w:val="22"/>
              </w:rPr>
              <w:t>Special oversight board for department of defense investigations of Gulf War chemical and biological incidents. Special Report November 1999 Http://www.oversight.ncr.gov/report_special.html</w:t>
            </w:r>
          </w:p>
        </w:tc>
      </w:tr>
      <w:tr w:rsidR="002A4F0C" w:rsidRPr="002A4F0C" w14:paraId="3627EE30" w14:textId="77777777" w:rsidTr="002A4F0C">
        <w:trPr>
          <w:cantSplit/>
        </w:trPr>
        <w:tc>
          <w:tcPr>
            <w:tcW w:w="1575" w:type="dxa"/>
            <w:shd w:val="clear" w:color="auto" w:fill="auto"/>
            <w:noWrap/>
            <w:vAlign w:val="center"/>
          </w:tcPr>
          <w:p w14:paraId="32CD7D8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17851</w:t>
            </w:r>
          </w:p>
        </w:tc>
        <w:tc>
          <w:tcPr>
            <w:tcW w:w="7938" w:type="dxa"/>
            <w:shd w:val="clear" w:color="auto" w:fill="auto"/>
            <w:vAlign w:val="bottom"/>
          </w:tcPr>
          <w:p w14:paraId="10555EF1" w14:textId="77777777" w:rsidR="002A4F0C" w:rsidRPr="002A4F0C" w:rsidRDefault="002A4F0C" w:rsidP="002A4F0C">
            <w:pPr>
              <w:spacing w:line="240" w:lineRule="auto"/>
              <w:rPr>
                <w:rFonts w:ascii="Arial" w:hAnsi="Arial"/>
                <w:szCs w:val="22"/>
              </w:rPr>
            </w:pPr>
            <w:r w:rsidRPr="002A4F0C">
              <w:rPr>
                <w:rFonts w:ascii="Arial" w:hAnsi="Arial"/>
                <w:szCs w:val="22"/>
              </w:rPr>
              <w:t>Presidential Special Oversight Board for Department of Defense investigations of Gulf War chemical and Biological incidents. September 16, 1999.</w:t>
            </w:r>
          </w:p>
        </w:tc>
      </w:tr>
      <w:tr w:rsidR="002A4F0C" w:rsidRPr="002A4F0C" w14:paraId="078A8ED0" w14:textId="77777777" w:rsidTr="002A4F0C">
        <w:trPr>
          <w:cantSplit/>
        </w:trPr>
        <w:tc>
          <w:tcPr>
            <w:tcW w:w="1575" w:type="dxa"/>
            <w:shd w:val="clear" w:color="auto" w:fill="auto"/>
            <w:noWrap/>
            <w:vAlign w:val="center"/>
          </w:tcPr>
          <w:p w14:paraId="34E9687A"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17852</w:t>
            </w:r>
          </w:p>
        </w:tc>
        <w:tc>
          <w:tcPr>
            <w:tcW w:w="7938" w:type="dxa"/>
            <w:shd w:val="clear" w:color="auto" w:fill="auto"/>
            <w:vAlign w:val="bottom"/>
          </w:tcPr>
          <w:p w14:paraId="7959DD45" w14:textId="77777777" w:rsidR="002A4F0C" w:rsidRPr="002A4F0C" w:rsidRDefault="002A4F0C" w:rsidP="002A4F0C">
            <w:pPr>
              <w:spacing w:line="240" w:lineRule="auto"/>
              <w:rPr>
                <w:rFonts w:ascii="Arial" w:hAnsi="Arial"/>
                <w:szCs w:val="22"/>
              </w:rPr>
            </w:pPr>
            <w:r w:rsidRPr="002A4F0C">
              <w:rPr>
                <w:rFonts w:ascii="Arial" w:hAnsi="Arial"/>
                <w:szCs w:val="22"/>
              </w:rPr>
              <w:t>Message from the Special Assistant for Gulf War Illnesses. Http://www.gulflink.osd.mil/</w:t>
            </w:r>
          </w:p>
        </w:tc>
      </w:tr>
      <w:tr w:rsidR="002A4F0C" w:rsidRPr="002A4F0C" w14:paraId="7A0F197B" w14:textId="77777777" w:rsidTr="002A4F0C">
        <w:trPr>
          <w:cantSplit/>
        </w:trPr>
        <w:tc>
          <w:tcPr>
            <w:tcW w:w="1575" w:type="dxa"/>
            <w:shd w:val="clear" w:color="auto" w:fill="auto"/>
            <w:noWrap/>
            <w:vAlign w:val="center"/>
          </w:tcPr>
          <w:p w14:paraId="69958705"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17853</w:t>
            </w:r>
          </w:p>
        </w:tc>
        <w:tc>
          <w:tcPr>
            <w:tcW w:w="7938" w:type="dxa"/>
            <w:shd w:val="clear" w:color="auto" w:fill="auto"/>
            <w:vAlign w:val="bottom"/>
          </w:tcPr>
          <w:p w14:paraId="2869B345" w14:textId="77777777" w:rsidR="002A4F0C" w:rsidRPr="002A4F0C" w:rsidRDefault="002A4F0C" w:rsidP="002A4F0C">
            <w:pPr>
              <w:spacing w:line="240" w:lineRule="auto"/>
              <w:rPr>
                <w:rFonts w:ascii="Arial" w:hAnsi="Arial"/>
                <w:szCs w:val="22"/>
              </w:rPr>
            </w:pPr>
            <w:r w:rsidRPr="002A4F0C">
              <w:rPr>
                <w:rFonts w:ascii="Arial" w:hAnsi="Arial"/>
                <w:szCs w:val="22"/>
              </w:rPr>
              <w:t>Canadian Gulf War vets report similar symptoms as same frequency says study. Http://www.gulflink.osd.mil/news/na_canadian_study.html</w:t>
            </w:r>
          </w:p>
        </w:tc>
      </w:tr>
      <w:tr w:rsidR="002A4F0C" w:rsidRPr="002A4F0C" w14:paraId="555760CF" w14:textId="77777777" w:rsidTr="002A4F0C">
        <w:trPr>
          <w:cantSplit/>
        </w:trPr>
        <w:tc>
          <w:tcPr>
            <w:tcW w:w="1575" w:type="dxa"/>
            <w:shd w:val="clear" w:color="auto" w:fill="auto"/>
            <w:noWrap/>
            <w:vAlign w:val="center"/>
          </w:tcPr>
          <w:p w14:paraId="30518576"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17854</w:t>
            </w:r>
          </w:p>
        </w:tc>
        <w:tc>
          <w:tcPr>
            <w:tcW w:w="7938" w:type="dxa"/>
            <w:shd w:val="clear" w:color="auto" w:fill="auto"/>
            <w:vAlign w:val="bottom"/>
          </w:tcPr>
          <w:p w14:paraId="4279CA6C" w14:textId="77777777" w:rsidR="002A4F0C" w:rsidRPr="002A4F0C" w:rsidRDefault="002A4F0C" w:rsidP="002A4F0C">
            <w:pPr>
              <w:spacing w:line="240" w:lineRule="auto"/>
              <w:rPr>
                <w:rFonts w:ascii="Arial" w:hAnsi="Arial"/>
                <w:szCs w:val="22"/>
              </w:rPr>
            </w:pPr>
            <w:r w:rsidRPr="002A4F0C">
              <w:rPr>
                <w:rFonts w:ascii="Arial" w:hAnsi="Arial"/>
                <w:szCs w:val="22"/>
              </w:rPr>
              <w:t>Health study of Canadian Forces Personnel involved in the 1991 conflict in the Persian Gulf. Vol 1 http://www.dnd.ca/menu/press/Reports/Health/health_study_e_vol1_TOC.htm</w:t>
            </w:r>
          </w:p>
        </w:tc>
      </w:tr>
      <w:tr w:rsidR="002A4F0C" w:rsidRPr="002A4F0C" w14:paraId="2D5B3F32" w14:textId="77777777" w:rsidTr="002A4F0C">
        <w:trPr>
          <w:cantSplit/>
        </w:trPr>
        <w:tc>
          <w:tcPr>
            <w:tcW w:w="1575" w:type="dxa"/>
            <w:shd w:val="clear" w:color="auto" w:fill="auto"/>
            <w:noWrap/>
            <w:vAlign w:val="center"/>
          </w:tcPr>
          <w:p w14:paraId="1429BB4B" w14:textId="77777777" w:rsidR="002A4F0C" w:rsidRPr="002A4F0C" w:rsidRDefault="002A4F0C" w:rsidP="002A4F0C">
            <w:pPr>
              <w:spacing w:line="240" w:lineRule="auto"/>
              <w:jc w:val="center"/>
              <w:rPr>
                <w:rFonts w:ascii="Arial" w:hAnsi="Arial"/>
                <w:szCs w:val="22"/>
              </w:rPr>
            </w:pPr>
            <w:r w:rsidRPr="002A4F0C">
              <w:rPr>
                <w:rFonts w:ascii="Arial" w:hAnsi="Arial"/>
                <w:szCs w:val="22"/>
              </w:rPr>
              <w:t>17855</w:t>
            </w:r>
          </w:p>
        </w:tc>
        <w:tc>
          <w:tcPr>
            <w:tcW w:w="7938" w:type="dxa"/>
            <w:shd w:val="clear" w:color="auto" w:fill="auto"/>
            <w:vAlign w:val="bottom"/>
          </w:tcPr>
          <w:p w14:paraId="2002FAC6" w14:textId="77777777" w:rsidR="002A4F0C" w:rsidRPr="002A4F0C" w:rsidRDefault="002A4F0C" w:rsidP="002A4F0C">
            <w:pPr>
              <w:spacing w:line="240" w:lineRule="auto"/>
              <w:rPr>
                <w:rFonts w:ascii="Arial" w:hAnsi="Arial"/>
                <w:szCs w:val="22"/>
              </w:rPr>
            </w:pPr>
            <w:r w:rsidRPr="002A4F0C">
              <w:rPr>
                <w:rFonts w:ascii="Arial" w:hAnsi="Arial"/>
                <w:szCs w:val="22"/>
              </w:rPr>
              <w:t>Researchers conference advances studies on Gulf War Illnesses. Http://www.gulflink.osd.mil/news/na_gwi_research-11oct99.html</w:t>
            </w:r>
          </w:p>
        </w:tc>
      </w:tr>
      <w:tr w:rsidR="002A4F0C" w:rsidRPr="002A4F0C" w14:paraId="6F2017F0" w14:textId="77777777" w:rsidTr="002A4F0C">
        <w:trPr>
          <w:cantSplit/>
        </w:trPr>
        <w:tc>
          <w:tcPr>
            <w:tcW w:w="1575" w:type="dxa"/>
            <w:shd w:val="clear" w:color="auto" w:fill="auto"/>
            <w:noWrap/>
            <w:vAlign w:val="center"/>
          </w:tcPr>
          <w:p w14:paraId="20941CA9" w14:textId="77777777" w:rsidR="002A4F0C" w:rsidRPr="002A4F0C" w:rsidRDefault="002A4F0C" w:rsidP="002A4F0C">
            <w:pPr>
              <w:spacing w:line="240" w:lineRule="auto"/>
              <w:jc w:val="center"/>
              <w:rPr>
                <w:rFonts w:ascii="Arial" w:hAnsi="Arial"/>
                <w:szCs w:val="22"/>
              </w:rPr>
            </w:pPr>
            <w:r w:rsidRPr="002A4F0C">
              <w:rPr>
                <w:rFonts w:ascii="Arial" w:hAnsi="Arial"/>
                <w:szCs w:val="22"/>
              </w:rPr>
              <w:t>18038</w:t>
            </w:r>
          </w:p>
        </w:tc>
        <w:tc>
          <w:tcPr>
            <w:tcW w:w="7938" w:type="dxa"/>
            <w:shd w:val="clear" w:color="auto" w:fill="auto"/>
            <w:vAlign w:val="bottom"/>
          </w:tcPr>
          <w:p w14:paraId="6D1C3B69" w14:textId="77777777" w:rsidR="002A4F0C" w:rsidRPr="002A4F0C" w:rsidRDefault="002A4F0C" w:rsidP="002A4F0C">
            <w:pPr>
              <w:spacing w:line="240" w:lineRule="auto"/>
              <w:rPr>
                <w:rFonts w:ascii="Arial" w:hAnsi="Arial"/>
                <w:szCs w:val="22"/>
              </w:rPr>
            </w:pPr>
            <w:r w:rsidRPr="002A4F0C">
              <w:rPr>
                <w:rFonts w:ascii="Arial" w:hAnsi="Arial"/>
                <w:szCs w:val="22"/>
              </w:rPr>
              <w:t>Wolfe J, Brown PJ, Kelley JM (1993). Reassessing war stress: exposure and the Persian Gulf War. Journal of Social Issues, 49(4): 15-31.</w:t>
            </w:r>
          </w:p>
        </w:tc>
      </w:tr>
      <w:tr w:rsidR="002A4F0C" w:rsidRPr="002A4F0C" w14:paraId="33D457B2" w14:textId="77777777" w:rsidTr="002A4F0C">
        <w:trPr>
          <w:cantSplit/>
        </w:trPr>
        <w:tc>
          <w:tcPr>
            <w:tcW w:w="1575" w:type="dxa"/>
            <w:shd w:val="clear" w:color="auto" w:fill="auto"/>
            <w:noWrap/>
            <w:vAlign w:val="center"/>
          </w:tcPr>
          <w:p w14:paraId="3D434880" w14:textId="77777777" w:rsidR="002A4F0C" w:rsidRPr="002A4F0C" w:rsidRDefault="002A4F0C" w:rsidP="002A4F0C">
            <w:pPr>
              <w:spacing w:line="240" w:lineRule="auto"/>
              <w:jc w:val="center"/>
              <w:rPr>
                <w:rFonts w:ascii="Arial" w:hAnsi="Arial"/>
                <w:szCs w:val="22"/>
              </w:rPr>
            </w:pPr>
            <w:r w:rsidRPr="002A4F0C">
              <w:rPr>
                <w:rFonts w:ascii="Arial" w:hAnsi="Arial"/>
                <w:szCs w:val="22"/>
              </w:rPr>
              <w:t>18411</w:t>
            </w:r>
          </w:p>
        </w:tc>
        <w:tc>
          <w:tcPr>
            <w:tcW w:w="7938" w:type="dxa"/>
            <w:shd w:val="clear" w:color="auto" w:fill="auto"/>
            <w:vAlign w:val="bottom"/>
          </w:tcPr>
          <w:p w14:paraId="59412925" w14:textId="77777777" w:rsidR="002A4F0C" w:rsidRPr="002A4F0C" w:rsidRDefault="002A4F0C" w:rsidP="002A4F0C">
            <w:pPr>
              <w:spacing w:line="240" w:lineRule="auto"/>
              <w:rPr>
                <w:rFonts w:ascii="Arial" w:hAnsi="Arial"/>
                <w:szCs w:val="22"/>
              </w:rPr>
            </w:pPr>
            <w:r w:rsidRPr="002A4F0C">
              <w:rPr>
                <w:rFonts w:ascii="Arial" w:hAnsi="Arial"/>
                <w:szCs w:val="22"/>
              </w:rPr>
              <w:t>Hyams KC, Hanson K, Wignall FS, Escamilla J and Oldfield EC (1995). The impact of infectious diseases on the health of U.S. troops deployed to the Persian Gulf during operation Desert Shield/Desert Storm. Clin Infect Dis, Vol 20 pp 1497-1504. &lt;http://www.gulflink.osd.mil/medical/med_impact.htm&gt;</w:t>
            </w:r>
          </w:p>
        </w:tc>
      </w:tr>
      <w:tr w:rsidR="002A4F0C" w:rsidRPr="002A4F0C" w14:paraId="1B0F034E" w14:textId="77777777" w:rsidTr="002A4F0C">
        <w:trPr>
          <w:cantSplit/>
        </w:trPr>
        <w:tc>
          <w:tcPr>
            <w:tcW w:w="1575" w:type="dxa"/>
            <w:shd w:val="clear" w:color="auto" w:fill="auto"/>
            <w:noWrap/>
            <w:vAlign w:val="center"/>
          </w:tcPr>
          <w:p w14:paraId="743506AD" w14:textId="77777777" w:rsidR="002A4F0C" w:rsidRPr="002A4F0C" w:rsidRDefault="002A4F0C" w:rsidP="002A4F0C">
            <w:pPr>
              <w:spacing w:line="240" w:lineRule="auto"/>
              <w:jc w:val="center"/>
              <w:rPr>
                <w:rFonts w:ascii="Arial" w:hAnsi="Arial"/>
                <w:szCs w:val="22"/>
              </w:rPr>
            </w:pPr>
            <w:r w:rsidRPr="002A4F0C">
              <w:rPr>
                <w:rFonts w:ascii="Arial" w:hAnsi="Arial"/>
                <w:szCs w:val="22"/>
              </w:rPr>
              <w:t>18412</w:t>
            </w:r>
          </w:p>
        </w:tc>
        <w:tc>
          <w:tcPr>
            <w:tcW w:w="7938" w:type="dxa"/>
            <w:shd w:val="clear" w:color="auto" w:fill="auto"/>
            <w:vAlign w:val="bottom"/>
          </w:tcPr>
          <w:p w14:paraId="314E11D6" w14:textId="77777777" w:rsidR="002A4F0C" w:rsidRPr="002A4F0C" w:rsidRDefault="002A4F0C" w:rsidP="002A4F0C">
            <w:pPr>
              <w:spacing w:line="240" w:lineRule="auto"/>
              <w:rPr>
                <w:rFonts w:ascii="Arial" w:hAnsi="Arial"/>
                <w:szCs w:val="22"/>
              </w:rPr>
            </w:pPr>
            <w:r w:rsidRPr="002A4F0C">
              <w:rPr>
                <w:rFonts w:ascii="Arial" w:hAnsi="Arial"/>
                <w:szCs w:val="22"/>
              </w:rPr>
              <w:t>Harley NH, Foulkes EC, Hilborne LH, Hudson A and Anthony CR (1999). A review of the scientific literature as it pertains to Gulf War Illnesses. RAND Report, Vol 7 Depleted Uranium.</w:t>
            </w:r>
          </w:p>
        </w:tc>
      </w:tr>
      <w:tr w:rsidR="002A4F0C" w:rsidRPr="002A4F0C" w14:paraId="3ED324ED" w14:textId="77777777" w:rsidTr="002A4F0C">
        <w:trPr>
          <w:cantSplit/>
        </w:trPr>
        <w:tc>
          <w:tcPr>
            <w:tcW w:w="1575" w:type="dxa"/>
            <w:shd w:val="clear" w:color="auto" w:fill="auto"/>
            <w:noWrap/>
            <w:vAlign w:val="center"/>
          </w:tcPr>
          <w:p w14:paraId="29FE8288" w14:textId="77777777" w:rsidR="002A4F0C" w:rsidRPr="002A4F0C" w:rsidRDefault="002A4F0C" w:rsidP="002A4F0C">
            <w:pPr>
              <w:spacing w:line="240" w:lineRule="auto"/>
              <w:jc w:val="center"/>
              <w:rPr>
                <w:rFonts w:ascii="Arial" w:hAnsi="Arial"/>
                <w:szCs w:val="22"/>
              </w:rPr>
            </w:pPr>
            <w:r w:rsidRPr="002A4F0C">
              <w:rPr>
                <w:rFonts w:ascii="Arial" w:hAnsi="Arial"/>
                <w:szCs w:val="22"/>
              </w:rPr>
              <w:t>18413</w:t>
            </w:r>
          </w:p>
        </w:tc>
        <w:tc>
          <w:tcPr>
            <w:tcW w:w="7938" w:type="dxa"/>
            <w:shd w:val="clear" w:color="auto" w:fill="auto"/>
            <w:vAlign w:val="bottom"/>
          </w:tcPr>
          <w:p w14:paraId="23E261EA" w14:textId="77777777" w:rsidR="002A4F0C" w:rsidRPr="002A4F0C" w:rsidRDefault="002A4F0C" w:rsidP="002A4F0C">
            <w:pPr>
              <w:spacing w:line="240" w:lineRule="auto"/>
              <w:rPr>
                <w:rFonts w:ascii="Arial" w:hAnsi="Arial"/>
                <w:szCs w:val="22"/>
              </w:rPr>
            </w:pPr>
            <w:r w:rsidRPr="002A4F0C">
              <w:rPr>
                <w:rFonts w:ascii="Arial" w:hAnsi="Arial"/>
                <w:szCs w:val="22"/>
              </w:rPr>
              <w:t>Evidence for neurotransmitter dysregulation identified or published since the review process (1999)[Addendum]. Http://www.gulflink.osd.mil/library/randrep/pb_paper/mr1018.2.add.html</w:t>
            </w:r>
          </w:p>
        </w:tc>
      </w:tr>
      <w:tr w:rsidR="002A4F0C" w:rsidRPr="002A4F0C" w14:paraId="0AA952EF" w14:textId="77777777" w:rsidTr="002A4F0C">
        <w:trPr>
          <w:cantSplit/>
        </w:trPr>
        <w:tc>
          <w:tcPr>
            <w:tcW w:w="1575" w:type="dxa"/>
            <w:shd w:val="clear" w:color="auto" w:fill="auto"/>
            <w:noWrap/>
            <w:vAlign w:val="center"/>
          </w:tcPr>
          <w:p w14:paraId="453C668C" w14:textId="77777777" w:rsidR="002A4F0C" w:rsidRPr="002A4F0C" w:rsidRDefault="002A4F0C" w:rsidP="002A4F0C">
            <w:pPr>
              <w:spacing w:line="240" w:lineRule="auto"/>
              <w:jc w:val="center"/>
              <w:rPr>
                <w:rFonts w:ascii="Arial" w:hAnsi="Arial"/>
                <w:szCs w:val="22"/>
              </w:rPr>
            </w:pPr>
            <w:r w:rsidRPr="002A4F0C">
              <w:rPr>
                <w:rFonts w:ascii="Arial" w:hAnsi="Arial"/>
                <w:szCs w:val="22"/>
              </w:rPr>
              <w:t>18414</w:t>
            </w:r>
          </w:p>
        </w:tc>
        <w:tc>
          <w:tcPr>
            <w:tcW w:w="7938" w:type="dxa"/>
            <w:shd w:val="clear" w:color="auto" w:fill="auto"/>
            <w:vAlign w:val="bottom"/>
          </w:tcPr>
          <w:p w14:paraId="3936E985" w14:textId="77777777" w:rsidR="002A4F0C" w:rsidRPr="002A4F0C" w:rsidRDefault="002A4F0C" w:rsidP="002A4F0C">
            <w:pPr>
              <w:spacing w:line="240" w:lineRule="auto"/>
              <w:rPr>
                <w:rFonts w:ascii="Arial" w:hAnsi="Arial"/>
                <w:szCs w:val="22"/>
              </w:rPr>
            </w:pPr>
            <w:r w:rsidRPr="002A4F0C">
              <w:rPr>
                <w:rFonts w:ascii="Arial" w:hAnsi="Arial"/>
                <w:szCs w:val="22"/>
              </w:rPr>
              <w:t>Chemical Exposure Conference (1999). DoD and RAND Release Report on Health Effects of Depleted Uranium. &lt;http://www.gulflinks.osd.mil/news/na_rand_du_15apr99.html&gt;</w:t>
            </w:r>
          </w:p>
        </w:tc>
      </w:tr>
      <w:tr w:rsidR="002A4F0C" w:rsidRPr="002A4F0C" w14:paraId="3E65F66A" w14:textId="77777777" w:rsidTr="002A4F0C">
        <w:trPr>
          <w:cantSplit/>
        </w:trPr>
        <w:tc>
          <w:tcPr>
            <w:tcW w:w="1575" w:type="dxa"/>
            <w:shd w:val="clear" w:color="auto" w:fill="auto"/>
            <w:noWrap/>
            <w:vAlign w:val="center"/>
          </w:tcPr>
          <w:p w14:paraId="1CDF5678" w14:textId="77777777" w:rsidR="002A4F0C" w:rsidRPr="002A4F0C" w:rsidRDefault="002A4F0C" w:rsidP="002A4F0C">
            <w:pPr>
              <w:spacing w:line="240" w:lineRule="auto"/>
              <w:jc w:val="center"/>
              <w:rPr>
                <w:rFonts w:ascii="Arial" w:hAnsi="Arial"/>
                <w:szCs w:val="22"/>
              </w:rPr>
            </w:pPr>
            <w:r w:rsidRPr="002A4F0C">
              <w:rPr>
                <w:rFonts w:ascii="Arial" w:hAnsi="Arial"/>
                <w:szCs w:val="22"/>
              </w:rPr>
              <w:t>18415</w:t>
            </w:r>
          </w:p>
        </w:tc>
        <w:tc>
          <w:tcPr>
            <w:tcW w:w="7938" w:type="dxa"/>
            <w:shd w:val="clear" w:color="auto" w:fill="auto"/>
            <w:vAlign w:val="bottom"/>
          </w:tcPr>
          <w:p w14:paraId="3F05038C" w14:textId="77777777" w:rsidR="002A4F0C" w:rsidRPr="002A4F0C" w:rsidRDefault="002A4F0C" w:rsidP="002A4F0C">
            <w:pPr>
              <w:spacing w:line="240" w:lineRule="auto"/>
              <w:rPr>
                <w:rFonts w:ascii="Arial" w:hAnsi="Arial"/>
                <w:szCs w:val="22"/>
              </w:rPr>
            </w:pPr>
            <w:r w:rsidRPr="002A4F0C">
              <w:rPr>
                <w:rFonts w:ascii="Arial" w:hAnsi="Arial"/>
                <w:szCs w:val="22"/>
              </w:rPr>
              <w:t>DoD, Rand Release Study of Nerve Agent Drug (1999). &lt;http://www.gulflink.osd.mil/cgi-bin/texis/search/gulfsearch/~Sovet0ruoeGzE…/view.htm&gt;</w:t>
            </w:r>
          </w:p>
        </w:tc>
      </w:tr>
      <w:tr w:rsidR="002A4F0C" w:rsidRPr="002A4F0C" w14:paraId="2E787B18" w14:textId="77777777" w:rsidTr="002A4F0C">
        <w:trPr>
          <w:cantSplit/>
        </w:trPr>
        <w:tc>
          <w:tcPr>
            <w:tcW w:w="1575" w:type="dxa"/>
            <w:shd w:val="clear" w:color="auto" w:fill="auto"/>
            <w:noWrap/>
            <w:vAlign w:val="center"/>
          </w:tcPr>
          <w:p w14:paraId="68AB1134" w14:textId="77777777" w:rsidR="002A4F0C" w:rsidRPr="002A4F0C" w:rsidRDefault="002A4F0C" w:rsidP="002A4F0C">
            <w:pPr>
              <w:spacing w:line="240" w:lineRule="auto"/>
              <w:jc w:val="center"/>
              <w:rPr>
                <w:rFonts w:ascii="Arial" w:hAnsi="Arial"/>
                <w:szCs w:val="22"/>
              </w:rPr>
            </w:pPr>
            <w:r w:rsidRPr="002A4F0C">
              <w:rPr>
                <w:rFonts w:ascii="Arial" w:hAnsi="Arial"/>
                <w:szCs w:val="22"/>
              </w:rPr>
              <w:t>18416</w:t>
            </w:r>
          </w:p>
        </w:tc>
        <w:tc>
          <w:tcPr>
            <w:tcW w:w="7938" w:type="dxa"/>
            <w:shd w:val="clear" w:color="auto" w:fill="auto"/>
            <w:vAlign w:val="bottom"/>
          </w:tcPr>
          <w:p w14:paraId="05BFE9C9" w14:textId="77777777" w:rsidR="002A4F0C" w:rsidRPr="002A4F0C" w:rsidRDefault="002A4F0C" w:rsidP="002A4F0C">
            <w:pPr>
              <w:spacing w:line="240" w:lineRule="auto"/>
              <w:rPr>
                <w:rFonts w:ascii="Arial" w:hAnsi="Arial"/>
                <w:szCs w:val="22"/>
              </w:rPr>
            </w:pPr>
            <w:r w:rsidRPr="002A4F0C">
              <w:rPr>
                <w:rFonts w:ascii="Arial" w:hAnsi="Arial"/>
                <w:szCs w:val="22"/>
              </w:rPr>
              <w:t>Report Probes Risks of CARC Paint Exposure to Gulf War Veterans (1999). &lt;http://www.gulflink.osd.mil/news/na_carc_paint24feb00.html&gt;</w:t>
            </w:r>
          </w:p>
        </w:tc>
      </w:tr>
      <w:tr w:rsidR="002A4F0C" w:rsidRPr="002A4F0C" w14:paraId="6BDED2D0" w14:textId="77777777" w:rsidTr="002A4F0C">
        <w:trPr>
          <w:cantSplit/>
        </w:trPr>
        <w:tc>
          <w:tcPr>
            <w:tcW w:w="1575" w:type="dxa"/>
            <w:shd w:val="clear" w:color="auto" w:fill="auto"/>
            <w:noWrap/>
            <w:vAlign w:val="center"/>
          </w:tcPr>
          <w:p w14:paraId="5F170E99" w14:textId="77777777" w:rsidR="002A4F0C" w:rsidRPr="002A4F0C" w:rsidRDefault="002A4F0C" w:rsidP="002A4F0C">
            <w:pPr>
              <w:spacing w:line="240" w:lineRule="auto"/>
              <w:jc w:val="center"/>
              <w:rPr>
                <w:rFonts w:ascii="Arial" w:hAnsi="Arial"/>
                <w:szCs w:val="22"/>
              </w:rPr>
            </w:pPr>
            <w:r w:rsidRPr="002A4F0C">
              <w:rPr>
                <w:rFonts w:ascii="Arial" w:hAnsi="Arial"/>
                <w:szCs w:val="22"/>
              </w:rPr>
              <w:t>18453</w:t>
            </w:r>
          </w:p>
        </w:tc>
        <w:tc>
          <w:tcPr>
            <w:tcW w:w="7938" w:type="dxa"/>
            <w:shd w:val="clear" w:color="auto" w:fill="auto"/>
            <w:vAlign w:val="bottom"/>
          </w:tcPr>
          <w:p w14:paraId="1297FD58" w14:textId="77777777" w:rsidR="002A4F0C" w:rsidRPr="002A4F0C" w:rsidRDefault="002A4F0C" w:rsidP="002A4F0C">
            <w:pPr>
              <w:spacing w:line="240" w:lineRule="auto"/>
              <w:rPr>
                <w:rFonts w:ascii="Arial" w:hAnsi="Arial"/>
                <w:szCs w:val="22"/>
              </w:rPr>
            </w:pPr>
            <w:r w:rsidRPr="002A4F0C">
              <w:rPr>
                <w:rFonts w:ascii="Arial" w:hAnsi="Arial"/>
                <w:szCs w:val="22"/>
              </w:rPr>
              <w:t>Golomb BA (1999)[Summary Only]. A Review of the Scientific Literature As It pertains to Gulf War Illness. RAND Report, Volume 2 Pyridostigmine Bromide.&lt;http://www.gulflink.osd.mil/library/randrep/pb_paper/mr1018.2.pref.html&gt;</w:t>
            </w:r>
          </w:p>
        </w:tc>
      </w:tr>
      <w:tr w:rsidR="002A4F0C" w:rsidRPr="002A4F0C" w14:paraId="738FCAEE" w14:textId="77777777" w:rsidTr="002A4F0C">
        <w:trPr>
          <w:cantSplit/>
        </w:trPr>
        <w:tc>
          <w:tcPr>
            <w:tcW w:w="1575" w:type="dxa"/>
            <w:shd w:val="clear" w:color="auto" w:fill="auto"/>
            <w:noWrap/>
            <w:vAlign w:val="center"/>
          </w:tcPr>
          <w:p w14:paraId="5E4A5817" w14:textId="77777777" w:rsidR="002A4F0C" w:rsidRPr="002A4F0C" w:rsidRDefault="002A4F0C" w:rsidP="002A4F0C">
            <w:pPr>
              <w:spacing w:line="240" w:lineRule="auto"/>
              <w:jc w:val="center"/>
              <w:rPr>
                <w:rFonts w:ascii="Arial" w:hAnsi="Arial"/>
                <w:szCs w:val="22"/>
              </w:rPr>
            </w:pPr>
            <w:r w:rsidRPr="002A4F0C">
              <w:rPr>
                <w:rFonts w:ascii="Arial" w:hAnsi="Arial"/>
                <w:szCs w:val="22"/>
              </w:rPr>
              <w:t>18634</w:t>
            </w:r>
          </w:p>
        </w:tc>
        <w:tc>
          <w:tcPr>
            <w:tcW w:w="7938" w:type="dxa"/>
            <w:shd w:val="clear" w:color="auto" w:fill="auto"/>
            <w:vAlign w:val="bottom"/>
          </w:tcPr>
          <w:p w14:paraId="65226529" w14:textId="77777777" w:rsidR="002A4F0C" w:rsidRPr="002A4F0C" w:rsidRDefault="002A4F0C" w:rsidP="002A4F0C">
            <w:pPr>
              <w:spacing w:line="240" w:lineRule="auto"/>
              <w:rPr>
                <w:rFonts w:ascii="Arial" w:hAnsi="Arial"/>
                <w:szCs w:val="22"/>
              </w:rPr>
            </w:pPr>
            <w:r w:rsidRPr="002A4F0C">
              <w:rPr>
                <w:rFonts w:ascii="Arial" w:hAnsi="Arial"/>
                <w:szCs w:val="22"/>
              </w:rPr>
              <w:t>Bernstein D and Kelley T; FumentoM (1995). Is the Gulf War Syndrome real? The YES Case [ Bernstein D and Kelley T (1995). "The Gulf War Comes Home: Sickness Spreads, but the Pentagon Denies All", The Progressive, Madison, USA]. The NO Case [Fumento M (1995). "What Gulf War Syndrome?". The American Spectator May 1995].</w:t>
            </w:r>
          </w:p>
        </w:tc>
      </w:tr>
      <w:tr w:rsidR="002A4F0C" w:rsidRPr="002A4F0C" w14:paraId="2E7323D3" w14:textId="77777777" w:rsidTr="002A4F0C">
        <w:trPr>
          <w:cantSplit/>
        </w:trPr>
        <w:tc>
          <w:tcPr>
            <w:tcW w:w="1575" w:type="dxa"/>
            <w:shd w:val="clear" w:color="auto" w:fill="auto"/>
            <w:noWrap/>
            <w:vAlign w:val="center"/>
          </w:tcPr>
          <w:p w14:paraId="6E690205" w14:textId="77777777" w:rsidR="002A4F0C" w:rsidRPr="002A4F0C" w:rsidRDefault="002A4F0C" w:rsidP="002A4F0C">
            <w:pPr>
              <w:spacing w:line="240" w:lineRule="auto"/>
              <w:jc w:val="center"/>
              <w:rPr>
                <w:rFonts w:ascii="Arial" w:hAnsi="Arial"/>
                <w:szCs w:val="22"/>
              </w:rPr>
            </w:pPr>
            <w:r w:rsidRPr="002A4F0C">
              <w:rPr>
                <w:rFonts w:ascii="Arial" w:hAnsi="Arial"/>
                <w:szCs w:val="22"/>
              </w:rPr>
              <w:t>18638</w:t>
            </w:r>
          </w:p>
        </w:tc>
        <w:tc>
          <w:tcPr>
            <w:tcW w:w="7938" w:type="dxa"/>
            <w:shd w:val="clear" w:color="auto" w:fill="auto"/>
            <w:vAlign w:val="bottom"/>
          </w:tcPr>
          <w:p w14:paraId="4D7F79DE" w14:textId="77777777" w:rsidR="002A4F0C" w:rsidRPr="002A4F0C" w:rsidRDefault="002A4F0C" w:rsidP="002A4F0C">
            <w:pPr>
              <w:spacing w:line="240" w:lineRule="auto"/>
              <w:rPr>
                <w:rFonts w:ascii="Arial" w:hAnsi="Arial"/>
                <w:szCs w:val="22"/>
              </w:rPr>
            </w:pPr>
            <w:r w:rsidRPr="002A4F0C">
              <w:rPr>
                <w:rFonts w:ascii="Arial" w:hAnsi="Arial"/>
                <w:szCs w:val="22"/>
              </w:rPr>
              <w:t>Spektor DM (1998). A Review of the Scientific Literature As It pertains to Gulf War Illness - Oil Well Fires. RAND Report, Volume 6. &lt;http://www.gulflink.osd.mil/library/rowl&gt;</w:t>
            </w:r>
          </w:p>
        </w:tc>
      </w:tr>
      <w:tr w:rsidR="002A4F0C" w:rsidRPr="002A4F0C" w14:paraId="60A9913E" w14:textId="77777777" w:rsidTr="002A4F0C">
        <w:trPr>
          <w:cantSplit/>
        </w:trPr>
        <w:tc>
          <w:tcPr>
            <w:tcW w:w="1575" w:type="dxa"/>
            <w:shd w:val="clear" w:color="auto" w:fill="auto"/>
            <w:noWrap/>
            <w:vAlign w:val="center"/>
          </w:tcPr>
          <w:p w14:paraId="123217E4" w14:textId="77777777" w:rsidR="002A4F0C" w:rsidRPr="002A4F0C" w:rsidRDefault="002A4F0C" w:rsidP="002A4F0C">
            <w:pPr>
              <w:spacing w:line="240" w:lineRule="auto"/>
              <w:jc w:val="center"/>
              <w:rPr>
                <w:rFonts w:ascii="Arial" w:hAnsi="Arial"/>
                <w:szCs w:val="22"/>
              </w:rPr>
            </w:pPr>
            <w:r w:rsidRPr="002A4F0C">
              <w:rPr>
                <w:rFonts w:ascii="Arial" w:hAnsi="Arial"/>
                <w:szCs w:val="22"/>
              </w:rPr>
              <w:t>18643</w:t>
            </w:r>
          </w:p>
        </w:tc>
        <w:tc>
          <w:tcPr>
            <w:tcW w:w="7938" w:type="dxa"/>
            <w:shd w:val="clear" w:color="auto" w:fill="auto"/>
            <w:vAlign w:val="bottom"/>
          </w:tcPr>
          <w:p w14:paraId="26CB4F2F" w14:textId="77777777" w:rsidR="002A4F0C" w:rsidRPr="002A4F0C" w:rsidRDefault="002A4F0C" w:rsidP="002A4F0C">
            <w:pPr>
              <w:spacing w:line="240" w:lineRule="auto"/>
              <w:rPr>
                <w:rFonts w:ascii="Arial" w:hAnsi="Arial"/>
                <w:szCs w:val="22"/>
              </w:rPr>
            </w:pPr>
            <w:r w:rsidRPr="002A4F0C">
              <w:rPr>
                <w:rFonts w:ascii="Arial" w:hAnsi="Arial"/>
                <w:szCs w:val="22"/>
              </w:rPr>
              <w:t>Milano F (1997). Gulf War Syndrome: the 'the Agent Orange' of the nineties. International Social Science Review, 75(1&amp;2) pp 16-25.</w:t>
            </w:r>
          </w:p>
        </w:tc>
      </w:tr>
      <w:tr w:rsidR="002A4F0C" w:rsidRPr="002A4F0C" w14:paraId="40822120" w14:textId="77777777" w:rsidTr="002A4F0C">
        <w:trPr>
          <w:cantSplit/>
        </w:trPr>
        <w:tc>
          <w:tcPr>
            <w:tcW w:w="1575" w:type="dxa"/>
            <w:shd w:val="clear" w:color="auto" w:fill="auto"/>
            <w:noWrap/>
            <w:vAlign w:val="center"/>
          </w:tcPr>
          <w:p w14:paraId="6435E930" w14:textId="77777777" w:rsidR="002A4F0C" w:rsidRPr="002A4F0C" w:rsidRDefault="002A4F0C" w:rsidP="002A4F0C">
            <w:pPr>
              <w:spacing w:line="240" w:lineRule="auto"/>
              <w:jc w:val="center"/>
              <w:rPr>
                <w:rFonts w:ascii="Arial" w:hAnsi="Arial"/>
                <w:szCs w:val="22"/>
              </w:rPr>
            </w:pPr>
            <w:r w:rsidRPr="002A4F0C">
              <w:rPr>
                <w:rFonts w:ascii="Arial" w:hAnsi="Arial"/>
                <w:szCs w:val="22"/>
              </w:rPr>
              <w:t>18742</w:t>
            </w:r>
          </w:p>
        </w:tc>
        <w:tc>
          <w:tcPr>
            <w:tcW w:w="7938" w:type="dxa"/>
            <w:shd w:val="clear" w:color="auto" w:fill="auto"/>
            <w:vAlign w:val="bottom"/>
          </w:tcPr>
          <w:p w14:paraId="033FC556" w14:textId="77777777" w:rsidR="002A4F0C" w:rsidRPr="002A4F0C" w:rsidRDefault="002A4F0C" w:rsidP="002A4F0C">
            <w:pPr>
              <w:spacing w:line="240" w:lineRule="auto"/>
              <w:rPr>
                <w:rFonts w:ascii="Arial" w:hAnsi="Arial"/>
                <w:szCs w:val="22"/>
              </w:rPr>
            </w:pPr>
            <w:r w:rsidRPr="002A4F0C">
              <w:rPr>
                <w:rFonts w:ascii="Arial" w:hAnsi="Arial"/>
                <w:szCs w:val="22"/>
              </w:rPr>
              <w:t>Haley RW, Marshall WW, McDonald GG, et al (2000). Brain abnormalities in Gulf War syndrome: evaluation with 1H MR spectroscopy. Radiology, 215(3): 807-17.</w:t>
            </w:r>
          </w:p>
        </w:tc>
      </w:tr>
      <w:tr w:rsidR="002A4F0C" w:rsidRPr="002A4F0C" w14:paraId="059EA8A7" w14:textId="77777777" w:rsidTr="002A4F0C">
        <w:trPr>
          <w:cantSplit/>
        </w:trPr>
        <w:tc>
          <w:tcPr>
            <w:tcW w:w="1575" w:type="dxa"/>
            <w:shd w:val="clear" w:color="auto" w:fill="auto"/>
            <w:noWrap/>
            <w:vAlign w:val="center"/>
          </w:tcPr>
          <w:p w14:paraId="5B3D9AE6" w14:textId="77777777" w:rsidR="002A4F0C" w:rsidRPr="002A4F0C" w:rsidRDefault="002A4F0C" w:rsidP="002A4F0C">
            <w:pPr>
              <w:spacing w:line="240" w:lineRule="auto"/>
              <w:jc w:val="center"/>
              <w:rPr>
                <w:rFonts w:ascii="Arial" w:hAnsi="Arial"/>
                <w:szCs w:val="22"/>
              </w:rPr>
            </w:pPr>
            <w:r w:rsidRPr="002A4F0C">
              <w:rPr>
                <w:rFonts w:ascii="Arial" w:hAnsi="Arial"/>
                <w:szCs w:val="22"/>
              </w:rPr>
              <w:t>18743</w:t>
            </w:r>
          </w:p>
        </w:tc>
        <w:tc>
          <w:tcPr>
            <w:tcW w:w="7938" w:type="dxa"/>
            <w:shd w:val="clear" w:color="auto" w:fill="auto"/>
            <w:vAlign w:val="bottom"/>
          </w:tcPr>
          <w:p w14:paraId="656C44F7" w14:textId="77777777" w:rsidR="002A4F0C" w:rsidRPr="002A4F0C" w:rsidRDefault="002A4F0C" w:rsidP="002A4F0C">
            <w:pPr>
              <w:spacing w:line="240" w:lineRule="auto"/>
              <w:rPr>
                <w:rFonts w:ascii="Arial" w:hAnsi="Arial"/>
                <w:szCs w:val="22"/>
              </w:rPr>
            </w:pPr>
            <w:r w:rsidRPr="002A4F0C">
              <w:rPr>
                <w:rFonts w:ascii="Arial" w:hAnsi="Arial"/>
                <w:szCs w:val="22"/>
              </w:rPr>
              <w:t>Michalek JE, Ketchum NS, Check IJ (1999). Serum dioxin and immunologic response in veterans of operation ranch hand. American Journal of Epidemiology, 149(11) pp 1038-1046.</w:t>
            </w:r>
          </w:p>
        </w:tc>
      </w:tr>
      <w:tr w:rsidR="002A4F0C" w:rsidRPr="002A4F0C" w14:paraId="1F26A1E8" w14:textId="77777777" w:rsidTr="002A4F0C">
        <w:trPr>
          <w:cantSplit/>
        </w:trPr>
        <w:tc>
          <w:tcPr>
            <w:tcW w:w="1575" w:type="dxa"/>
            <w:shd w:val="clear" w:color="auto" w:fill="auto"/>
            <w:noWrap/>
            <w:vAlign w:val="center"/>
          </w:tcPr>
          <w:p w14:paraId="32B8B7E1" w14:textId="77777777" w:rsidR="002A4F0C" w:rsidRPr="002A4F0C" w:rsidRDefault="002A4F0C" w:rsidP="002A4F0C">
            <w:pPr>
              <w:spacing w:line="240" w:lineRule="auto"/>
              <w:jc w:val="center"/>
              <w:rPr>
                <w:rFonts w:ascii="Arial" w:hAnsi="Arial"/>
                <w:szCs w:val="22"/>
              </w:rPr>
            </w:pPr>
            <w:r w:rsidRPr="002A4F0C">
              <w:rPr>
                <w:rFonts w:ascii="Arial" w:hAnsi="Arial"/>
                <w:szCs w:val="22"/>
              </w:rPr>
              <w:t>18744</w:t>
            </w:r>
          </w:p>
        </w:tc>
        <w:tc>
          <w:tcPr>
            <w:tcW w:w="7938" w:type="dxa"/>
            <w:shd w:val="clear" w:color="auto" w:fill="auto"/>
            <w:vAlign w:val="bottom"/>
          </w:tcPr>
          <w:p w14:paraId="737308D4" w14:textId="77777777" w:rsidR="002A4F0C" w:rsidRPr="002A4F0C" w:rsidRDefault="002A4F0C" w:rsidP="002A4F0C">
            <w:pPr>
              <w:spacing w:line="240" w:lineRule="auto"/>
              <w:rPr>
                <w:rFonts w:ascii="Arial" w:hAnsi="Arial"/>
                <w:szCs w:val="22"/>
              </w:rPr>
            </w:pPr>
            <w:r w:rsidRPr="002A4F0C">
              <w:rPr>
                <w:rFonts w:ascii="Arial" w:hAnsi="Arial"/>
                <w:szCs w:val="22"/>
              </w:rPr>
              <w:t>Ketchum NS, Michalek JE, &amp; Burton JE (1999). Serum dioxin and cancer in veterans of operation ranch hand. American Journal of Epidemiology, Vol 149 (7) pp 630-9.</w:t>
            </w:r>
          </w:p>
        </w:tc>
      </w:tr>
      <w:tr w:rsidR="002A4F0C" w:rsidRPr="002A4F0C" w14:paraId="1C670F14" w14:textId="77777777" w:rsidTr="002A4F0C">
        <w:trPr>
          <w:cantSplit/>
        </w:trPr>
        <w:tc>
          <w:tcPr>
            <w:tcW w:w="1575" w:type="dxa"/>
            <w:shd w:val="clear" w:color="auto" w:fill="auto"/>
            <w:noWrap/>
            <w:vAlign w:val="center"/>
          </w:tcPr>
          <w:p w14:paraId="281E028C" w14:textId="77777777" w:rsidR="002A4F0C" w:rsidRPr="002A4F0C" w:rsidRDefault="002A4F0C" w:rsidP="002A4F0C">
            <w:pPr>
              <w:spacing w:line="240" w:lineRule="auto"/>
              <w:jc w:val="center"/>
              <w:rPr>
                <w:rFonts w:ascii="Arial" w:hAnsi="Arial"/>
                <w:szCs w:val="22"/>
              </w:rPr>
            </w:pPr>
            <w:r w:rsidRPr="002A4F0C">
              <w:rPr>
                <w:rFonts w:ascii="Arial" w:hAnsi="Arial"/>
                <w:szCs w:val="22"/>
              </w:rPr>
              <w:t>18819</w:t>
            </w:r>
          </w:p>
        </w:tc>
        <w:tc>
          <w:tcPr>
            <w:tcW w:w="7938" w:type="dxa"/>
            <w:shd w:val="clear" w:color="auto" w:fill="auto"/>
            <w:vAlign w:val="bottom"/>
          </w:tcPr>
          <w:p w14:paraId="2254705B" w14:textId="77777777" w:rsidR="002A4F0C" w:rsidRPr="002A4F0C" w:rsidRDefault="002A4F0C" w:rsidP="002A4F0C">
            <w:pPr>
              <w:spacing w:line="240" w:lineRule="auto"/>
              <w:rPr>
                <w:rFonts w:ascii="Arial" w:hAnsi="Arial"/>
                <w:szCs w:val="22"/>
              </w:rPr>
            </w:pPr>
            <w:r w:rsidRPr="002A4F0C">
              <w:rPr>
                <w:rFonts w:ascii="Arial" w:hAnsi="Arial"/>
                <w:szCs w:val="22"/>
              </w:rPr>
              <w:t>Michalek JE, Tripathi RC (1999). Pharmacokinetics of TCDD in veterans of operation ranch hand: 15-year follow-up. Journal of Toxicology &amp; Environmental Health, 57(6) pp 369-378.</w:t>
            </w:r>
          </w:p>
        </w:tc>
      </w:tr>
      <w:tr w:rsidR="002A4F0C" w:rsidRPr="002A4F0C" w14:paraId="28321B65" w14:textId="77777777" w:rsidTr="002A4F0C">
        <w:trPr>
          <w:cantSplit/>
        </w:trPr>
        <w:tc>
          <w:tcPr>
            <w:tcW w:w="1575" w:type="dxa"/>
            <w:shd w:val="clear" w:color="auto" w:fill="auto"/>
            <w:noWrap/>
            <w:vAlign w:val="center"/>
          </w:tcPr>
          <w:p w14:paraId="38BA38B3" w14:textId="77777777" w:rsidR="002A4F0C" w:rsidRPr="002A4F0C" w:rsidRDefault="002A4F0C" w:rsidP="002A4F0C">
            <w:pPr>
              <w:spacing w:line="240" w:lineRule="auto"/>
              <w:jc w:val="center"/>
              <w:rPr>
                <w:rFonts w:ascii="Arial" w:hAnsi="Arial"/>
                <w:szCs w:val="22"/>
              </w:rPr>
            </w:pPr>
            <w:r w:rsidRPr="002A4F0C">
              <w:rPr>
                <w:rFonts w:ascii="Arial" w:hAnsi="Arial"/>
                <w:szCs w:val="22"/>
              </w:rPr>
              <w:t>18834</w:t>
            </w:r>
          </w:p>
        </w:tc>
        <w:tc>
          <w:tcPr>
            <w:tcW w:w="7938" w:type="dxa"/>
            <w:shd w:val="clear" w:color="auto" w:fill="auto"/>
            <w:vAlign w:val="bottom"/>
          </w:tcPr>
          <w:p w14:paraId="5B1DFAF9" w14:textId="77777777" w:rsidR="002A4F0C" w:rsidRPr="002A4F0C" w:rsidRDefault="002A4F0C" w:rsidP="002A4F0C">
            <w:pPr>
              <w:spacing w:line="240" w:lineRule="auto"/>
              <w:rPr>
                <w:rFonts w:ascii="Arial" w:hAnsi="Arial"/>
                <w:szCs w:val="22"/>
              </w:rPr>
            </w:pPr>
            <w:r w:rsidRPr="002A4F0C">
              <w:rPr>
                <w:rFonts w:ascii="Arial" w:hAnsi="Arial"/>
                <w:szCs w:val="22"/>
              </w:rPr>
              <w:t>Anonymous (2000). Multiple vaccines received during deployment may explain Gulf war illness. BMJ Vol 320 (7246) p 320:B.</w:t>
            </w:r>
          </w:p>
        </w:tc>
      </w:tr>
      <w:tr w:rsidR="002A4F0C" w:rsidRPr="002A4F0C" w14:paraId="079C8D3D" w14:textId="77777777" w:rsidTr="002A4F0C">
        <w:trPr>
          <w:cantSplit/>
        </w:trPr>
        <w:tc>
          <w:tcPr>
            <w:tcW w:w="1575" w:type="dxa"/>
            <w:shd w:val="clear" w:color="auto" w:fill="auto"/>
            <w:noWrap/>
            <w:vAlign w:val="center"/>
          </w:tcPr>
          <w:p w14:paraId="2551AB9D" w14:textId="77777777" w:rsidR="002A4F0C" w:rsidRPr="002A4F0C" w:rsidRDefault="002A4F0C" w:rsidP="002A4F0C">
            <w:pPr>
              <w:spacing w:line="240" w:lineRule="auto"/>
              <w:jc w:val="center"/>
              <w:rPr>
                <w:rFonts w:ascii="Arial" w:hAnsi="Arial"/>
                <w:szCs w:val="22"/>
              </w:rPr>
            </w:pPr>
            <w:r w:rsidRPr="002A4F0C">
              <w:rPr>
                <w:rFonts w:ascii="Arial" w:hAnsi="Arial"/>
                <w:szCs w:val="22"/>
              </w:rPr>
              <w:t>18835</w:t>
            </w:r>
          </w:p>
        </w:tc>
        <w:tc>
          <w:tcPr>
            <w:tcW w:w="7938" w:type="dxa"/>
            <w:shd w:val="clear" w:color="auto" w:fill="auto"/>
            <w:vAlign w:val="bottom"/>
          </w:tcPr>
          <w:p w14:paraId="4931692C" w14:textId="77777777" w:rsidR="002A4F0C" w:rsidRPr="002A4F0C" w:rsidRDefault="002A4F0C" w:rsidP="002A4F0C">
            <w:pPr>
              <w:spacing w:line="240" w:lineRule="auto"/>
              <w:rPr>
                <w:rFonts w:ascii="Arial" w:hAnsi="Arial"/>
                <w:szCs w:val="22"/>
              </w:rPr>
            </w:pPr>
            <w:r w:rsidRPr="002A4F0C">
              <w:rPr>
                <w:rFonts w:ascii="Arial" w:hAnsi="Arial"/>
                <w:szCs w:val="22"/>
              </w:rPr>
              <w:t>Shaheen S (2000). Shots in the desert and Gulf war syndrome. Evidence that multiple vaccinations during deployment are to blame is inconclusive. BMJ, 320(7246): 1351-2.</w:t>
            </w:r>
          </w:p>
        </w:tc>
      </w:tr>
      <w:tr w:rsidR="002A4F0C" w:rsidRPr="002A4F0C" w14:paraId="5FD1EBC4" w14:textId="77777777" w:rsidTr="002A4F0C">
        <w:trPr>
          <w:cantSplit/>
        </w:trPr>
        <w:tc>
          <w:tcPr>
            <w:tcW w:w="1575" w:type="dxa"/>
            <w:shd w:val="clear" w:color="auto" w:fill="auto"/>
            <w:noWrap/>
            <w:vAlign w:val="center"/>
          </w:tcPr>
          <w:p w14:paraId="1BE2FEE1" w14:textId="77777777" w:rsidR="002A4F0C" w:rsidRPr="002A4F0C" w:rsidRDefault="002A4F0C" w:rsidP="002A4F0C">
            <w:pPr>
              <w:spacing w:line="240" w:lineRule="auto"/>
              <w:jc w:val="center"/>
              <w:rPr>
                <w:rFonts w:ascii="Arial" w:hAnsi="Arial"/>
                <w:szCs w:val="22"/>
              </w:rPr>
            </w:pPr>
            <w:r w:rsidRPr="002A4F0C">
              <w:rPr>
                <w:rFonts w:ascii="Arial" w:hAnsi="Arial"/>
                <w:szCs w:val="22"/>
              </w:rPr>
              <w:t>18836</w:t>
            </w:r>
          </w:p>
        </w:tc>
        <w:tc>
          <w:tcPr>
            <w:tcW w:w="7938" w:type="dxa"/>
            <w:shd w:val="clear" w:color="auto" w:fill="auto"/>
            <w:vAlign w:val="bottom"/>
          </w:tcPr>
          <w:p w14:paraId="6E58CD89" w14:textId="77777777" w:rsidR="002A4F0C" w:rsidRPr="002A4F0C" w:rsidRDefault="002A4F0C" w:rsidP="002A4F0C">
            <w:pPr>
              <w:spacing w:line="240" w:lineRule="auto"/>
              <w:rPr>
                <w:rFonts w:ascii="Arial" w:hAnsi="Arial"/>
                <w:szCs w:val="22"/>
              </w:rPr>
            </w:pPr>
            <w:r w:rsidRPr="002A4F0C">
              <w:rPr>
                <w:rFonts w:ascii="Arial" w:hAnsi="Arial"/>
                <w:szCs w:val="22"/>
              </w:rPr>
              <w:t>Hotopf M, David A, Hull L, Unwin C, Wessely S (2000). Role of vaccinations as risk factors for ill health in veterans of the Gulf war: cross sectional study. BMJ, Vol 320 (7246) pp 1363-7.</w:t>
            </w:r>
          </w:p>
        </w:tc>
      </w:tr>
      <w:tr w:rsidR="002A4F0C" w:rsidRPr="002A4F0C" w14:paraId="19E81F15" w14:textId="77777777" w:rsidTr="002A4F0C">
        <w:trPr>
          <w:cantSplit/>
        </w:trPr>
        <w:tc>
          <w:tcPr>
            <w:tcW w:w="1575" w:type="dxa"/>
            <w:shd w:val="clear" w:color="auto" w:fill="auto"/>
            <w:noWrap/>
            <w:vAlign w:val="center"/>
          </w:tcPr>
          <w:p w14:paraId="134EA6BB" w14:textId="77777777" w:rsidR="002A4F0C" w:rsidRPr="002A4F0C" w:rsidRDefault="002A4F0C" w:rsidP="002A4F0C">
            <w:pPr>
              <w:spacing w:line="240" w:lineRule="auto"/>
              <w:jc w:val="center"/>
              <w:rPr>
                <w:rFonts w:ascii="Arial" w:hAnsi="Arial"/>
                <w:szCs w:val="22"/>
              </w:rPr>
            </w:pPr>
            <w:r w:rsidRPr="002A4F0C">
              <w:rPr>
                <w:rFonts w:ascii="Arial" w:hAnsi="Arial"/>
                <w:szCs w:val="22"/>
              </w:rPr>
              <w:t>18969</w:t>
            </w:r>
          </w:p>
        </w:tc>
        <w:tc>
          <w:tcPr>
            <w:tcW w:w="7938" w:type="dxa"/>
            <w:shd w:val="clear" w:color="auto" w:fill="auto"/>
            <w:vAlign w:val="bottom"/>
          </w:tcPr>
          <w:p w14:paraId="4B5F1652" w14:textId="77777777" w:rsidR="002A4F0C" w:rsidRPr="002A4F0C" w:rsidRDefault="002A4F0C" w:rsidP="002A4F0C">
            <w:pPr>
              <w:spacing w:line="240" w:lineRule="auto"/>
              <w:rPr>
                <w:rFonts w:ascii="Arial" w:hAnsi="Arial"/>
                <w:szCs w:val="22"/>
              </w:rPr>
            </w:pPr>
            <w:r w:rsidRPr="002A4F0C">
              <w:rPr>
                <w:rFonts w:ascii="Arial" w:hAnsi="Arial"/>
                <w:szCs w:val="22"/>
              </w:rPr>
              <w:t>Pearn J (2000). Traumatic stress disorders: a classification with implications for prevention and management. Military Medicine, 165(6) pp 434-440.</w:t>
            </w:r>
          </w:p>
        </w:tc>
      </w:tr>
      <w:tr w:rsidR="002A4F0C" w:rsidRPr="002A4F0C" w14:paraId="058C04EE" w14:textId="77777777" w:rsidTr="002A4F0C">
        <w:trPr>
          <w:cantSplit/>
        </w:trPr>
        <w:tc>
          <w:tcPr>
            <w:tcW w:w="1575" w:type="dxa"/>
            <w:shd w:val="clear" w:color="auto" w:fill="auto"/>
            <w:noWrap/>
            <w:vAlign w:val="center"/>
          </w:tcPr>
          <w:p w14:paraId="78FD338E" w14:textId="77777777" w:rsidR="002A4F0C" w:rsidRPr="002A4F0C" w:rsidRDefault="002A4F0C" w:rsidP="002A4F0C">
            <w:pPr>
              <w:spacing w:line="240" w:lineRule="auto"/>
              <w:jc w:val="center"/>
              <w:rPr>
                <w:rFonts w:ascii="Arial" w:hAnsi="Arial"/>
                <w:szCs w:val="22"/>
              </w:rPr>
            </w:pPr>
            <w:r w:rsidRPr="002A4F0C">
              <w:rPr>
                <w:rFonts w:ascii="Arial" w:hAnsi="Arial"/>
                <w:szCs w:val="22"/>
              </w:rPr>
              <w:t>19359</w:t>
            </w:r>
          </w:p>
        </w:tc>
        <w:tc>
          <w:tcPr>
            <w:tcW w:w="7938" w:type="dxa"/>
            <w:shd w:val="clear" w:color="auto" w:fill="auto"/>
            <w:vAlign w:val="bottom"/>
          </w:tcPr>
          <w:p w14:paraId="24AFC101" w14:textId="77777777" w:rsidR="002A4F0C" w:rsidRPr="002A4F0C" w:rsidRDefault="002A4F0C" w:rsidP="002A4F0C">
            <w:pPr>
              <w:spacing w:line="240" w:lineRule="auto"/>
              <w:rPr>
                <w:rFonts w:ascii="Arial" w:hAnsi="Arial"/>
                <w:szCs w:val="22"/>
              </w:rPr>
            </w:pPr>
            <w:r w:rsidRPr="002A4F0C">
              <w:rPr>
                <w:rFonts w:ascii="Arial" w:hAnsi="Arial"/>
                <w:szCs w:val="22"/>
              </w:rPr>
              <w:t>Riddle JR, Hyams KC, Murphy FM and Mazzuchi JF (2000). In the borderland between health and disease following the Gulf War. Mayo Clinic Proceedings, 75(8) pp 777-779.</w:t>
            </w:r>
          </w:p>
        </w:tc>
      </w:tr>
      <w:tr w:rsidR="002A4F0C" w:rsidRPr="002A4F0C" w14:paraId="3E00EBEB" w14:textId="77777777" w:rsidTr="002A4F0C">
        <w:trPr>
          <w:cantSplit/>
        </w:trPr>
        <w:tc>
          <w:tcPr>
            <w:tcW w:w="1575" w:type="dxa"/>
            <w:shd w:val="clear" w:color="auto" w:fill="auto"/>
            <w:noWrap/>
            <w:vAlign w:val="center"/>
          </w:tcPr>
          <w:p w14:paraId="67A5CF76" w14:textId="77777777" w:rsidR="002A4F0C" w:rsidRPr="002A4F0C" w:rsidRDefault="002A4F0C" w:rsidP="002A4F0C">
            <w:pPr>
              <w:spacing w:line="240" w:lineRule="auto"/>
              <w:jc w:val="center"/>
              <w:rPr>
                <w:rFonts w:ascii="Arial" w:hAnsi="Arial"/>
                <w:szCs w:val="22"/>
              </w:rPr>
            </w:pPr>
            <w:r w:rsidRPr="002A4F0C">
              <w:rPr>
                <w:rFonts w:ascii="Arial" w:hAnsi="Arial"/>
                <w:szCs w:val="22"/>
              </w:rPr>
              <w:t>19429</w:t>
            </w:r>
          </w:p>
        </w:tc>
        <w:tc>
          <w:tcPr>
            <w:tcW w:w="7938" w:type="dxa"/>
            <w:shd w:val="clear" w:color="auto" w:fill="auto"/>
            <w:vAlign w:val="bottom"/>
          </w:tcPr>
          <w:p w14:paraId="5F14DA20" w14:textId="77777777" w:rsidR="002A4F0C" w:rsidRPr="002A4F0C" w:rsidRDefault="002A4F0C" w:rsidP="002A4F0C">
            <w:pPr>
              <w:spacing w:line="240" w:lineRule="auto"/>
              <w:rPr>
                <w:rFonts w:ascii="Arial" w:hAnsi="Arial"/>
                <w:szCs w:val="22"/>
              </w:rPr>
            </w:pPr>
            <w:r w:rsidRPr="002A4F0C">
              <w:rPr>
                <w:rFonts w:ascii="Arial" w:hAnsi="Arial"/>
                <w:szCs w:val="22"/>
              </w:rPr>
              <w:t>Knoke JD, Smith TC, Gray GC, Kaiser KS, &amp; Hawksworth AW (2000). Factor analysis of self-reported symptoms: does it identify a Gulf War Syndrome? American Journal of Epidemiology, 152(4): 379-88.</w:t>
            </w:r>
          </w:p>
        </w:tc>
      </w:tr>
      <w:tr w:rsidR="002A4F0C" w:rsidRPr="002A4F0C" w14:paraId="63FCF047" w14:textId="77777777" w:rsidTr="002A4F0C">
        <w:trPr>
          <w:cantSplit/>
        </w:trPr>
        <w:tc>
          <w:tcPr>
            <w:tcW w:w="1575" w:type="dxa"/>
            <w:shd w:val="clear" w:color="auto" w:fill="auto"/>
            <w:noWrap/>
            <w:vAlign w:val="center"/>
          </w:tcPr>
          <w:p w14:paraId="44677E99" w14:textId="77777777" w:rsidR="002A4F0C" w:rsidRPr="002A4F0C" w:rsidRDefault="002A4F0C" w:rsidP="002A4F0C">
            <w:pPr>
              <w:spacing w:line="240" w:lineRule="auto"/>
              <w:jc w:val="center"/>
              <w:rPr>
                <w:rFonts w:ascii="Arial" w:hAnsi="Arial"/>
                <w:szCs w:val="22"/>
              </w:rPr>
            </w:pPr>
            <w:r w:rsidRPr="002A4F0C">
              <w:rPr>
                <w:rFonts w:ascii="Arial" w:hAnsi="Arial"/>
                <w:szCs w:val="22"/>
              </w:rPr>
              <w:t>19491</w:t>
            </w:r>
          </w:p>
        </w:tc>
        <w:tc>
          <w:tcPr>
            <w:tcW w:w="7938" w:type="dxa"/>
            <w:shd w:val="clear" w:color="auto" w:fill="auto"/>
            <w:vAlign w:val="bottom"/>
          </w:tcPr>
          <w:p w14:paraId="51708075" w14:textId="77777777" w:rsidR="002A4F0C" w:rsidRPr="002A4F0C" w:rsidRDefault="002A4F0C" w:rsidP="002A4F0C">
            <w:pPr>
              <w:spacing w:line="240" w:lineRule="auto"/>
              <w:rPr>
                <w:rFonts w:ascii="Arial" w:hAnsi="Arial"/>
                <w:szCs w:val="22"/>
              </w:rPr>
            </w:pPr>
            <w:r w:rsidRPr="002A4F0C">
              <w:rPr>
                <w:rFonts w:ascii="Arial" w:hAnsi="Arial"/>
                <w:szCs w:val="22"/>
              </w:rPr>
              <w:t>Fulco CE, Liverman CT and Sox HC [Editors](2000). Gulf War and Health: Volume 1. Depleted Uranium, Sarin, Pyridostigmine Bromide, Vaccines. Institute of Medicine Committee on Health Effects Associated with Exposures During the Gulf War: Division of Health Promotion and Disease Prevention.</w:t>
            </w:r>
          </w:p>
        </w:tc>
      </w:tr>
      <w:tr w:rsidR="002A4F0C" w:rsidRPr="002A4F0C" w14:paraId="6EECAD1B" w14:textId="77777777" w:rsidTr="002A4F0C">
        <w:trPr>
          <w:cantSplit/>
        </w:trPr>
        <w:tc>
          <w:tcPr>
            <w:tcW w:w="1575" w:type="dxa"/>
            <w:shd w:val="clear" w:color="auto" w:fill="auto"/>
            <w:noWrap/>
            <w:vAlign w:val="center"/>
          </w:tcPr>
          <w:p w14:paraId="799AC395" w14:textId="77777777" w:rsidR="002A4F0C" w:rsidRPr="002A4F0C" w:rsidRDefault="002A4F0C" w:rsidP="002A4F0C">
            <w:pPr>
              <w:spacing w:line="240" w:lineRule="auto"/>
              <w:jc w:val="center"/>
              <w:rPr>
                <w:rFonts w:ascii="Arial" w:hAnsi="Arial"/>
                <w:szCs w:val="22"/>
              </w:rPr>
            </w:pPr>
            <w:r w:rsidRPr="002A4F0C">
              <w:rPr>
                <w:rFonts w:ascii="Arial" w:hAnsi="Arial"/>
                <w:szCs w:val="22"/>
              </w:rPr>
              <w:t>19629</w:t>
            </w:r>
          </w:p>
        </w:tc>
        <w:tc>
          <w:tcPr>
            <w:tcW w:w="7938" w:type="dxa"/>
            <w:shd w:val="clear" w:color="auto" w:fill="auto"/>
            <w:vAlign w:val="bottom"/>
          </w:tcPr>
          <w:p w14:paraId="414E2BA2" w14:textId="77777777" w:rsidR="002A4F0C" w:rsidRPr="002A4F0C" w:rsidRDefault="002A4F0C" w:rsidP="002A4F0C">
            <w:pPr>
              <w:spacing w:line="240" w:lineRule="auto"/>
              <w:rPr>
                <w:rFonts w:ascii="Arial" w:hAnsi="Arial"/>
                <w:szCs w:val="22"/>
              </w:rPr>
            </w:pPr>
            <w:r w:rsidRPr="002A4F0C">
              <w:rPr>
                <w:rFonts w:ascii="Arial" w:hAnsi="Arial"/>
                <w:szCs w:val="22"/>
              </w:rPr>
              <w:t>Mazzuchi JF, Claypool RG, Hyams KC, Trump D, et al (2000). Protecting the Health of U.S. Military Forces: A National Obligation. Aviation, Space and Environmental Medicine 71 (3) pp 260-265.</w:t>
            </w:r>
          </w:p>
        </w:tc>
      </w:tr>
      <w:tr w:rsidR="002A4F0C" w:rsidRPr="002A4F0C" w14:paraId="0F8A4F84" w14:textId="77777777" w:rsidTr="002A4F0C">
        <w:trPr>
          <w:cantSplit/>
        </w:trPr>
        <w:tc>
          <w:tcPr>
            <w:tcW w:w="1575" w:type="dxa"/>
            <w:shd w:val="clear" w:color="auto" w:fill="auto"/>
            <w:noWrap/>
            <w:vAlign w:val="center"/>
          </w:tcPr>
          <w:p w14:paraId="08B9DB0D" w14:textId="77777777" w:rsidR="002A4F0C" w:rsidRPr="002A4F0C" w:rsidRDefault="002A4F0C" w:rsidP="002A4F0C">
            <w:pPr>
              <w:spacing w:line="240" w:lineRule="auto"/>
              <w:jc w:val="center"/>
              <w:rPr>
                <w:rFonts w:ascii="Arial" w:hAnsi="Arial"/>
                <w:szCs w:val="22"/>
              </w:rPr>
            </w:pPr>
            <w:r w:rsidRPr="002A4F0C">
              <w:rPr>
                <w:rFonts w:ascii="Arial" w:hAnsi="Arial"/>
                <w:szCs w:val="22"/>
              </w:rPr>
              <w:t>19762</w:t>
            </w:r>
          </w:p>
        </w:tc>
        <w:tc>
          <w:tcPr>
            <w:tcW w:w="7938" w:type="dxa"/>
            <w:shd w:val="clear" w:color="auto" w:fill="auto"/>
            <w:vAlign w:val="bottom"/>
          </w:tcPr>
          <w:p w14:paraId="5D15271C" w14:textId="77777777" w:rsidR="002A4F0C" w:rsidRPr="002A4F0C" w:rsidRDefault="002A4F0C" w:rsidP="002A4F0C">
            <w:pPr>
              <w:spacing w:line="240" w:lineRule="auto"/>
              <w:rPr>
                <w:rFonts w:ascii="Arial" w:hAnsi="Arial"/>
                <w:szCs w:val="22"/>
              </w:rPr>
            </w:pPr>
            <w:r w:rsidRPr="002A4F0C">
              <w:rPr>
                <w:rFonts w:ascii="Arial" w:hAnsi="Arial"/>
                <w:szCs w:val="22"/>
              </w:rPr>
              <w:t>Little M, Jordens FC, Paul K, Montgomery K, &amp; Philipson B (1998). Liminality: a major category of the experience of cancer illness. Social Science Medicine, Vol 47(10) PP 1485-1494.</w:t>
            </w:r>
          </w:p>
        </w:tc>
      </w:tr>
      <w:tr w:rsidR="002A4F0C" w:rsidRPr="002A4F0C" w14:paraId="50CE18F6" w14:textId="77777777" w:rsidTr="002A4F0C">
        <w:trPr>
          <w:cantSplit/>
        </w:trPr>
        <w:tc>
          <w:tcPr>
            <w:tcW w:w="1575" w:type="dxa"/>
            <w:shd w:val="clear" w:color="auto" w:fill="auto"/>
            <w:noWrap/>
            <w:vAlign w:val="center"/>
          </w:tcPr>
          <w:p w14:paraId="48193579" w14:textId="77777777" w:rsidR="002A4F0C" w:rsidRPr="002A4F0C" w:rsidRDefault="002A4F0C" w:rsidP="002A4F0C">
            <w:pPr>
              <w:spacing w:line="240" w:lineRule="auto"/>
              <w:jc w:val="center"/>
              <w:rPr>
                <w:rFonts w:ascii="Arial" w:hAnsi="Arial"/>
                <w:szCs w:val="22"/>
              </w:rPr>
            </w:pPr>
            <w:r w:rsidRPr="002A4F0C">
              <w:rPr>
                <w:rFonts w:ascii="Arial" w:hAnsi="Arial"/>
                <w:szCs w:val="22"/>
              </w:rPr>
              <w:t>19839</w:t>
            </w:r>
          </w:p>
        </w:tc>
        <w:tc>
          <w:tcPr>
            <w:tcW w:w="7938" w:type="dxa"/>
            <w:shd w:val="clear" w:color="auto" w:fill="auto"/>
            <w:vAlign w:val="bottom"/>
          </w:tcPr>
          <w:p w14:paraId="0A25377B" w14:textId="77777777" w:rsidR="002A4F0C" w:rsidRPr="002A4F0C" w:rsidRDefault="002A4F0C" w:rsidP="002A4F0C">
            <w:pPr>
              <w:spacing w:line="240" w:lineRule="auto"/>
              <w:rPr>
                <w:rFonts w:ascii="Arial" w:hAnsi="Arial"/>
                <w:szCs w:val="22"/>
              </w:rPr>
            </w:pPr>
            <w:r w:rsidRPr="002A4F0C">
              <w:rPr>
                <w:rFonts w:ascii="Arial" w:hAnsi="Arial"/>
                <w:szCs w:val="22"/>
              </w:rPr>
              <w:t>Institute of Medicine Committee on Health Effects Associated with Exposures During the Gulf War (2000)[a Letter Report]. An assessment of the safety of the Anthrax vaccine. Institute of Medicine, Washington, DC.</w:t>
            </w:r>
          </w:p>
        </w:tc>
      </w:tr>
      <w:tr w:rsidR="002A4F0C" w:rsidRPr="002A4F0C" w14:paraId="2D154A0C" w14:textId="77777777" w:rsidTr="002A4F0C">
        <w:trPr>
          <w:cantSplit/>
        </w:trPr>
        <w:tc>
          <w:tcPr>
            <w:tcW w:w="1575" w:type="dxa"/>
            <w:shd w:val="clear" w:color="auto" w:fill="auto"/>
            <w:noWrap/>
            <w:vAlign w:val="center"/>
          </w:tcPr>
          <w:p w14:paraId="0DA086D0" w14:textId="77777777" w:rsidR="002A4F0C" w:rsidRPr="002A4F0C" w:rsidRDefault="002A4F0C" w:rsidP="002A4F0C">
            <w:pPr>
              <w:spacing w:line="240" w:lineRule="auto"/>
              <w:jc w:val="center"/>
              <w:rPr>
                <w:rFonts w:ascii="Arial" w:hAnsi="Arial"/>
                <w:szCs w:val="22"/>
              </w:rPr>
            </w:pPr>
            <w:r w:rsidRPr="002A4F0C">
              <w:rPr>
                <w:rFonts w:ascii="Arial" w:hAnsi="Arial"/>
                <w:szCs w:val="22"/>
              </w:rPr>
              <w:t>19962</w:t>
            </w:r>
          </w:p>
        </w:tc>
        <w:tc>
          <w:tcPr>
            <w:tcW w:w="7938" w:type="dxa"/>
            <w:shd w:val="clear" w:color="auto" w:fill="auto"/>
            <w:vAlign w:val="bottom"/>
          </w:tcPr>
          <w:p w14:paraId="62608D30" w14:textId="77777777" w:rsidR="002A4F0C" w:rsidRPr="002A4F0C" w:rsidRDefault="002A4F0C" w:rsidP="002A4F0C">
            <w:pPr>
              <w:spacing w:line="240" w:lineRule="auto"/>
              <w:rPr>
                <w:rFonts w:ascii="Arial" w:hAnsi="Arial"/>
                <w:szCs w:val="22"/>
              </w:rPr>
            </w:pPr>
            <w:r w:rsidRPr="002A4F0C">
              <w:rPr>
                <w:rFonts w:ascii="Arial" w:hAnsi="Arial"/>
                <w:szCs w:val="22"/>
              </w:rPr>
              <w:t>Smith TC, Gray GC, &amp; Knoke JD. (2000). Is systemic lupus erythematosus, amyotrophic lateral sclerosis, or fibromyalgia associated with Persian Gulf War service? An examination of Department of Defence hospitalization data. American Journal of Epidemiology, Vol 151(11) pp 1053-9.</w:t>
            </w:r>
          </w:p>
        </w:tc>
      </w:tr>
      <w:tr w:rsidR="002A4F0C" w:rsidRPr="002A4F0C" w14:paraId="6D682899" w14:textId="77777777" w:rsidTr="002A4F0C">
        <w:trPr>
          <w:cantSplit/>
        </w:trPr>
        <w:tc>
          <w:tcPr>
            <w:tcW w:w="1575" w:type="dxa"/>
            <w:shd w:val="clear" w:color="auto" w:fill="auto"/>
            <w:noWrap/>
            <w:vAlign w:val="center"/>
          </w:tcPr>
          <w:p w14:paraId="24C67F82" w14:textId="77777777" w:rsidR="002A4F0C" w:rsidRPr="002A4F0C" w:rsidRDefault="002A4F0C" w:rsidP="002A4F0C">
            <w:pPr>
              <w:spacing w:line="240" w:lineRule="auto"/>
              <w:jc w:val="center"/>
              <w:rPr>
                <w:rFonts w:ascii="Arial" w:hAnsi="Arial"/>
                <w:szCs w:val="22"/>
              </w:rPr>
            </w:pPr>
            <w:r w:rsidRPr="002A4F0C">
              <w:rPr>
                <w:rFonts w:ascii="Arial" w:hAnsi="Arial"/>
                <w:szCs w:val="22"/>
              </w:rPr>
              <w:t>20192</w:t>
            </w:r>
          </w:p>
        </w:tc>
        <w:tc>
          <w:tcPr>
            <w:tcW w:w="7938" w:type="dxa"/>
            <w:shd w:val="clear" w:color="auto" w:fill="auto"/>
            <w:vAlign w:val="bottom"/>
          </w:tcPr>
          <w:p w14:paraId="6E166D33" w14:textId="77777777" w:rsidR="002A4F0C" w:rsidRPr="002A4F0C" w:rsidRDefault="002A4F0C" w:rsidP="002A4F0C">
            <w:pPr>
              <w:spacing w:line="240" w:lineRule="auto"/>
              <w:rPr>
                <w:rFonts w:ascii="Arial" w:hAnsi="Arial"/>
                <w:szCs w:val="22"/>
              </w:rPr>
            </w:pPr>
            <w:r w:rsidRPr="002A4F0C">
              <w:rPr>
                <w:rFonts w:ascii="Arial" w:hAnsi="Arial"/>
                <w:szCs w:val="22"/>
              </w:rPr>
              <w:t>Department of Defense US (2001). Environmental exposure report: pesticides - Executive Summary, January 9, 2001.</w:t>
            </w:r>
          </w:p>
        </w:tc>
      </w:tr>
      <w:tr w:rsidR="002A4F0C" w:rsidRPr="002A4F0C" w14:paraId="5ACA78D5" w14:textId="77777777" w:rsidTr="002A4F0C">
        <w:trPr>
          <w:cantSplit/>
        </w:trPr>
        <w:tc>
          <w:tcPr>
            <w:tcW w:w="1575" w:type="dxa"/>
            <w:shd w:val="clear" w:color="auto" w:fill="auto"/>
            <w:noWrap/>
            <w:vAlign w:val="center"/>
          </w:tcPr>
          <w:p w14:paraId="4FEA6526" w14:textId="77777777" w:rsidR="002A4F0C" w:rsidRPr="002A4F0C" w:rsidRDefault="002A4F0C" w:rsidP="002A4F0C">
            <w:pPr>
              <w:spacing w:line="240" w:lineRule="auto"/>
              <w:jc w:val="center"/>
              <w:rPr>
                <w:rFonts w:ascii="Arial" w:hAnsi="Arial"/>
                <w:szCs w:val="22"/>
              </w:rPr>
            </w:pPr>
            <w:r w:rsidRPr="002A4F0C">
              <w:rPr>
                <w:rFonts w:ascii="Arial" w:hAnsi="Arial"/>
                <w:szCs w:val="22"/>
              </w:rPr>
              <w:t>20193</w:t>
            </w:r>
          </w:p>
        </w:tc>
        <w:tc>
          <w:tcPr>
            <w:tcW w:w="7938" w:type="dxa"/>
            <w:shd w:val="clear" w:color="auto" w:fill="auto"/>
            <w:vAlign w:val="bottom"/>
          </w:tcPr>
          <w:p w14:paraId="6E374E79" w14:textId="77777777" w:rsidR="002A4F0C" w:rsidRPr="002A4F0C" w:rsidRDefault="002A4F0C" w:rsidP="002A4F0C">
            <w:pPr>
              <w:spacing w:line="240" w:lineRule="auto"/>
              <w:rPr>
                <w:rFonts w:ascii="Arial" w:hAnsi="Arial"/>
                <w:szCs w:val="22"/>
              </w:rPr>
            </w:pPr>
            <w:r w:rsidRPr="002A4F0C">
              <w:rPr>
                <w:rFonts w:ascii="Arial" w:hAnsi="Arial"/>
                <w:szCs w:val="22"/>
              </w:rPr>
              <w:t>Department of Defense US (2001). Environmental exposure report: pesticides - Full Report, January 3, 2001.</w:t>
            </w:r>
          </w:p>
        </w:tc>
      </w:tr>
      <w:tr w:rsidR="002A4F0C" w:rsidRPr="002A4F0C" w14:paraId="5D7B6E39" w14:textId="77777777" w:rsidTr="002A4F0C">
        <w:trPr>
          <w:cantSplit/>
        </w:trPr>
        <w:tc>
          <w:tcPr>
            <w:tcW w:w="1575" w:type="dxa"/>
            <w:shd w:val="clear" w:color="auto" w:fill="auto"/>
            <w:noWrap/>
            <w:vAlign w:val="center"/>
          </w:tcPr>
          <w:p w14:paraId="248A6D68" w14:textId="77777777" w:rsidR="002A4F0C" w:rsidRPr="002A4F0C" w:rsidRDefault="002A4F0C" w:rsidP="002A4F0C">
            <w:pPr>
              <w:spacing w:line="240" w:lineRule="auto"/>
              <w:jc w:val="center"/>
              <w:rPr>
                <w:rFonts w:ascii="Arial" w:hAnsi="Arial"/>
                <w:szCs w:val="22"/>
              </w:rPr>
            </w:pPr>
            <w:r w:rsidRPr="002A4F0C">
              <w:rPr>
                <w:rFonts w:ascii="Arial" w:hAnsi="Arial"/>
                <w:szCs w:val="22"/>
              </w:rPr>
              <w:t>20194</w:t>
            </w:r>
          </w:p>
        </w:tc>
        <w:tc>
          <w:tcPr>
            <w:tcW w:w="7938" w:type="dxa"/>
            <w:shd w:val="clear" w:color="auto" w:fill="auto"/>
            <w:vAlign w:val="bottom"/>
          </w:tcPr>
          <w:p w14:paraId="6D93E314" w14:textId="77777777" w:rsidR="002A4F0C" w:rsidRPr="002A4F0C" w:rsidRDefault="002A4F0C" w:rsidP="002A4F0C">
            <w:pPr>
              <w:spacing w:line="240" w:lineRule="auto"/>
              <w:rPr>
                <w:rFonts w:ascii="Arial" w:hAnsi="Arial"/>
                <w:szCs w:val="22"/>
              </w:rPr>
            </w:pPr>
            <w:r w:rsidRPr="002A4F0C">
              <w:rPr>
                <w:rFonts w:ascii="Arial" w:hAnsi="Arial"/>
                <w:szCs w:val="22"/>
              </w:rPr>
              <w:t>Office of the Special Assistant to the Deputy Secretary of Defense for Gulf War Illnesses: Fourth Annual Report, Nov 1999 - November 2000 (2000). US Department of Defense.</w:t>
            </w:r>
          </w:p>
        </w:tc>
      </w:tr>
      <w:tr w:rsidR="002A4F0C" w:rsidRPr="002A4F0C" w14:paraId="66883F87" w14:textId="77777777" w:rsidTr="002A4F0C">
        <w:trPr>
          <w:cantSplit/>
        </w:trPr>
        <w:tc>
          <w:tcPr>
            <w:tcW w:w="1575" w:type="dxa"/>
            <w:shd w:val="clear" w:color="auto" w:fill="auto"/>
            <w:noWrap/>
            <w:vAlign w:val="center"/>
          </w:tcPr>
          <w:p w14:paraId="63407991" w14:textId="77777777" w:rsidR="002A4F0C" w:rsidRPr="002A4F0C" w:rsidRDefault="002A4F0C" w:rsidP="002A4F0C">
            <w:pPr>
              <w:spacing w:line="240" w:lineRule="auto"/>
              <w:jc w:val="center"/>
              <w:rPr>
                <w:rFonts w:ascii="Arial" w:hAnsi="Arial"/>
                <w:szCs w:val="22"/>
              </w:rPr>
            </w:pPr>
            <w:r w:rsidRPr="002A4F0C">
              <w:rPr>
                <w:rFonts w:ascii="Arial" w:hAnsi="Arial"/>
                <w:szCs w:val="22"/>
              </w:rPr>
              <w:t>20195</w:t>
            </w:r>
          </w:p>
        </w:tc>
        <w:tc>
          <w:tcPr>
            <w:tcW w:w="7938" w:type="dxa"/>
            <w:shd w:val="clear" w:color="auto" w:fill="auto"/>
            <w:vAlign w:val="bottom"/>
          </w:tcPr>
          <w:p w14:paraId="3B8488FE" w14:textId="77777777" w:rsidR="002A4F0C" w:rsidRPr="002A4F0C" w:rsidRDefault="002A4F0C" w:rsidP="002A4F0C">
            <w:pPr>
              <w:spacing w:line="240" w:lineRule="auto"/>
              <w:rPr>
                <w:rFonts w:ascii="Arial" w:hAnsi="Arial"/>
                <w:szCs w:val="22"/>
              </w:rPr>
            </w:pPr>
            <w:r w:rsidRPr="002A4F0C">
              <w:rPr>
                <w:rFonts w:ascii="Arial" w:hAnsi="Arial"/>
                <w:szCs w:val="22"/>
              </w:rPr>
              <w:t>The Office of the Special Assistant for Gulf War Illnesses (2001). Gulfink News Article: report assesses health risk of pesticide exposure to US troops. .  Retrieved 17 January 2001, from http://www.gulfiink.osd.mil/news/na_pesticides_9jan0l .htm</w:t>
            </w:r>
          </w:p>
        </w:tc>
      </w:tr>
      <w:tr w:rsidR="002A4F0C" w:rsidRPr="002A4F0C" w14:paraId="2EF6CBE2" w14:textId="77777777" w:rsidTr="002A4F0C">
        <w:trPr>
          <w:cantSplit/>
        </w:trPr>
        <w:tc>
          <w:tcPr>
            <w:tcW w:w="1575" w:type="dxa"/>
            <w:shd w:val="clear" w:color="auto" w:fill="auto"/>
            <w:noWrap/>
            <w:vAlign w:val="center"/>
          </w:tcPr>
          <w:p w14:paraId="13FA1448" w14:textId="77777777" w:rsidR="002A4F0C" w:rsidRPr="002A4F0C" w:rsidRDefault="002A4F0C" w:rsidP="002A4F0C">
            <w:pPr>
              <w:spacing w:line="240" w:lineRule="auto"/>
              <w:jc w:val="center"/>
              <w:rPr>
                <w:rFonts w:ascii="Arial" w:hAnsi="Arial"/>
                <w:szCs w:val="22"/>
              </w:rPr>
            </w:pPr>
            <w:r w:rsidRPr="002A4F0C">
              <w:rPr>
                <w:rFonts w:ascii="Arial" w:hAnsi="Arial"/>
                <w:szCs w:val="22"/>
              </w:rPr>
              <w:t>20196</w:t>
            </w:r>
          </w:p>
        </w:tc>
        <w:tc>
          <w:tcPr>
            <w:tcW w:w="7938" w:type="dxa"/>
            <w:shd w:val="clear" w:color="auto" w:fill="auto"/>
            <w:vAlign w:val="bottom"/>
          </w:tcPr>
          <w:p w14:paraId="7BE8D9C1" w14:textId="77777777" w:rsidR="002A4F0C" w:rsidRPr="002A4F0C" w:rsidRDefault="002A4F0C" w:rsidP="002A4F0C">
            <w:pPr>
              <w:spacing w:line="240" w:lineRule="auto"/>
              <w:rPr>
                <w:rFonts w:ascii="Arial" w:hAnsi="Arial"/>
                <w:szCs w:val="22"/>
              </w:rPr>
            </w:pPr>
            <w:r w:rsidRPr="002A4F0C">
              <w:rPr>
                <w:rFonts w:ascii="Arial" w:hAnsi="Arial"/>
                <w:szCs w:val="22"/>
              </w:rPr>
              <w:t>Cecchine G, Golomb BA, Hilborne LH, Spektor DM and Anthony CR (2000). A review of the Scientific Literature as it pertains to Gulf War Illnesses, Volume 8: Pesticides. RAND Report.</w:t>
            </w:r>
          </w:p>
        </w:tc>
      </w:tr>
      <w:tr w:rsidR="002A4F0C" w:rsidRPr="002A4F0C" w14:paraId="7AD176C5" w14:textId="77777777" w:rsidTr="002A4F0C">
        <w:trPr>
          <w:cantSplit/>
        </w:trPr>
        <w:tc>
          <w:tcPr>
            <w:tcW w:w="1575" w:type="dxa"/>
            <w:shd w:val="clear" w:color="auto" w:fill="auto"/>
            <w:noWrap/>
            <w:vAlign w:val="center"/>
          </w:tcPr>
          <w:p w14:paraId="4CF85FDD" w14:textId="77777777" w:rsidR="002A4F0C" w:rsidRPr="002A4F0C" w:rsidRDefault="002A4F0C" w:rsidP="002A4F0C">
            <w:pPr>
              <w:spacing w:line="240" w:lineRule="auto"/>
              <w:jc w:val="center"/>
              <w:rPr>
                <w:rFonts w:ascii="Arial" w:hAnsi="Arial"/>
                <w:szCs w:val="22"/>
              </w:rPr>
            </w:pPr>
            <w:r w:rsidRPr="002A4F0C">
              <w:rPr>
                <w:rFonts w:ascii="Arial" w:hAnsi="Arial"/>
                <w:szCs w:val="22"/>
              </w:rPr>
              <w:t>20197</w:t>
            </w:r>
          </w:p>
        </w:tc>
        <w:tc>
          <w:tcPr>
            <w:tcW w:w="7938" w:type="dxa"/>
            <w:shd w:val="clear" w:color="auto" w:fill="auto"/>
            <w:vAlign w:val="bottom"/>
          </w:tcPr>
          <w:p w14:paraId="6F82750D" w14:textId="77777777" w:rsidR="002A4F0C" w:rsidRPr="002A4F0C" w:rsidRDefault="002A4F0C" w:rsidP="002A4F0C">
            <w:pPr>
              <w:spacing w:line="240" w:lineRule="auto"/>
              <w:rPr>
                <w:rFonts w:ascii="Arial" w:hAnsi="Arial"/>
                <w:szCs w:val="22"/>
              </w:rPr>
            </w:pPr>
            <w:r w:rsidRPr="002A4F0C">
              <w:rPr>
                <w:rFonts w:ascii="Arial" w:hAnsi="Arial"/>
                <w:szCs w:val="22"/>
              </w:rPr>
              <w:t>Fricker RD, Reardon E, Spektor DM, Cotton SK, Hawes-Dawson J, Pace JE and Hosek SD (2000). Pesticide use during the Gulf war: A survey of Gulf War Veterans. RAND Report.</w:t>
            </w:r>
          </w:p>
        </w:tc>
      </w:tr>
      <w:tr w:rsidR="002A4F0C" w:rsidRPr="002A4F0C" w14:paraId="72C9D8B1" w14:textId="77777777" w:rsidTr="002A4F0C">
        <w:trPr>
          <w:cantSplit/>
        </w:trPr>
        <w:tc>
          <w:tcPr>
            <w:tcW w:w="1575" w:type="dxa"/>
            <w:shd w:val="clear" w:color="auto" w:fill="auto"/>
            <w:noWrap/>
            <w:vAlign w:val="center"/>
          </w:tcPr>
          <w:p w14:paraId="50C657EE" w14:textId="77777777" w:rsidR="002A4F0C" w:rsidRPr="002A4F0C" w:rsidRDefault="002A4F0C" w:rsidP="002A4F0C">
            <w:pPr>
              <w:spacing w:line="240" w:lineRule="auto"/>
              <w:jc w:val="center"/>
              <w:rPr>
                <w:rFonts w:ascii="Arial" w:hAnsi="Arial"/>
                <w:szCs w:val="22"/>
              </w:rPr>
            </w:pPr>
            <w:r w:rsidRPr="002A4F0C">
              <w:rPr>
                <w:rFonts w:ascii="Arial" w:hAnsi="Arial"/>
                <w:szCs w:val="22"/>
              </w:rPr>
              <w:t>20198</w:t>
            </w:r>
          </w:p>
        </w:tc>
        <w:tc>
          <w:tcPr>
            <w:tcW w:w="7938" w:type="dxa"/>
            <w:shd w:val="clear" w:color="auto" w:fill="auto"/>
            <w:vAlign w:val="bottom"/>
          </w:tcPr>
          <w:p w14:paraId="642822BF" w14:textId="77777777" w:rsidR="002A4F0C" w:rsidRPr="002A4F0C" w:rsidRDefault="002A4F0C" w:rsidP="002A4F0C">
            <w:pPr>
              <w:spacing w:line="240" w:lineRule="auto"/>
              <w:rPr>
                <w:rFonts w:ascii="Arial" w:hAnsi="Arial"/>
                <w:szCs w:val="22"/>
              </w:rPr>
            </w:pPr>
            <w:r w:rsidRPr="002A4F0C">
              <w:rPr>
                <w:rFonts w:ascii="Arial" w:hAnsi="Arial"/>
                <w:szCs w:val="22"/>
              </w:rPr>
              <w:t>OSAGWI (2000). Office of the Special Assistant for Gulf War Illnesses. Environmental Exposure Report: Depleted Uranium in the Gulf (II) and Health Risk Assessment Consultation. No.26MF-7555-00D. Depleted uranium- human exposure assessment and health risk. Characterization in support of the environmental exposure report "depleted uranium in the Gulf" of the office of the Special Assistant to the Secretary of Defense for Gulf War illnesses, Medical Readiness and Military Deployments. http://www.gulflink.osd.mil/du/</w:t>
            </w:r>
          </w:p>
        </w:tc>
      </w:tr>
      <w:tr w:rsidR="002A4F0C" w:rsidRPr="002A4F0C" w14:paraId="02B76A69" w14:textId="77777777" w:rsidTr="002A4F0C">
        <w:trPr>
          <w:cantSplit/>
        </w:trPr>
        <w:tc>
          <w:tcPr>
            <w:tcW w:w="1575" w:type="dxa"/>
            <w:shd w:val="clear" w:color="auto" w:fill="auto"/>
            <w:noWrap/>
            <w:vAlign w:val="center"/>
          </w:tcPr>
          <w:p w14:paraId="448B004D" w14:textId="77777777" w:rsidR="002A4F0C" w:rsidRPr="002A4F0C" w:rsidRDefault="002A4F0C" w:rsidP="002A4F0C">
            <w:pPr>
              <w:spacing w:line="240" w:lineRule="auto"/>
              <w:jc w:val="center"/>
              <w:rPr>
                <w:rFonts w:ascii="Arial" w:hAnsi="Arial"/>
                <w:szCs w:val="22"/>
              </w:rPr>
            </w:pPr>
            <w:r w:rsidRPr="002A4F0C">
              <w:rPr>
                <w:rFonts w:ascii="Arial" w:hAnsi="Arial"/>
                <w:szCs w:val="22"/>
              </w:rPr>
              <w:t>20199</w:t>
            </w:r>
          </w:p>
        </w:tc>
        <w:tc>
          <w:tcPr>
            <w:tcW w:w="7938" w:type="dxa"/>
            <w:shd w:val="clear" w:color="auto" w:fill="auto"/>
            <w:vAlign w:val="bottom"/>
          </w:tcPr>
          <w:p w14:paraId="23976982" w14:textId="77777777" w:rsidR="002A4F0C" w:rsidRPr="002A4F0C" w:rsidRDefault="002A4F0C" w:rsidP="002A4F0C">
            <w:pPr>
              <w:spacing w:line="240" w:lineRule="auto"/>
              <w:rPr>
                <w:rFonts w:ascii="Arial" w:hAnsi="Arial"/>
                <w:szCs w:val="22"/>
              </w:rPr>
            </w:pPr>
            <w:r w:rsidRPr="002A4F0C">
              <w:rPr>
                <w:rFonts w:ascii="Arial" w:hAnsi="Arial"/>
                <w:szCs w:val="22"/>
              </w:rPr>
              <w:t>DoD information paper: vaccine use in the Gulf War, December 2000.</w:t>
            </w:r>
          </w:p>
        </w:tc>
      </w:tr>
      <w:tr w:rsidR="002A4F0C" w:rsidRPr="002A4F0C" w14:paraId="71D5828E" w14:textId="77777777" w:rsidTr="002A4F0C">
        <w:trPr>
          <w:cantSplit/>
        </w:trPr>
        <w:tc>
          <w:tcPr>
            <w:tcW w:w="1575" w:type="dxa"/>
            <w:shd w:val="clear" w:color="auto" w:fill="auto"/>
            <w:noWrap/>
            <w:vAlign w:val="center"/>
          </w:tcPr>
          <w:p w14:paraId="5179EAE0" w14:textId="77777777" w:rsidR="002A4F0C" w:rsidRPr="002A4F0C" w:rsidRDefault="002A4F0C" w:rsidP="002A4F0C">
            <w:pPr>
              <w:spacing w:line="240" w:lineRule="auto"/>
              <w:jc w:val="center"/>
              <w:rPr>
                <w:rFonts w:ascii="Arial" w:hAnsi="Arial"/>
                <w:szCs w:val="22"/>
              </w:rPr>
            </w:pPr>
            <w:r w:rsidRPr="002A4F0C">
              <w:rPr>
                <w:rFonts w:ascii="Arial" w:hAnsi="Arial"/>
                <w:szCs w:val="22"/>
              </w:rPr>
              <w:t>20200</w:t>
            </w:r>
          </w:p>
        </w:tc>
        <w:tc>
          <w:tcPr>
            <w:tcW w:w="7938" w:type="dxa"/>
            <w:shd w:val="clear" w:color="auto" w:fill="auto"/>
            <w:vAlign w:val="bottom"/>
          </w:tcPr>
          <w:p w14:paraId="4D347E13" w14:textId="77777777" w:rsidR="002A4F0C" w:rsidRPr="002A4F0C" w:rsidRDefault="002A4F0C" w:rsidP="002A4F0C">
            <w:pPr>
              <w:spacing w:line="240" w:lineRule="auto"/>
              <w:rPr>
                <w:rFonts w:ascii="Arial" w:hAnsi="Arial"/>
                <w:szCs w:val="22"/>
              </w:rPr>
            </w:pPr>
            <w:r w:rsidRPr="002A4F0C">
              <w:rPr>
                <w:rFonts w:ascii="Arial" w:hAnsi="Arial"/>
                <w:szCs w:val="22"/>
              </w:rPr>
              <w:t>GulfLINK News article: DoD updates its depleted uranium environmental exposure report, December 19, 2000.</w:t>
            </w:r>
          </w:p>
        </w:tc>
      </w:tr>
      <w:tr w:rsidR="002A4F0C" w:rsidRPr="002A4F0C" w14:paraId="7256F1BE" w14:textId="77777777" w:rsidTr="002A4F0C">
        <w:trPr>
          <w:cantSplit/>
        </w:trPr>
        <w:tc>
          <w:tcPr>
            <w:tcW w:w="1575" w:type="dxa"/>
            <w:shd w:val="clear" w:color="auto" w:fill="auto"/>
            <w:noWrap/>
            <w:vAlign w:val="center"/>
          </w:tcPr>
          <w:p w14:paraId="26FE71C1" w14:textId="77777777" w:rsidR="002A4F0C" w:rsidRPr="002A4F0C" w:rsidRDefault="002A4F0C" w:rsidP="002A4F0C">
            <w:pPr>
              <w:spacing w:line="240" w:lineRule="auto"/>
              <w:jc w:val="center"/>
              <w:rPr>
                <w:rFonts w:ascii="Arial" w:hAnsi="Arial"/>
                <w:szCs w:val="22"/>
              </w:rPr>
            </w:pPr>
            <w:r w:rsidRPr="002A4F0C">
              <w:rPr>
                <w:rFonts w:ascii="Arial" w:hAnsi="Arial"/>
                <w:szCs w:val="22"/>
              </w:rPr>
              <w:t>20350</w:t>
            </w:r>
          </w:p>
        </w:tc>
        <w:tc>
          <w:tcPr>
            <w:tcW w:w="7938" w:type="dxa"/>
            <w:shd w:val="clear" w:color="auto" w:fill="auto"/>
            <w:vAlign w:val="bottom"/>
          </w:tcPr>
          <w:p w14:paraId="0A5ECFCF" w14:textId="77777777" w:rsidR="002A4F0C" w:rsidRPr="002A4F0C" w:rsidRDefault="002A4F0C" w:rsidP="002A4F0C">
            <w:pPr>
              <w:spacing w:line="240" w:lineRule="auto"/>
              <w:rPr>
                <w:rFonts w:ascii="Arial" w:hAnsi="Arial"/>
                <w:szCs w:val="22"/>
              </w:rPr>
            </w:pPr>
            <w:r w:rsidRPr="002A4F0C">
              <w:rPr>
                <w:rFonts w:ascii="Arial" w:hAnsi="Arial"/>
                <w:szCs w:val="22"/>
              </w:rPr>
              <w:t>Various authors (2000). Gulf War and Health: Volume 1 - Depleted Uranium, Pyridostigmine Bromide, Sarin, Vaccines. CE Fulco, CT Liverman, HC Sox [Eds]. Institute of Medicine, . National Academies Press - Washington, DC.</w:t>
            </w:r>
          </w:p>
        </w:tc>
      </w:tr>
      <w:tr w:rsidR="002A4F0C" w:rsidRPr="002A4F0C" w14:paraId="60BE3E46" w14:textId="77777777" w:rsidTr="002A4F0C">
        <w:trPr>
          <w:cantSplit/>
        </w:trPr>
        <w:tc>
          <w:tcPr>
            <w:tcW w:w="1575" w:type="dxa"/>
            <w:shd w:val="clear" w:color="auto" w:fill="auto"/>
            <w:noWrap/>
            <w:vAlign w:val="center"/>
          </w:tcPr>
          <w:p w14:paraId="0C84F30C" w14:textId="77777777" w:rsidR="002A4F0C" w:rsidRPr="002A4F0C" w:rsidRDefault="002A4F0C" w:rsidP="002A4F0C">
            <w:pPr>
              <w:spacing w:line="240" w:lineRule="auto"/>
              <w:jc w:val="center"/>
              <w:rPr>
                <w:rFonts w:ascii="Arial" w:hAnsi="Arial"/>
                <w:szCs w:val="22"/>
              </w:rPr>
            </w:pPr>
            <w:r w:rsidRPr="002A4F0C">
              <w:rPr>
                <w:rFonts w:ascii="Arial" w:hAnsi="Arial"/>
                <w:szCs w:val="22"/>
              </w:rPr>
              <w:t>20357</w:t>
            </w:r>
          </w:p>
        </w:tc>
        <w:tc>
          <w:tcPr>
            <w:tcW w:w="7938" w:type="dxa"/>
            <w:shd w:val="clear" w:color="auto" w:fill="auto"/>
            <w:vAlign w:val="bottom"/>
          </w:tcPr>
          <w:p w14:paraId="636CD1EC" w14:textId="77777777" w:rsidR="002A4F0C" w:rsidRPr="002A4F0C" w:rsidRDefault="002A4F0C" w:rsidP="002A4F0C">
            <w:pPr>
              <w:spacing w:line="240" w:lineRule="auto"/>
              <w:rPr>
                <w:rFonts w:ascii="Arial" w:hAnsi="Arial"/>
                <w:szCs w:val="22"/>
              </w:rPr>
            </w:pPr>
            <w:r w:rsidRPr="002A4F0C">
              <w:rPr>
                <w:rFonts w:ascii="Arial" w:hAnsi="Arial"/>
                <w:szCs w:val="22"/>
              </w:rPr>
              <w:t>Kusiak RA, Ritchie AC, Muller J, Springer J (1993). Mortality from lung cancer in Ontario uranium miners. Br J Ind Med 50(10):920-928.</w:t>
            </w:r>
          </w:p>
        </w:tc>
      </w:tr>
      <w:tr w:rsidR="002A4F0C" w:rsidRPr="002A4F0C" w14:paraId="3ADF4005" w14:textId="77777777" w:rsidTr="002A4F0C">
        <w:trPr>
          <w:cantSplit/>
        </w:trPr>
        <w:tc>
          <w:tcPr>
            <w:tcW w:w="1575" w:type="dxa"/>
            <w:shd w:val="clear" w:color="auto" w:fill="auto"/>
            <w:noWrap/>
            <w:vAlign w:val="center"/>
          </w:tcPr>
          <w:p w14:paraId="7D67E0B6" w14:textId="77777777" w:rsidR="002A4F0C" w:rsidRPr="002A4F0C" w:rsidRDefault="002A4F0C" w:rsidP="002A4F0C">
            <w:pPr>
              <w:spacing w:line="240" w:lineRule="auto"/>
              <w:jc w:val="center"/>
              <w:rPr>
                <w:rFonts w:ascii="Arial" w:hAnsi="Arial"/>
                <w:szCs w:val="22"/>
              </w:rPr>
            </w:pPr>
            <w:r w:rsidRPr="002A4F0C">
              <w:rPr>
                <w:rFonts w:ascii="Arial" w:hAnsi="Arial"/>
                <w:szCs w:val="22"/>
              </w:rPr>
              <w:t>20364</w:t>
            </w:r>
          </w:p>
        </w:tc>
        <w:tc>
          <w:tcPr>
            <w:tcW w:w="7938" w:type="dxa"/>
            <w:shd w:val="clear" w:color="auto" w:fill="auto"/>
            <w:vAlign w:val="bottom"/>
          </w:tcPr>
          <w:p w14:paraId="1524ABCB" w14:textId="77777777" w:rsidR="002A4F0C" w:rsidRPr="002A4F0C" w:rsidRDefault="002A4F0C" w:rsidP="002A4F0C">
            <w:pPr>
              <w:spacing w:line="240" w:lineRule="auto"/>
              <w:rPr>
                <w:rFonts w:ascii="Arial" w:hAnsi="Arial"/>
                <w:szCs w:val="22"/>
              </w:rPr>
            </w:pPr>
            <w:r w:rsidRPr="002A4F0C">
              <w:rPr>
                <w:rFonts w:ascii="Arial" w:hAnsi="Arial"/>
                <w:szCs w:val="22"/>
              </w:rPr>
              <w:t>McDiarmid MA, Keogh JP, Hooper FJ, MePhaul K, Squibb K, et al (2000). Health effects of depleted uranium on exposed Gulf War veterans. Environ Res, 82(2) pp 168-180.</w:t>
            </w:r>
          </w:p>
        </w:tc>
      </w:tr>
      <w:tr w:rsidR="002A4F0C" w:rsidRPr="002A4F0C" w14:paraId="29487F95" w14:textId="77777777" w:rsidTr="002A4F0C">
        <w:trPr>
          <w:cantSplit/>
        </w:trPr>
        <w:tc>
          <w:tcPr>
            <w:tcW w:w="1575" w:type="dxa"/>
            <w:shd w:val="clear" w:color="auto" w:fill="auto"/>
            <w:noWrap/>
            <w:vAlign w:val="center"/>
          </w:tcPr>
          <w:p w14:paraId="21A7DF47" w14:textId="77777777" w:rsidR="002A4F0C" w:rsidRPr="002A4F0C" w:rsidRDefault="002A4F0C" w:rsidP="002A4F0C">
            <w:pPr>
              <w:spacing w:line="240" w:lineRule="auto"/>
              <w:jc w:val="center"/>
              <w:rPr>
                <w:rFonts w:ascii="Arial" w:hAnsi="Arial"/>
                <w:szCs w:val="22"/>
              </w:rPr>
            </w:pPr>
            <w:r w:rsidRPr="002A4F0C">
              <w:rPr>
                <w:rFonts w:ascii="Arial" w:hAnsi="Arial"/>
                <w:szCs w:val="22"/>
              </w:rPr>
              <w:t>20393</w:t>
            </w:r>
          </w:p>
        </w:tc>
        <w:tc>
          <w:tcPr>
            <w:tcW w:w="7938" w:type="dxa"/>
            <w:shd w:val="clear" w:color="auto" w:fill="auto"/>
            <w:vAlign w:val="bottom"/>
          </w:tcPr>
          <w:p w14:paraId="402D6A01" w14:textId="77777777" w:rsidR="002A4F0C" w:rsidRPr="002A4F0C" w:rsidRDefault="002A4F0C" w:rsidP="002A4F0C">
            <w:pPr>
              <w:spacing w:line="240" w:lineRule="auto"/>
              <w:rPr>
                <w:rFonts w:ascii="Arial" w:hAnsi="Arial"/>
                <w:szCs w:val="22"/>
              </w:rPr>
            </w:pPr>
            <w:r w:rsidRPr="002A4F0C">
              <w:rPr>
                <w:rFonts w:ascii="Arial" w:hAnsi="Arial"/>
                <w:szCs w:val="22"/>
              </w:rPr>
              <w:t>Hooper FJ, Squibb KS, Siegel EL, McPhaul K, Keogh JP (1999). Elevated urine uranium excretion by soldiers with retained uranium shrapnel. Health Phys 77(5):512-519.</w:t>
            </w:r>
          </w:p>
        </w:tc>
      </w:tr>
      <w:tr w:rsidR="002A4F0C" w:rsidRPr="002A4F0C" w14:paraId="17BD6F86" w14:textId="77777777" w:rsidTr="002A4F0C">
        <w:trPr>
          <w:cantSplit/>
        </w:trPr>
        <w:tc>
          <w:tcPr>
            <w:tcW w:w="1575" w:type="dxa"/>
            <w:shd w:val="clear" w:color="auto" w:fill="auto"/>
            <w:noWrap/>
            <w:vAlign w:val="center"/>
          </w:tcPr>
          <w:p w14:paraId="5D533B16" w14:textId="77777777" w:rsidR="002A4F0C" w:rsidRPr="002A4F0C" w:rsidRDefault="002A4F0C" w:rsidP="002A4F0C">
            <w:pPr>
              <w:spacing w:line="240" w:lineRule="auto"/>
              <w:jc w:val="center"/>
              <w:rPr>
                <w:rFonts w:ascii="Arial" w:hAnsi="Arial"/>
                <w:szCs w:val="22"/>
              </w:rPr>
            </w:pPr>
            <w:r w:rsidRPr="002A4F0C">
              <w:rPr>
                <w:rFonts w:ascii="Arial" w:hAnsi="Arial"/>
                <w:szCs w:val="22"/>
              </w:rPr>
              <w:t>20415</w:t>
            </w:r>
          </w:p>
        </w:tc>
        <w:tc>
          <w:tcPr>
            <w:tcW w:w="7938" w:type="dxa"/>
            <w:shd w:val="clear" w:color="auto" w:fill="auto"/>
            <w:vAlign w:val="bottom"/>
          </w:tcPr>
          <w:p w14:paraId="5D0EB187" w14:textId="77777777" w:rsidR="002A4F0C" w:rsidRPr="002A4F0C" w:rsidRDefault="002A4F0C" w:rsidP="002A4F0C">
            <w:pPr>
              <w:spacing w:line="240" w:lineRule="auto"/>
              <w:rPr>
                <w:rFonts w:ascii="Arial" w:hAnsi="Arial"/>
                <w:szCs w:val="22"/>
              </w:rPr>
            </w:pPr>
            <w:r w:rsidRPr="002A4F0C">
              <w:rPr>
                <w:rFonts w:ascii="Arial" w:hAnsi="Arial"/>
                <w:szCs w:val="22"/>
              </w:rPr>
              <w:t>Korenyi-Both AL (2000). [Letter by Kilpatrick ME re article and authors response]. Al Eskan Disease and "Dirty Dust". Military Medicine 165 (11) pp III, Iv,859, 874,883.</w:t>
            </w:r>
          </w:p>
        </w:tc>
      </w:tr>
      <w:tr w:rsidR="002A4F0C" w:rsidRPr="002A4F0C" w14:paraId="5EDFB9EB" w14:textId="77777777" w:rsidTr="002A4F0C">
        <w:trPr>
          <w:cantSplit/>
        </w:trPr>
        <w:tc>
          <w:tcPr>
            <w:tcW w:w="1575" w:type="dxa"/>
            <w:shd w:val="clear" w:color="auto" w:fill="auto"/>
            <w:noWrap/>
            <w:vAlign w:val="center"/>
          </w:tcPr>
          <w:p w14:paraId="596C153C" w14:textId="77777777" w:rsidR="002A4F0C" w:rsidRPr="002A4F0C" w:rsidRDefault="002A4F0C" w:rsidP="002A4F0C">
            <w:pPr>
              <w:spacing w:line="240" w:lineRule="auto"/>
              <w:jc w:val="center"/>
              <w:rPr>
                <w:rFonts w:ascii="Arial" w:hAnsi="Arial"/>
                <w:szCs w:val="22"/>
              </w:rPr>
            </w:pPr>
            <w:r w:rsidRPr="002A4F0C">
              <w:rPr>
                <w:rFonts w:ascii="Arial" w:hAnsi="Arial"/>
                <w:szCs w:val="22"/>
              </w:rPr>
              <w:t>20416</w:t>
            </w:r>
          </w:p>
        </w:tc>
        <w:tc>
          <w:tcPr>
            <w:tcW w:w="7938" w:type="dxa"/>
            <w:shd w:val="clear" w:color="auto" w:fill="auto"/>
            <w:vAlign w:val="bottom"/>
          </w:tcPr>
          <w:p w14:paraId="2277896C" w14:textId="77777777" w:rsidR="002A4F0C" w:rsidRPr="002A4F0C" w:rsidRDefault="002A4F0C" w:rsidP="002A4F0C">
            <w:pPr>
              <w:spacing w:line="240" w:lineRule="auto"/>
              <w:rPr>
                <w:rFonts w:ascii="Arial" w:hAnsi="Arial"/>
                <w:szCs w:val="22"/>
              </w:rPr>
            </w:pPr>
            <w:r w:rsidRPr="002A4F0C">
              <w:rPr>
                <w:rFonts w:ascii="Arial" w:hAnsi="Arial"/>
                <w:szCs w:val="22"/>
              </w:rPr>
              <w:t>Korenyi-Both AL (2000). The role of the Sand in Chemical Warfare Agent Exposure among Persian Gulf War Veterans: Al Eskan Disease and "Dirty Dust". Military Medicine 165 (5) pp 321- 336.</w:t>
            </w:r>
          </w:p>
        </w:tc>
      </w:tr>
      <w:tr w:rsidR="002A4F0C" w:rsidRPr="002A4F0C" w14:paraId="5003D36D" w14:textId="77777777" w:rsidTr="002A4F0C">
        <w:trPr>
          <w:cantSplit/>
        </w:trPr>
        <w:tc>
          <w:tcPr>
            <w:tcW w:w="1575" w:type="dxa"/>
            <w:shd w:val="clear" w:color="auto" w:fill="auto"/>
            <w:noWrap/>
            <w:vAlign w:val="center"/>
          </w:tcPr>
          <w:p w14:paraId="47EC435D" w14:textId="77777777" w:rsidR="002A4F0C" w:rsidRPr="002A4F0C" w:rsidRDefault="002A4F0C" w:rsidP="002A4F0C">
            <w:pPr>
              <w:spacing w:line="240" w:lineRule="auto"/>
              <w:jc w:val="center"/>
              <w:rPr>
                <w:rFonts w:ascii="Arial" w:hAnsi="Arial"/>
                <w:szCs w:val="22"/>
              </w:rPr>
            </w:pPr>
            <w:r w:rsidRPr="002A4F0C">
              <w:rPr>
                <w:rFonts w:ascii="Arial" w:hAnsi="Arial"/>
                <w:szCs w:val="22"/>
              </w:rPr>
              <w:t>21274</w:t>
            </w:r>
          </w:p>
        </w:tc>
        <w:tc>
          <w:tcPr>
            <w:tcW w:w="7938" w:type="dxa"/>
            <w:shd w:val="clear" w:color="auto" w:fill="auto"/>
            <w:vAlign w:val="bottom"/>
          </w:tcPr>
          <w:p w14:paraId="4DE11C34" w14:textId="77777777" w:rsidR="002A4F0C" w:rsidRPr="002A4F0C" w:rsidRDefault="002A4F0C" w:rsidP="002A4F0C">
            <w:pPr>
              <w:spacing w:line="240" w:lineRule="auto"/>
              <w:rPr>
                <w:rFonts w:ascii="Arial" w:hAnsi="Arial"/>
                <w:szCs w:val="22"/>
              </w:rPr>
            </w:pPr>
            <w:r w:rsidRPr="002A4F0C">
              <w:rPr>
                <w:rFonts w:ascii="Arial" w:hAnsi="Arial"/>
                <w:szCs w:val="22"/>
              </w:rPr>
              <w:t>Stokes L, Stark A, et al (1995). Neurotoxicity among pesticide applicators exposed to organophosphates. Occupational and Environmental Medicine, Vol 52 pp 648-653.</w:t>
            </w:r>
          </w:p>
        </w:tc>
      </w:tr>
      <w:tr w:rsidR="002A4F0C" w:rsidRPr="002A4F0C" w14:paraId="262EAE8E" w14:textId="77777777" w:rsidTr="002A4F0C">
        <w:trPr>
          <w:cantSplit/>
        </w:trPr>
        <w:tc>
          <w:tcPr>
            <w:tcW w:w="1575" w:type="dxa"/>
            <w:shd w:val="clear" w:color="auto" w:fill="auto"/>
            <w:noWrap/>
            <w:vAlign w:val="center"/>
          </w:tcPr>
          <w:p w14:paraId="3DD2E2F3" w14:textId="77777777" w:rsidR="002A4F0C" w:rsidRPr="002A4F0C" w:rsidRDefault="002A4F0C" w:rsidP="002A4F0C">
            <w:pPr>
              <w:spacing w:line="240" w:lineRule="auto"/>
              <w:jc w:val="center"/>
              <w:rPr>
                <w:rFonts w:ascii="Arial" w:hAnsi="Arial"/>
                <w:szCs w:val="22"/>
              </w:rPr>
            </w:pPr>
            <w:r w:rsidRPr="002A4F0C">
              <w:rPr>
                <w:rFonts w:ascii="Arial" w:hAnsi="Arial"/>
                <w:szCs w:val="22"/>
              </w:rPr>
              <w:t>21427</w:t>
            </w:r>
          </w:p>
        </w:tc>
        <w:tc>
          <w:tcPr>
            <w:tcW w:w="7938" w:type="dxa"/>
            <w:shd w:val="clear" w:color="auto" w:fill="auto"/>
            <w:vAlign w:val="bottom"/>
          </w:tcPr>
          <w:p w14:paraId="5E5962C3" w14:textId="77777777" w:rsidR="002A4F0C" w:rsidRPr="002A4F0C" w:rsidRDefault="002A4F0C" w:rsidP="002A4F0C">
            <w:pPr>
              <w:spacing w:line="240" w:lineRule="auto"/>
              <w:rPr>
                <w:rFonts w:ascii="Arial" w:hAnsi="Arial"/>
                <w:szCs w:val="22"/>
              </w:rPr>
            </w:pPr>
            <w:r w:rsidRPr="002A4F0C">
              <w:rPr>
                <w:rFonts w:ascii="Arial" w:hAnsi="Arial"/>
                <w:szCs w:val="22"/>
              </w:rPr>
              <w:t>Information paper: vaccine use during the Gulf War. http://www.gulflink.osd.mil/va/</w:t>
            </w:r>
          </w:p>
        </w:tc>
      </w:tr>
      <w:tr w:rsidR="002A4F0C" w:rsidRPr="002A4F0C" w14:paraId="59DC6011" w14:textId="77777777" w:rsidTr="002A4F0C">
        <w:trPr>
          <w:cantSplit/>
        </w:trPr>
        <w:tc>
          <w:tcPr>
            <w:tcW w:w="1575" w:type="dxa"/>
            <w:shd w:val="clear" w:color="auto" w:fill="auto"/>
            <w:noWrap/>
            <w:vAlign w:val="center"/>
          </w:tcPr>
          <w:p w14:paraId="67EB3DA6" w14:textId="77777777" w:rsidR="002A4F0C" w:rsidRPr="002A4F0C" w:rsidRDefault="002A4F0C" w:rsidP="002A4F0C">
            <w:pPr>
              <w:spacing w:line="240" w:lineRule="auto"/>
              <w:jc w:val="center"/>
              <w:rPr>
                <w:rFonts w:ascii="Arial" w:hAnsi="Arial"/>
                <w:szCs w:val="22"/>
              </w:rPr>
            </w:pPr>
            <w:r w:rsidRPr="002A4F0C">
              <w:rPr>
                <w:rFonts w:ascii="Arial" w:hAnsi="Arial"/>
                <w:szCs w:val="22"/>
              </w:rPr>
              <w:t>21434</w:t>
            </w:r>
          </w:p>
        </w:tc>
        <w:tc>
          <w:tcPr>
            <w:tcW w:w="7938" w:type="dxa"/>
            <w:shd w:val="clear" w:color="auto" w:fill="auto"/>
            <w:vAlign w:val="bottom"/>
          </w:tcPr>
          <w:p w14:paraId="46A8EEC2" w14:textId="77777777" w:rsidR="002A4F0C" w:rsidRPr="002A4F0C" w:rsidRDefault="002A4F0C" w:rsidP="002A4F0C">
            <w:pPr>
              <w:spacing w:line="240" w:lineRule="auto"/>
              <w:rPr>
                <w:rFonts w:ascii="Arial" w:hAnsi="Arial"/>
                <w:szCs w:val="22"/>
              </w:rPr>
            </w:pPr>
            <w:r w:rsidRPr="002A4F0C">
              <w:rPr>
                <w:rFonts w:ascii="Arial" w:hAnsi="Arial"/>
                <w:szCs w:val="22"/>
              </w:rPr>
              <w:t>US Department of Defense (2000). DoD updates its depleted uranium environmental exposure report.</w:t>
            </w:r>
          </w:p>
        </w:tc>
      </w:tr>
      <w:tr w:rsidR="002A4F0C" w:rsidRPr="002A4F0C" w14:paraId="361C092D" w14:textId="77777777" w:rsidTr="002A4F0C">
        <w:trPr>
          <w:cantSplit/>
        </w:trPr>
        <w:tc>
          <w:tcPr>
            <w:tcW w:w="1575" w:type="dxa"/>
            <w:shd w:val="clear" w:color="auto" w:fill="auto"/>
            <w:noWrap/>
            <w:vAlign w:val="center"/>
          </w:tcPr>
          <w:p w14:paraId="765E52F9" w14:textId="77777777" w:rsidR="002A4F0C" w:rsidRPr="002A4F0C" w:rsidRDefault="002A4F0C" w:rsidP="002A4F0C">
            <w:pPr>
              <w:spacing w:line="240" w:lineRule="auto"/>
              <w:jc w:val="center"/>
              <w:rPr>
                <w:rFonts w:ascii="Arial" w:hAnsi="Arial"/>
                <w:szCs w:val="22"/>
              </w:rPr>
            </w:pPr>
            <w:r w:rsidRPr="002A4F0C">
              <w:rPr>
                <w:rFonts w:ascii="Arial" w:hAnsi="Arial"/>
                <w:szCs w:val="22"/>
              </w:rPr>
              <w:t>21506</w:t>
            </w:r>
          </w:p>
        </w:tc>
        <w:tc>
          <w:tcPr>
            <w:tcW w:w="7938" w:type="dxa"/>
            <w:shd w:val="clear" w:color="auto" w:fill="auto"/>
            <w:vAlign w:val="bottom"/>
          </w:tcPr>
          <w:p w14:paraId="1BA222C1" w14:textId="77777777" w:rsidR="002A4F0C" w:rsidRPr="002A4F0C" w:rsidRDefault="002A4F0C" w:rsidP="002A4F0C">
            <w:pPr>
              <w:spacing w:line="240" w:lineRule="auto"/>
              <w:rPr>
                <w:rFonts w:ascii="Arial" w:hAnsi="Arial"/>
                <w:szCs w:val="22"/>
              </w:rPr>
            </w:pPr>
            <w:r w:rsidRPr="002A4F0C">
              <w:rPr>
                <w:rFonts w:ascii="Arial" w:hAnsi="Arial"/>
                <w:szCs w:val="22"/>
              </w:rPr>
              <w:t>Hernandez LM, Durch JS, Blazer DG and Hoverman IV (Eds)(1999). Gulf War Veterans: Measuring Health. Institute of Medicine. National Academy Press, Washington D.C. ISBN 0 309 06580 1</w:t>
            </w:r>
          </w:p>
        </w:tc>
      </w:tr>
      <w:tr w:rsidR="002A4F0C" w:rsidRPr="002A4F0C" w14:paraId="392D3DCD" w14:textId="77777777" w:rsidTr="002A4F0C">
        <w:trPr>
          <w:cantSplit/>
        </w:trPr>
        <w:tc>
          <w:tcPr>
            <w:tcW w:w="1575" w:type="dxa"/>
            <w:shd w:val="clear" w:color="auto" w:fill="auto"/>
            <w:noWrap/>
            <w:vAlign w:val="center"/>
          </w:tcPr>
          <w:p w14:paraId="6C98CCA0" w14:textId="77777777" w:rsidR="002A4F0C" w:rsidRPr="002A4F0C" w:rsidRDefault="002A4F0C" w:rsidP="002A4F0C">
            <w:pPr>
              <w:spacing w:line="240" w:lineRule="auto"/>
              <w:jc w:val="center"/>
              <w:rPr>
                <w:rFonts w:ascii="Arial" w:hAnsi="Arial"/>
                <w:szCs w:val="22"/>
              </w:rPr>
            </w:pPr>
            <w:r w:rsidRPr="002A4F0C">
              <w:rPr>
                <w:rFonts w:ascii="Arial" w:hAnsi="Arial"/>
                <w:szCs w:val="22"/>
              </w:rPr>
              <w:t>21595</w:t>
            </w:r>
          </w:p>
        </w:tc>
        <w:tc>
          <w:tcPr>
            <w:tcW w:w="7938" w:type="dxa"/>
            <w:shd w:val="clear" w:color="auto" w:fill="auto"/>
            <w:vAlign w:val="bottom"/>
          </w:tcPr>
          <w:p w14:paraId="3CEF08B1" w14:textId="77777777" w:rsidR="002A4F0C" w:rsidRPr="002A4F0C" w:rsidRDefault="002A4F0C" w:rsidP="002A4F0C">
            <w:pPr>
              <w:spacing w:line="240" w:lineRule="auto"/>
              <w:rPr>
                <w:rFonts w:ascii="Arial" w:hAnsi="Arial"/>
                <w:szCs w:val="22"/>
              </w:rPr>
            </w:pPr>
            <w:r w:rsidRPr="002A4F0C">
              <w:rPr>
                <w:rFonts w:ascii="Arial" w:hAnsi="Arial"/>
                <w:szCs w:val="22"/>
              </w:rPr>
              <w:t>Salamon R, Alperovitch A, Conso F, Jutand MA, et al (2001). Mission Report from the Working Group Responsible for Analysing Health Data Relating to French Veterans of the Gulf War.</w:t>
            </w:r>
          </w:p>
        </w:tc>
      </w:tr>
      <w:tr w:rsidR="002A4F0C" w:rsidRPr="002A4F0C" w14:paraId="32F48853" w14:textId="77777777" w:rsidTr="002A4F0C">
        <w:trPr>
          <w:cantSplit/>
        </w:trPr>
        <w:tc>
          <w:tcPr>
            <w:tcW w:w="1575" w:type="dxa"/>
            <w:shd w:val="clear" w:color="auto" w:fill="auto"/>
            <w:noWrap/>
            <w:vAlign w:val="center"/>
          </w:tcPr>
          <w:p w14:paraId="17A8B09A" w14:textId="77777777" w:rsidR="002A4F0C" w:rsidRPr="002A4F0C" w:rsidRDefault="002A4F0C" w:rsidP="002A4F0C">
            <w:pPr>
              <w:spacing w:line="240" w:lineRule="auto"/>
              <w:jc w:val="center"/>
              <w:rPr>
                <w:rFonts w:ascii="Arial" w:hAnsi="Arial"/>
                <w:szCs w:val="22"/>
              </w:rPr>
            </w:pPr>
            <w:r w:rsidRPr="002A4F0C">
              <w:rPr>
                <w:rFonts w:ascii="Arial" w:hAnsi="Arial"/>
                <w:szCs w:val="22"/>
              </w:rPr>
              <w:t>21777</w:t>
            </w:r>
          </w:p>
        </w:tc>
        <w:tc>
          <w:tcPr>
            <w:tcW w:w="7938" w:type="dxa"/>
            <w:shd w:val="clear" w:color="auto" w:fill="auto"/>
            <w:vAlign w:val="bottom"/>
          </w:tcPr>
          <w:p w14:paraId="3D8BB03A" w14:textId="77777777" w:rsidR="002A4F0C" w:rsidRPr="002A4F0C" w:rsidRDefault="002A4F0C" w:rsidP="002A4F0C">
            <w:pPr>
              <w:spacing w:line="240" w:lineRule="auto"/>
              <w:rPr>
                <w:rFonts w:ascii="Arial" w:hAnsi="Arial"/>
                <w:szCs w:val="22"/>
              </w:rPr>
            </w:pPr>
            <w:r w:rsidRPr="002A4F0C">
              <w:rPr>
                <w:rFonts w:ascii="Arial" w:hAnsi="Arial"/>
                <w:szCs w:val="22"/>
              </w:rPr>
              <w:t>Writer JV, DeFraties RF &amp; Brundage JF. (1996). Comparative mortality among military personnel in the Persian Gulf region and worldwide during operations Desert Shield and Desert Storm. JAMA Vol 275 pp 118-121.</w:t>
            </w:r>
          </w:p>
        </w:tc>
      </w:tr>
      <w:tr w:rsidR="002A4F0C" w:rsidRPr="002A4F0C" w14:paraId="5D60BE72" w14:textId="77777777" w:rsidTr="002A4F0C">
        <w:trPr>
          <w:cantSplit/>
        </w:trPr>
        <w:tc>
          <w:tcPr>
            <w:tcW w:w="1575" w:type="dxa"/>
            <w:shd w:val="clear" w:color="auto" w:fill="auto"/>
            <w:noWrap/>
            <w:vAlign w:val="center"/>
          </w:tcPr>
          <w:p w14:paraId="6A1E972A" w14:textId="77777777" w:rsidR="002A4F0C" w:rsidRPr="002A4F0C" w:rsidRDefault="002A4F0C" w:rsidP="002A4F0C">
            <w:pPr>
              <w:spacing w:line="240" w:lineRule="auto"/>
              <w:jc w:val="center"/>
              <w:rPr>
                <w:rFonts w:ascii="Arial" w:hAnsi="Arial"/>
                <w:szCs w:val="22"/>
              </w:rPr>
            </w:pPr>
            <w:r w:rsidRPr="002A4F0C">
              <w:rPr>
                <w:rFonts w:ascii="Arial" w:hAnsi="Arial"/>
                <w:szCs w:val="22"/>
              </w:rPr>
              <w:t>26168</w:t>
            </w:r>
          </w:p>
        </w:tc>
        <w:tc>
          <w:tcPr>
            <w:tcW w:w="7938" w:type="dxa"/>
            <w:shd w:val="clear" w:color="auto" w:fill="auto"/>
            <w:vAlign w:val="bottom"/>
          </w:tcPr>
          <w:p w14:paraId="329A1D3F" w14:textId="77777777" w:rsidR="002A4F0C" w:rsidRPr="002A4F0C" w:rsidRDefault="002A4F0C" w:rsidP="002A4F0C">
            <w:pPr>
              <w:spacing w:line="240" w:lineRule="auto"/>
              <w:rPr>
                <w:rFonts w:ascii="Arial" w:hAnsi="Arial"/>
                <w:szCs w:val="22"/>
              </w:rPr>
            </w:pPr>
            <w:r w:rsidRPr="002A4F0C">
              <w:rPr>
                <w:rFonts w:ascii="Arial" w:hAnsi="Arial"/>
                <w:szCs w:val="22"/>
              </w:rPr>
              <w:t>Satin KP, Bailey WJ, Newton KL, Ross AY, Wong O. Updated epidemiological study of workers at two California petroleum refineries, 1950-95. Occup Environ Med 2002 Apr;59(4):248-256.</w:t>
            </w:r>
          </w:p>
        </w:tc>
      </w:tr>
      <w:tr w:rsidR="002A4F0C" w:rsidRPr="002A4F0C" w14:paraId="601FB4A5" w14:textId="77777777" w:rsidTr="002A4F0C">
        <w:trPr>
          <w:cantSplit/>
        </w:trPr>
        <w:tc>
          <w:tcPr>
            <w:tcW w:w="1575" w:type="dxa"/>
            <w:shd w:val="clear" w:color="auto" w:fill="auto"/>
            <w:noWrap/>
            <w:vAlign w:val="center"/>
          </w:tcPr>
          <w:p w14:paraId="6376FCF8" w14:textId="77777777" w:rsidR="002A4F0C" w:rsidRPr="002A4F0C" w:rsidRDefault="002A4F0C" w:rsidP="002A4F0C">
            <w:pPr>
              <w:spacing w:line="240" w:lineRule="auto"/>
              <w:jc w:val="center"/>
              <w:rPr>
                <w:rFonts w:ascii="Arial" w:hAnsi="Arial"/>
                <w:szCs w:val="22"/>
              </w:rPr>
            </w:pPr>
            <w:r w:rsidRPr="002A4F0C">
              <w:rPr>
                <w:rFonts w:ascii="Arial" w:hAnsi="Arial"/>
                <w:szCs w:val="22"/>
              </w:rPr>
              <w:t>26186</w:t>
            </w:r>
          </w:p>
        </w:tc>
        <w:tc>
          <w:tcPr>
            <w:tcW w:w="7938" w:type="dxa"/>
            <w:shd w:val="clear" w:color="auto" w:fill="auto"/>
            <w:vAlign w:val="bottom"/>
          </w:tcPr>
          <w:p w14:paraId="66D3A2F6" w14:textId="77777777" w:rsidR="002A4F0C" w:rsidRPr="002A4F0C" w:rsidRDefault="002A4F0C" w:rsidP="002A4F0C">
            <w:pPr>
              <w:spacing w:line="240" w:lineRule="auto"/>
              <w:rPr>
                <w:rFonts w:ascii="Arial" w:hAnsi="Arial"/>
                <w:szCs w:val="22"/>
              </w:rPr>
            </w:pPr>
            <w:r w:rsidRPr="002A4F0C">
              <w:rPr>
                <w:rFonts w:ascii="Arial" w:hAnsi="Arial"/>
                <w:szCs w:val="22"/>
              </w:rPr>
              <w:t>Wong O, Harris F, Rosamilia K, Raabe GK. An updated mortality study of workers at a petroleum refinery in Beaumont, Texas, 1945 to 1996. J Occup Environ Med 2001 Apr;43(4):384-401.</w:t>
            </w:r>
          </w:p>
        </w:tc>
      </w:tr>
      <w:tr w:rsidR="002A4F0C" w:rsidRPr="002A4F0C" w14:paraId="22EBA98C" w14:textId="77777777" w:rsidTr="002A4F0C">
        <w:trPr>
          <w:cantSplit/>
        </w:trPr>
        <w:tc>
          <w:tcPr>
            <w:tcW w:w="1575" w:type="dxa"/>
            <w:shd w:val="clear" w:color="auto" w:fill="auto"/>
            <w:noWrap/>
            <w:vAlign w:val="center"/>
          </w:tcPr>
          <w:p w14:paraId="3B6212C1" w14:textId="77777777" w:rsidR="002A4F0C" w:rsidRPr="002A4F0C" w:rsidRDefault="002A4F0C" w:rsidP="002A4F0C">
            <w:pPr>
              <w:spacing w:line="240" w:lineRule="auto"/>
              <w:jc w:val="center"/>
              <w:rPr>
                <w:rFonts w:ascii="Arial" w:hAnsi="Arial"/>
                <w:szCs w:val="22"/>
              </w:rPr>
            </w:pPr>
            <w:r w:rsidRPr="002A4F0C">
              <w:rPr>
                <w:rFonts w:ascii="Arial" w:hAnsi="Arial"/>
                <w:szCs w:val="22"/>
              </w:rPr>
              <w:t>26416</w:t>
            </w:r>
          </w:p>
        </w:tc>
        <w:tc>
          <w:tcPr>
            <w:tcW w:w="7938" w:type="dxa"/>
            <w:shd w:val="clear" w:color="auto" w:fill="auto"/>
            <w:vAlign w:val="bottom"/>
          </w:tcPr>
          <w:p w14:paraId="3C7656C5" w14:textId="77777777" w:rsidR="002A4F0C" w:rsidRPr="002A4F0C" w:rsidRDefault="002A4F0C" w:rsidP="002A4F0C">
            <w:pPr>
              <w:spacing w:line="240" w:lineRule="auto"/>
              <w:rPr>
                <w:rFonts w:ascii="Arial" w:hAnsi="Arial"/>
                <w:szCs w:val="22"/>
              </w:rPr>
            </w:pPr>
            <w:r w:rsidRPr="002A4F0C">
              <w:rPr>
                <w:rFonts w:ascii="Arial" w:hAnsi="Arial"/>
                <w:szCs w:val="22"/>
              </w:rPr>
              <w:t>Environment Committee Armed Forces Epidemiological Board (1996). Long-term health effects associated with sub-clinical exposures to GB and Mustard. Gulflink website at www.gulflink.osd.mil/agent.html</w:t>
            </w:r>
          </w:p>
        </w:tc>
      </w:tr>
      <w:tr w:rsidR="002A4F0C" w:rsidRPr="002A4F0C" w14:paraId="4AC34F7B" w14:textId="77777777" w:rsidTr="002A4F0C">
        <w:trPr>
          <w:cantSplit/>
        </w:trPr>
        <w:tc>
          <w:tcPr>
            <w:tcW w:w="1575" w:type="dxa"/>
            <w:shd w:val="clear" w:color="auto" w:fill="auto"/>
            <w:noWrap/>
            <w:vAlign w:val="center"/>
          </w:tcPr>
          <w:p w14:paraId="45D41B81" w14:textId="77777777" w:rsidR="002A4F0C" w:rsidRPr="002A4F0C" w:rsidRDefault="002A4F0C" w:rsidP="002A4F0C">
            <w:pPr>
              <w:spacing w:line="240" w:lineRule="auto"/>
              <w:jc w:val="center"/>
              <w:rPr>
                <w:rFonts w:ascii="Arial" w:hAnsi="Arial"/>
                <w:szCs w:val="22"/>
              </w:rPr>
            </w:pPr>
            <w:r w:rsidRPr="002A4F0C">
              <w:rPr>
                <w:rFonts w:ascii="Arial" w:hAnsi="Arial"/>
                <w:szCs w:val="22"/>
              </w:rPr>
              <w:t>26417</w:t>
            </w:r>
          </w:p>
        </w:tc>
        <w:tc>
          <w:tcPr>
            <w:tcW w:w="7938" w:type="dxa"/>
            <w:shd w:val="clear" w:color="auto" w:fill="auto"/>
            <w:vAlign w:val="bottom"/>
          </w:tcPr>
          <w:p w14:paraId="752FEDD1" w14:textId="77777777" w:rsidR="002A4F0C" w:rsidRPr="002A4F0C" w:rsidRDefault="002A4F0C" w:rsidP="002A4F0C">
            <w:pPr>
              <w:spacing w:line="240" w:lineRule="auto"/>
              <w:rPr>
                <w:rFonts w:ascii="Arial" w:hAnsi="Arial"/>
                <w:szCs w:val="22"/>
              </w:rPr>
            </w:pPr>
            <w:r w:rsidRPr="002A4F0C">
              <w:rPr>
                <w:rFonts w:ascii="Arial" w:hAnsi="Arial"/>
                <w:szCs w:val="22"/>
              </w:rPr>
              <w:t>Augerson WS (2000). A review of the scientific literature as it pertains to Gulf War Illness, Vol 5, Chemical and Biological Warfare Agents. RAND National Defense Research Institute. Printed from Gulflink website at www.gulflink.osd.mil/library/randrep/bw_paper/</w:t>
            </w:r>
          </w:p>
        </w:tc>
      </w:tr>
      <w:tr w:rsidR="002A4F0C" w:rsidRPr="002A4F0C" w14:paraId="6B705434" w14:textId="77777777" w:rsidTr="002A4F0C">
        <w:trPr>
          <w:cantSplit/>
        </w:trPr>
        <w:tc>
          <w:tcPr>
            <w:tcW w:w="1575" w:type="dxa"/>
            <w:shd w:val="clear" w:color="auto" w:fill="auto"/>
            <w:noWrap/>
            <w:vAlign w:val="center"/>
          </w:tcPr>
          <w:p w14:paraId="41CCF288"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26665</w:t>
            </w:r>
          </w:p>
        </w:tc>
        <w:tc>
          <w:tcPr>
            <w:tcW w:w="7938" w:type="dxa"/>
            <w:shd w:val="clear" w:color="auto" w:fill="auto"/>
            <w:vAlign w:val="bottom"/>
          </w:tcPr>
          <w:p w14:paraId="6E8124DE" w14:textId="77777777" w:rsidR="002A4F0C" w:rsidRPr="002A4F0C" w:rsidRDefault="002A4F0C" w:rsidP="002A4F0C">
            <w:pPr>
              <w:spacing w:line="240" w:lineRule="auto"/>
              <w:rPr>
                <w:rFonts w:ascii="Arial" w:hAnsi="Arial"/>
                <w:szCs w:val="22"/>
              </w:rPr>
            </w:pPr>
            <w:r w:rsidRPr="002A4F0C">
              <w:rPr>
                <w:rFonts w:ascii="Arial" w:hAnsi="Arial"/>
                <w:szCs w:val="22"/>
              </w:rPr>
              <w:t>Deale A, Husain K, Chalder T, Wessely S (2001). Long-term outcome of cognitive behavior therapy versus relaxation therapy for chronic fatigue syndrome: a 5-year follow-up study. Am J Psychiatry, Vol 158 pp 2038-2042.</w:t>
            </w:r>
          </w:p>
        </w:tc>
      </w:tr>
      <w:tr w:rsidR="002A4F0C" w:rsidRPr="002A4F0C" w14:paraId="4A45250C" w14:textId="77777777" w:rsidTr="002A4F0C">
        <w:trPr>
          <w:cantSplit/>
        </w:trPr>
        <w:tc>
          <w:tcPr>
            <w:tcW w:w="1575" w:type="dxa"/>
            <w:shd w:val="clear" w:color="auto" w:fill="auto"/>
            <w:noWrap/>
            <w:vAlign w:val="center"/>
          </w:tcPr>
          <w:p w14:paraId="4F5B3CF6"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26666</w:t>
            </w:r>
          </w:p>
        </w:tc>
        <w:tc>
          <w:tcPr>
            <w:tcW w:w="7938" w:type="dxa"/>
            <w:shd w:val="clear" w:color="auto" w:fill="auto"/>
            <w:vAlign w:val="bottom"/>
          </w:tcPr>
          <w:p w14:paraId="7A3E7CC2" w14:textId="77777777" w:rsidR="002A4F0C" w:rsidRPr="002A4F0C" w:rsidRDefault="002A4F0C" w:rsidP="002A4F0C">
            <w:pPr>
              <w:spacing w:line="240" w:lineRule="auto"/>
              <w:rPr>
                <w:rFonts w:ascii="Arial" w:hAnsi="Arial"/>
                <w:szCs w:val="22"/>
              </w:rPr>
            </w:pPr>
            <w:r w:rsidRPr="002A4F0C">
              <w:rPr>
                <w:rFonts w:ascii="Arial" w:hAnsi="Arial"/>
                <w:szCs w:val="22"/>
              </w:rPr>
              <w:t>Parker AJR, Wessely S, Cleare AJ (2001). The neuroendocrinology of chronic fatigue syndrome and fibromyalgia. Psychological Medicine, Vol 31 pp 1331-1345.</w:t>
            </w:r>
          </w:p>
        </w:tc>
      </w:tr>
      <w:tr w:rsidR="002A4F0C" w:rsidRPr="002A4F0C" w14:paraId="533F663C" w14:textId="77777777" w:rsidTr="002A4F0C">
        <w:trPr>
          <w:cantSplit/>
        </w:trPr>
        <w:tc>
          <w:tcPr>
            <w:tcW w:w="1575" w:type="dxa"/>
            <w:shd w:val="clear" w:color="auto" w:fill="auto"/>
            <w:noWrap/>
            <w:vAlign w:val="center"/>
          </w:tcPr>
          <w:p w14:paraId="59AB1FE4"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26667</w:t>
            </w:r>
          </w:p>
        </w:tc>
        <w:tc>
          <w:tcPr>
            <w:tcW w:w="7938" w:type="dxa"/>
            <w:shd w:val="clear" w:color="auto" w:fill="auto"/>
            <w:vAlign w:val="bottom"/>
          </w:tcPr>
          <w:p w14:paraId="14F34233" w14:textId="77777777" w:rsidR="002A4F0C" w:rsidRPr="002A4F0C" w:rsidRDefault="002A4F0C" w:rsidP="002A4F0C">
            <w:pPr>
              <w:spacing w:line="240" w:lineRule="auto"/>
              <w:rPr>
                <w:rFonts w:ascii="Arial" w:hAnsi="Arial"/>
                <w:szCs w:val="22"/>
              </w:rPr>
            </w:pPr>
            <w:r w:rsidRPr="002A4F0C">
              <w:rPr>
                <w:rFonts w:ascii="Arial" w:hAnsi="Arial"/>
                <w:szCs w:val="22"/>
              </w:rPr>
              <w:t>Nimnuan C, Rabe-Hesketh S, Wessely S, Hotopf M. (2001). How many functional somatic syndromes? Journal of Psychosomatic Research, Vol 51 pp 549-557.</w:t>
            </w:r>
          </w:p>
        </w:tc>
      </w:tr>
      <w:tr w:rsidR="002A4F0C" w:rsidRPr="002A4F0C" w14:paraId="0BCA345F" w14:textId="77777777" w:rsidTr="002A4F0C">
        <w:trPr>
          <w:cantSplit/>
        </w:trPr>
        <w:tc>
          <w:tcPr>
            <w:tcW w:w="1575" w:type="dxa"/>
            <w:shd w:val="clear" w:color="auto" w:fill="auto"/>
            <w:noWrap/>
            <w:vAlign w:val="center"/>
          </w:tcPr>
          <w:p w14:paraId="4241DF1E"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26668</w:t>
            </w:r>
          </w:p>
        </w:tc>
        <w:tc>
          <w:tcPr>
            <w:tcW w:w="7938" w:type="dxa"/>
            <w:shd w:val="clear" w:color="auto" w:fill="auto"/>
            <w:vAlign w:val="bottom"/>
          </w:tcPr>
          <w:p w14:paraId="74195B23" w14:textId="77777777" w:rsidR="002A4F0C" w:rsidRPr="002A4F0C" w:rsidRDefault="002A4F0C" w:rsidP="002A4F0C">
            <w:pPr>
              <w:spacing w:line="240" w:lineRule="auto"/>
              <w:rPr>
                <w:rFonts w:ascii="Arial" w:hAnsi="Arial"/>
                <w:szCs w:val="22"/>
              </w:rPr>
            </w:pPr>
            <w:r w:rsidRPr="002A4F0C">
              <w:rPr>
                <w:rFonts w:ascii="Arial" w:hAnsi="Arial"/>
                <w:szCs w:val="22"/>
              </w:rPr>
              <w:t>Hyams KC, Murphy FM, Wessely S (2002). Responding to chemical, biological, or nuclear terrorism: the indirect and long-term health effects may present the greatest challenge. Journal of Health Politics, Policy and Law, Vol 27(2) pp 273-242.</w:t>
            </w:r>
          </w:p>
        </w:tc>
      </w:tr>
      <w:tr w:rsidR="002A4F0C" w:rsidRPr="002A4F0C" w14:paraId="529757D4" w14:textId="77777777" w:rsidTr="002A4F0C">
        <w:trPr>
          <w:cantSplit/>
        </w:trPr>
        <w:tc>
          <w:tcPr>
            <w:tcW w:w="1575" w:type="dxa"/>
            <w:shd w:val="clear" w:color="auto" w:fill="auto"/>
            <w:noWrap/>
            <w:vAlign w:val="center"/>
          </w:tcPr>
          <w:p w14:paraId="6747CE4A"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26669</w:t>
            </w:r>
          </w:p>
        </w:tc>
        <w:tc>
          <w:tcPr>
            <w:tcW w:w="7938" w:type="dxa"/>
            <w:shd w:val="clear" w:color="auto" w:fill="auto"/>
            <w:vAlign w:val="bottom"/>
          </w:tcPr>
          <w:p w14:paraId="48C1EC69" w14:textId="77777777" w:rsidR="002A4F0C" w:rsidRPr="002A4F0C" w:rsidRDefault="002A4F0C" w:rsidP="002A4F0C">
            <w:pPr>
              <w:spacing w:line="240" w:lineRule="auto"/>
              <w:rPr>
                <w:rFonts w:ascii="Arial" w:hAnsi="Arial"/>
                <w:szCs w:val="22"/>
              </w:rPr>
            </w:pPr>
            <w:r w:rsidRPr="002A4F0C">
              <w:rPr>
                <w:rFonts w:ascii="Arial" w:hAnsi="Arial"/>
                <w:szCs w:val="22"/>
              </w:rPr>
              <w:t>Skowera A, Stewart E, Davis ET, Cleare AJ, Unwin C, Hull L, Ismail K, Hossain G, Wessely SC, &amp; Peakman M. (2002). Antinuclear autoantibodies (ANA) in Gulf War-related illness and chronic fatigue syndrome (CFS) patients. Clin Exp Immunol, Vol 129 pp 354-8.</w:t>
            </w:r>
          </w:p>
        </w:tc>
      </w:tr>
      <w:tr w:rsidR="002A4F0C" w:rsidRPr="002A4F0C" w14:paraId="0F232557" w14:textId="77777777" w:rsidTr="002A4F0C">
        <w:trPr>
          <w:cantSplit/>
        </w:trPr>
        <w:tc>
          <w:tcPr>
            <w:tcW w:w="1575" w:type="dxa"/>
            <w:shd w:val="clear" w:color="auto" w:fill="auto"/>
            <w:noWrap/>
            <w:vAlign w:val="center"/>
          </w:tcPr>
          <w:p w14:paraId="13113822"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26670</w:t>
            </w:r>
          </w:p>
        </w:tc>
        <w:tc>
          <w:tcPr>
            <w:tcW w:w="7938" w:type="dxa"/>
            <w:shd w:val="clear" w:color="auto" w:fill="auto"/>
            <w:vAlign w:val="bottom"/>
          </w:tcPr>
          <w:p w14:paraId="16A33B35" w14:textId="77777777" w:rsidR="002A4F0C" w:rsidRPr="002A4F0C" w:rsidRDefault="002A4F0C" w:rsidP="002A4F0C">
            <w:pPr>
              <w:spacing w:line="240" w:lineRule="auto"/>
              <w:rPr>
                <w:rFonts w:ascii="Arial" w:hAnsi="Arial"/>
                <w:szCs w:val="22"/>
              </w:rPr>
            </w:pPr>
            <w:r w:rsidRPr="002A4F0C">
              <w:rPr>
                <w:rFonts w:ascii="Arial" w:hAnsi="Arial"/>
                <w:szCs w:val="22"/>
              </w:rPr>
              <w:t>Jones E, Hodgins-Vermaas R, McCartney H, Everitt B, Beech C, Poynter D, Palmer I, Hyams K, Wessely S (2002). Post-combat syndromes from the Boer war to the Gulf war: a cluster analysis of their nature and attribution. BMJ Vol 324 pp 321-4; Correction in BMJ 2002 Vol 324 p 397.</w:t>
            </w:r>
          </w:p>
        </w:tc>
      </w:tr>
      <w:tr w:rsidR="002A4F0C" w:rsidRPr="002A4F0C" w14:paraId="177555E8" w14:textId="77777777" w:rsidTr="002A4F0C">
        <w:trPr>
          <w:cantSplit/>
        </w:trPr>
        <w:tc>
          <w:tcPr>
            <w:tcW w:w="1575" w:type="dxa"/>
            <w:shd w:val="clear" w:color="auto" w:fill="auto"/>
            <w:noWrap/>
            <w:vAlign w:val="center"/>
          </w:tcPr>
          <w:p w14:paraId="525C4037"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26671</w:t>
            </w:r>
          </w:p>
        </w:tc>
        <w:tc>
          <w:tcPr>
            <w:tcW w:w="7938" w:type="dxa"/>
            <w:shd w:val="clear" w:color="auto" w:fill="auto"/>
            <w:vAlign w:val="bottom"/>
          </w:tcPr>
          <w:p w14:paraId="38184E01" w14:textId="77777777" w:rsidR="002A4F0C" w:rsidRPr="002A4F0C" w:rsidRDefault="002A4F0C" w:rsidP="002A4F0C">
            <w:pPr>
              <w:spacing w:line="240" w:lineRule="auto"/>
              <w:rPr>
                <w:rFonts w:ascii="Arial" w:hAnsi="Arial"/>
                <w:szCs w:val="22"/>
              </w:rPr>
            </w:pPr>
            <w:r w:rsidRPr="002A4F0C">
              <w:rPr>
                <w:rFonts w:ascii="Arial" w:hAnsi="Arial"/>
                <w:szCs w:val="22"/>
              </w:rPr>
              <w:t>Chalder T, Hotopf M, Unwin C, Hull L, Ismail K, David A, Wessely S (2001). Prevalence of Gulf war veterans who believe they have Gulf war syndrome: questionnaire study. BMJ, Vol 323 pp 473-6.</w:t>
            </w:r>
          </w:p>
        </w:tc>
      </w:tr>
      <w:tr w:rsidR="002A4F0C" w:rsidRPr="002A4F0C" w14:paraId="667B49CD" w14:textId="77777777" w:rsidTr="002A4F0C">
        <w:trPr>
          <w:cantSplit/>
        </w:trPr>
        <w:tc>
          <w:tcPr>
            <w:tcW w:w="1575" w:type="dxa"/>
            <w:shd w:val="clear" w:color="auto" w:fill="auto"/>
            <w:noWrap/>
            <w:vAlign w:val="center"/>
          </w:tcPr>
          <w:p w14:paraId="0B6D5B15"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26672</w:t>
            </w:r>
          </w:p>
        </w:tc>
        <w:tc>
          <w:tcPr>
            <w:tcW w:w="7938" w:type="dxa"/>
            <w:shd w:val="clear" w:color="auto" w:fill="auto"/>
            <w:vAlign w:val="bottom"/>
          </w:tcPr>
          <w:p w14:paraId="7D4BF823" w14:textId="77777777" w:rsidR="002A4F0C" w:rsidRPr="002A4F0C" w:rsidRDefault="002A4F0C" w:rsidP="002A4F0C">
            <w:pPr>
              <w:spacing w:line="240" w:lineRule="auto"/>
              <w:rPr>
                <w:rFonts w:ascii="Arial" w:hAnsi="Arial"/>
                <w:szCs w:val="22"/>
              </w:rPr>
            </w:pPr>
            <w:r w:rsidRPr="002A4F0C">
              <w:rPr>
                <w:rFonts w:ascii="Arial" w:hAnsi="Arial"/>
                <w:szCs w:val="22"/>
              </w:rPr>
              <w:t>Barohn RJ, &amp; Rowland LP (2002). Neurology and Gulf war veterans. Neurology Vol 59 pp 1484-5.</w:t>
            </w:r>
          </w:p>
        </w:tc>
      </w:tr>
      <w:tr w:rsidR="002A4F0C" w:rsidRPr="002A4F0C" w14:paraId="1903B2B5" w14:textId="77777777" w:rsidTr="002A4F0C">
        <w:trPr>
          <w:cantSplit/>
        </w:trPr>
        <w:tc>
          <w:tcPr>
            <w:tcW w:w="1575" w:type="dxa"/>
            <w:shd w:val="clear" w:color="auto" w:fill="auto"/>
            <w:noWrap/>
            <w:vAlign w:val="center"/>
          </w:tcPr>
          <w:p w14:paraId="22CB3DAD"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26673</w:t>
            </w:r>
          </w:p>
        </w:tc>
        <w:tc>
          <w:tcPr>
            <w:tcW w:w="7938" w:type="dxa"/>
            <w:shd w:val="clear" w:color="auto" w:fill="auto"/>
            <w:vAlign w:val="bottom"/>
          </w:tcPr>
          <w:p w14:paraId="6A09E784" w14:textId="77777777" w:rsidR="002A4F0C" w:rsidRPr="002A4F0C" w:rsidRDefault="002A4F0C" w:rsidP="002A4F0C">
            <w:pPr>
              <w:spacing w:line="240" w:lineRule="auto"/>
              <w:rPr>
                <w:rFonts w:ascii="Arial" w:hAnsi="Arial"/>
                <w:szCs w:val="22"/>
              </w:rPr>
            </w:pPr>
            <w:r w:rsidRPr="002A4F0C">
              <w:rPr>
                <w:rFonts w:ascii="Arial" w:hAnsi="Arial"/>
                <w:szCs w:val="22"/>
              </w:rPr>
              <w:t>Sharief MK, Priddin J, Delamont RS, Unwin C, Rose MR, David A, Wessely S (2002). Neurophysiologic analysis of neuromuscular symptoms in UK Gulf war veterans. Neurology, Vol 59 pp 1518-1525.</w:t>
            </w:r>
          </w:p>
        </w:tc>
      </w:tr>
      <w:tr w:rsidR="002A4F0C" w:rsidRPr="002A4F0C" w14:paraId="2D651A2B" w14:textId="77777777" w:rsidTr="002A4F0C">
        <w:trPr>
          <w:cantSplit/>
        </w:trPr>
        <w:tc>
          <w:tcPr>
            <w:tcW w:w="1575" w:type="dxa"/>
            <w:shd w:val="clear" w:color="auto" w:fill="auto"/>
            <w:noWrap/>
            <w:vAlign w:val="center"/>
          </w:tcPr>
          <w:p w14:paraId="3DEB97FB"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26674</w:t>
            </w:r>
          </w:p>
        </w:tc>
        <w:tc>
          <w:tcPr>
            <w:tcW w:w="7938" w:type="dxa"/>
            <w:shd w:val="clear" w:color="auto" w:fill="auto"/>
            <w:vAlign w:val="bottom"/>
          </w:tcPr>
          <w:p w14:paraId="123243F0" w14:textId="77777777" w:rsidR="002A4F0C" w:rsidRPr="002A4F0C" w:rsidRDefault="002A4F0C" w:rsidP="002A4F0C">
            <w:pPr>
              <w:spacing w:line="240" w:lineRule="auto"/>
              <w:rPr>
                <w:rFonts w:ascii="Arial" w:hAnsi="Arial"/>
                <w:szCs w:val="22"/>
              </w:rPr>
            </w:pPr>
            <w:r w:rsidRPr="002A4F0C">
              <w:rPr>
                <w:rFonts w:ascii="Arial" w:hAnsi="Arial"/>
                <w:szCs w:val="22"/>
              </w:rPr>
              <w:t>Ismail K, Kent K, Brugha T, Hotopf M, Hull L, Seed P, Pet al (2002). The mental health of UK Gulf war veterans: phase 2 of a two phase cohort study. BMJ, 325: 576-9.</w:t>
            </w:r>
          </w:p>
        </w:tc>
      </w:tr>
      <w:tr w:rsidR="002A4F0C" w:rsidRPr="002A4F0C" w14:paraId="300B863A" w14:textId="77777777" w:rsidTr="002A4F0C">
        <w:trPr>
          <w:cantSplit/>
        </w:trPr>
        <w:tc>
          <w:tcPr>
            <w:tcW w:w="1575" w:type="dxa"/>
            <w:shd w:val="clear" w:color="auto" w:fill="auto"/>
            <w:noWrap/>
            <w:vAlign w:val="center"/>
          </w:tcPr>
          <w:p w14:paraId="1AA99E25"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26675</w:t>
            </w:r>
          </w:p>
        </w:tc>
        <w:tc>
          <w:tcPr>
            <w:tcW w:w="7938" w:type="dxa"/>
            <w:shd w:val="clear" w:color="auto" w:fill="auto"/>
            <w:vAlign w:val="bottom"/>
          </w:tcPr>
          <w:p w14:paraId="78249F98" w14:textId="77777777" w:rsidR="002A4F0C" w:rsidRPr="002A4F0C" w:rsidRDefault="002A4F0C" w:rsidP="002A4F0C">
            <w:pPr>
              <w:spacing w:line="240" w:lineRule="auto"/>
              <w:rPr>
                <w:rFonts w:ascii="Arial" w:hAnsi="Arial"/>
                <w:szCs w:val="22"/>
              </w:rPr>
            </w:pPr>
            <w:r w:rsidRPr="002A4F0C">
              <w:rPr>
                <w:rFonts w:ascii="Arial" w:hAnsi="Arial"/>
                <w:szCs w:val="22"/>
              </w:rPr>
              <w:t>Gabriel R, Neal LA (2002). Post-traumatic stress disorder following military combat or peace keeping. BMJ Vol 324 pp 340-1.</w:t>
            </w:r>
          </w:p>
        </w:tc>
      </w:tr>
      <w:tr w:rsidR="002A4F0C" w:rsidRPr="002A4F0C" w14:paraId="27242E3F" w14:textId="77777777" w:rsidTr="002A4F0C">
        <w:trPr>
          <w:cantSplit/>
        </w:trPr>
        <w:tc>
          <w:tcPr>
            <w:tcW w:w="1575" w:type="dxa"/>
            <w:shd w:val="clear" w:color="auto" w:fill="auto"/>
            <w:noWrap/>
            <w:vAlign w:val="center"/>
          </w:tcPr>
          <w:p w14:paraId="45292A39"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26687</w:t>
            </w:r>
          </w:p>
        </w:tc>
        <w:tc>
          <w:tcPr>
            <w:tcW w:w="7938" w:type="dxa"/>
            <w:shd w:val="clear" w:color="auto" w:fill="auto"/>
            <w:vAlign w:val="bottom"/>
          </w:tcPr>
          <w:p w14:paraId="5745ADAA" w14:textId="77777777" w:rsidR="002A4F0C" w:rsidRPr="002A4F0C" w:rsidRDefault="002A4F0C" w:rsidP="002A4F0C">
            <w:pPr>
              <w:spacing w:line="240" w:lineRule="auto"/>
              <w:rPr>
                <w:rFonts w:ascii="Arial" w:hAnsi="Arial"/>
                <w:szCs w:val="22"/>
              </w:rPr>
            </w:pPr>
            <w:r w:rsidRPr="002A4F0C">
              <w:rPr>
                <w:rFonts w:ascii="Arial" w:hAnsi="Arial"/>
                <w:szCs w:val="22"/>
              </w:rPr>
              <w:t>Jones E, Palmer I, &amp; Wessely S (2002). War pensions (1900-1945): changing models of psychological understanding. British Journal of Psychiatry, Vol 180 pp 374-9.</w:t>
            </w:r>
          </w:p>
        </w:tc>
      </w:tr>
      <w:tr w:rsidR="002A4F0C" w:rsidRPr="002A4F0C" w14:paraId="1363870D" w14:textId="77777777" w:rsidTr="002A4F0C">
        <w:trPr>
          <w:cantSplit/>
        </w:trPr>
        <w:tc>
          <w:tcPr>
            <w:tcW w:w="1575" w:type="dxa"/>
            <w:shd w:val="clear" w:color="auto" w:fill="auto"/>
            <w:noWrap/>
            <w:vAlign w:val="center"/>
          </w:tcPr>
          <w:p w14:paraId="320EF869" w14:textId="77777777" w:rsidR="002A4F0C" w:rsidRPr="002A4F0C" w:rsidRDefault="002A4F0C" w:rsidP="002A4F0C">
            <w:pPr>
              <w:spacing w:line="240" w:lineRule="auto"/>
              <w:jc w:val="center"/>
              <w:rPr>
                <w:rFonts w:ascii="Arial" w:hAnsi="Arial"/>
                <w:szCs w:val="22"/>
              </w:rPr>
            </w:pPr>
            <w:r w:rsidRPr="002A4F0C">
              <w:rPr>
                <w:rFonts w:ascii="Arial" w:hAnsi="Arial"/>
                <w:szCs w:val="22"/>
              </w:rPr>
              <w:t>26688</w:t>
            </w:r>
          </w:p>
        </w:tc>
        <w:tc>
          <w:tcPr>
            <w:tcW w:w="7938" w:type="dxa"/>
            <w:shd w:val="clear" w:color="auto" w:fill="auto"/>
            <w:vAlign w:val="bottom"/>
          </w:tcPr>
          <w:p w14:paraId="035C9F9A" w14:textId="77777777" w:rsidR="002A4F0C" w:rsidRPr="002A4F0C" w:rsidRDefault="002A4F0C" w:rsidP="002A4F0C">
            <w:pPr>
              <w:spacing w:line="240" w:lineRule="auto"/>
              <w:rPr>
                <w:rFonts w:ascii="Arial" w:hAnsi="Arial"/>
                <w:szCs w:val="22"/>
              </w:rPr>
            </w:pPr>
            <w:r w:rsidRPr="002A4F0C">
              <w:rPr>
                <w:rFonts w:ascii="Arial" w:hAnsi="Arial"/>
                <w:szCs w:val="22"/>
              </w:rPr>
              <w:t>Reid S, Wessely S, Crayford T &amp; Hotopf M. (2002). Frequent attenders with medically unexplained symptoms: service use and costs in secondary care. British Journal of Psychiatry, Vol 180 pp 248-253.</w:t>
            </w:r>
          </w:p>
        </w:tc>
      </w:tr>
      <w:tr w:rsidR="002A4F0C" w:rsidRPr="002A4F0C" w14:paraId="0DDD3697" w14:textId="77777777" w:rsidTr="002A4F0C">
        <w:trPr>
          <w:cantSplit/>
        </w:trPr>
        <w:tc>
          <w:tcPr>
            <w:tcW w:w="1575" w:type="dxa"/>
            <w:shd w:val="clear" w:color="auto" w:fill="auto"/>
            <w:noWrap/>
            <w:vAlign w:val="center"/>
          </w:tcPr>
          <w:p w14:paraId="6C40C8B9" w14:textId="77777777" w:rsidR="002A4F0C" w:rsidRPr="002A4F0C" w:rsidRDefault="002A4F0C" w:rsidP="002A4F0C">
            <w:pPr>
              <w:spacing w:line="240" w:lineRule="auto"/>
              <w:jc w:val="center"/>
              <w:rPr>
                <w:rFonts w:ascii="Arial" w:hAnsi="Arial"/>
                <w:szCs w:val="22"/>
              </w:rPr>
            </w:pPr>
            <w:r w:rsidRPr="002A4F0C">
              <w:rPr>
                <w:rFonts w:ascii="Arial" w:hAnsi="Arial"/>
                <w:szCs w:val="22"/>
              </w:rPr>
              <w:t>26779</w:t>
            </w:r>
          </w:p>
        </w:tc>
        <w:tc>
          <w:tcPr>
            <w:tcW w:w="7938" w:type="dxa"/>
            <w:shd w:val="clear" w:color="auto" w:fill="auto"/>
            <w:vAlign w:val="bottom"/>
          </w:tcPr>
          <w:p w14:paraId="0C615A98" w14:textId="77777777" w:rsidR="002A4F0C" w:rsidRPr="002A4F0C" w:rsidRDefault="002A4F0C" w:rsidP="002A4F0C">
            <w:pPr>
              <w:spacing w:line="240" w:lineRule="auto"/>
              <w:rPr>
                <w:rFonts w:ascii="Arial" w:hAnsi="Arial"/>
                <w:szCs w:val="22"/>
              </w:rPr>
            </w:pPr>
            <w:r w:rsidRPr="002A4F0C">
              <w:rPr>
                <w:rFonts w:ascii="Arial" w:hAnsi="Arial"/>
                <w:szCs w:val="22"/>
              </w:rPr>
              <w:t>Unwin C, Hotopf M, Hull L, Ismail K, David A, Wessely S. (2002). Women in the Persian Gulf: lack of gender differences in long-term health effects of service in United Kingdom Armed Forces in the 1991 Persian Gulf War. Mil Med May;167(5):406-13</w:t>
            </w:r>
          </w:p>
        </w:tc>
      </w:tr>
      <w:tr w:rsidR="002A4F0C" w:rsidRPr="002A4F0C" w14:paraId="487985EB" w14:textId="77777777" w:rsidTr="002A4F0C">
        <w:trPr>
          <w:cantSplit/>
        </w:trPr>
        <w:tc>
          <w:tcPr>
            <w:tcW w:w="1575" w:type="dxa"/>
            <w:shd w:val="clear" w:color="auto" w:fill="auto"/>
            <w:noWrap/>
            <w:vAlign w:val="center"/>
          </w:tcPr>
          <w:p w14:paraId="7A83E943" w14:textId="77777777" w:rsidR="002A4F0C" w:rsidRPr="002A4F0C" w:rsidRDefault="002A4F0C" w:rsidP="002A4F0C">
            <w:pPr>
              <w:spacing w:line="240" w:lineRule="auto"/>
              <w:jc w:val="center"/>
              <w:rPr>
                <w:rFonts w:ascii="Arial" w:hAnsi="Arial"/>
                <w:szCs w:val="22"/>
              </w:rPr>
            </w:pPr>
            <w:r w:rsidRPr="002A4F0C">
              <w:rPr>
                <w:rFonts w:ascii="Arial" w:hAnsi="Arial"/>
                <w:szCs w:val="22"/>
              </w:rPr>
              <w:t>26780</w:t>
            </w:r>
          </w:p>
        </w:tc>
        <w:tc>
          <w:tcPr>
            <w:tcW w:w="7938" w:type="dxa"/>
            <w:shd w:val="clear" w:color="auto" w:fill="auto"/>
            <w:vAlign w:val="bottom"/>
          </w:tcPr>
          <w:p w14:paraId="3198A833" w14:textId="77777777" w:rsidR="002A4F0C" w:rsidRPr="002A4F0C" w:rsidRDefault="002A4F0C" w:rsidP="002A4F0C">
            <w:pPr>
              <w:spacing w:line="240" w:lineRule="auto"/>
              <w:rPr>
                <w:rFonts w:ascii="Arial" w:hAnsi="Arial"/>
                <w:szCs w:val="22"/>
              </w:rPr>
            </w:pPr>
            <w:r w:rsidRPr="002A4F0C">
              <w:rPr>
                <w:rFonts w:ascii="Arial" w:hAnsi="Arial"/>
                <w:szCs w:val="22"/>
              </w:rPr>
              <w:t>Hull L, David AS, Hyams KC, Unwin C, Wessely SC, Hotopf M (2002). Self-reported of Persian Gulf War veterans: a comparison of help-seeking and randomly ascertained cases. Mil Med Sep;167(9):747-52</w:t>
            </w:r>
          </w:p>
        </w:tc>
      </w:tr>
      <w:tr w:rsidR="002A4F0C" w:rsidRPr="002A4F0C" w14:paraId="45366A4B" w14:textId="77777777" w:rsidTr="002A4F0C">
        <w:trPr>
          <w:cantSplit/>
        </w:trPr>
        <w:tc>
          <w:tcPr>
            <w:tcW w:w="1575" w:type="dxa"/>
            <w:shd w:val="clear" w:color="auto" w:fill="auto"/>
            <w:noWrap/>
            <w:vAlign w:val="center"/>
          </w:tcPr>
          <w:p w14:paraId="79135698" w14:textId="77777777" w:rsidR="002A4F0C" w:rsidRPr="002A4F0C" w:rsidRDefault="002A4F0C" w:rsidP="002A4F0C">
            <w:pPr>
              <w:spacing w:line="240" w:lineRule="auto"/>
              <w:jc w:val="center"/>
              <w:rPr>
                <w:rFonts w:ascii="Arial" w:hAnsi="Arial"/>
                <w:szCs w:val="22"/>
              </w:rPr>
            </w:pPr>
            <w:r w:rsidRPr="002A4F0C">
              <w:rPr>
                <w:rFonts w:ascii="Arial" w:hAnsi="Arial"/>
                <w:szCs w:val="22"/>
              </w:rPr>
              <w:t>26781</w:t>
            </w:r>
          </w:p>
        </w:tc>
        <w:tc>
          <w:tcPr>
            <w:tcW w:w="7938" w:type="dxa"/>
            <w:shd w:val="clear" w:color="auto" w:fill="auto"/>
            <w:vAlign w:val="bottom"/>
          </w:tcPr>
          <w:p w14:paraId="75EDF755" w14:textId="77777777" w:rsidR="002A4F0C" w:rsidRPr="002A4F0C" w:rsidRDefault="002A4F0C" w:rsidP="002A4F0C">
            <w:pPr>
              <w:spacing w:line="240" w:lineRule="auto"/>
              <w:rPr>
                <w:rFonts w:ascii="Arial" w:hAnsi="Arial"/>
                <w:szCs w:val="22"/>
              </w:rPr>
            </w:pPr>
            <w:r w:rsidRPr="002A4F0C">
              <w:rPr>
                <w:rFonts w:ascii="Arial" w:hAnsi="Arial"/>
                <w:szCs w:val="22"/>
              </w:rPr>
              <w:t>Horan P, Dietz L, Durakovic A (2002). The quantitative analysis of depleted uranium isotopes in British, Canadian, and U.S. Gulf war veterans. Military Medicine, Vol 167 (8) pp620-7.</w:t>
            </w:r>
          </w:p>
        </w:tc>
      </w:tr>
      <w:tr w:rsidR="002A4F0C" w:rsidRPr="002A4F0C" w14:paraId="42C9C098" w14:textId="77777777" w:rsidTr="002A4F0C">
        <w:trPr>
          <w:cantSplit/>
        </w:trPr>
        <w:tc>
          <w:tcPr>
            <w:tcW w:w="1575" w:type="dxa"/>
            <w:shd w:val="clear" w:color="auto" w:fill="auto"/>
            <w:noWrap/>
            <w:vAlign w:val="center"/>
          </w:tcPr>
          <w:p w14:paraId="5398A72C"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26914</w:t>
            </w:r>
          </w:p>
        </w:tc>
        <w:tc>
          <w:tcPr>
            <w:tcW w:w="7938" w:type="dxa"/>
            <w:shd w:val="clear" w:color="auto" w:fill="auto"/>
            <w:vAlign w:val="bottom"/>
          </w:tcPr>
          <w:p w14:paraId="22521A5A" w14:textId="77777777" w:rsidR="002A4F0C" w:rsidRPr="002A4F0C" w:rsidRDefault="002A4F0C" w:rsidP="002A4F0C">
            <w:pPr>
              <w:spacing w:line="240" w:lineRule="auto"/>
              <w:rPr>
                <w:rFonts w:ascii="Arial" w:hAnsi="Arial"/>
                <w:szCs w:val="22"/>
              </w:rPr>
            </w:pPr>
            <w:r w:rsidRPr="002A4F0C">
              <w:rPr>
                <w:rFonts w:ascii="Arial" w:hAnsi="Arial"/>
                <w:szCs w:val="22"/>
              </w:rPr>
              <w:t>Fahey D (2003). Science or Science Fiction?: Facts, myths and propaganda in the debate over depleted uranium weapons.</w:t>
            </w:r>
          </w:p>
        </w:tc>
      </w:tr>
      <w:tr w:rsidR="002A4F0C" w:rsidRPr="002A4F0C" w14:paraId="201AF8C9" w14:textId="77777777" w:rsidTr="002A4F0C">
        <w:trPr>
          <w:cantSplit/>
        </w:trPr>
        <w:tc>
          <w:tcPr>
            <w:tcW w:w="1575" w:type="dxa"/>
            <w:shd w:val="clear" w:color="auto" w:fill="auto"/>
            <w:noWrap/>
            <w:vAlign w:val="center"/>
          </w:tcPr>
          <w:p w14:paraId="50EE4F26"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26933</w:t>
            </w:r>
          </w:p>
        </w:tc>
        <w:tc>
          <w:tcPr>
            <w:tcW w:w="7938" w:type="dxa"/>
            <w:shd w:val="clear" w:color="auto" w:fill="auto"/>
            <w:vAlign w:val="bottom"/>
          </w:tcPr>
          <w:p w14:paraId="615F4D07" w14:textId="77777777" w:rsidR="002A4F0C" w:rsidRPr="002A4F0C" w:rsidRDefault="002A4F0C" w:rsidP="002A4F0C">
            <w:pPr>
              <w:spacing w:line="240" w:lineRule="auto"/>
              <w:rPr>
                <w:rFonts w:ascii="Arial" w:hAnsi="Arial"/>
                <w:szCs w:val="22"/>
              </w:rPr>
            </w:pPr>
            <w:r w:rsidRPr="002A4F0C">
              <w:rPr>
                <w:rFonts w:ascii="Arial" w:hAnsi="Arial"/>
                <w:szCs w:val="22"/>
              </w:rPr>
              <w:t>Nicolson GL, Nasralla MY, Haier J, Pomfret J (2002). High frequency of systemic mycoplasmal infections in Gulf War veterans and civilians with amyotrophic lateral sclerosis (ALS). Journal of Clinical Neuroscience, 9(5) pp 525-9.</w:t>
            </w:r>
          </w:p>
        </w:tc>
      </w:tr>
      <w:tr w:rsidR="002A4F0C" w:rsidRPr="002A4F0C" w14:paraId="090C5D41" w14:textId="77777777" w:rsidTr="002A4F0C">
        <w:trPr>
          <w:cantSplit/>
        </w:trPr>
        <w:tc>
          <w:tcPr>
            <w:tcW w:w="1575" w:type="dxa"/>
            <w:shd w:val="clear" w:color="auto" w:fill="auto"/>
            <w:noWrap/>
            <w:vAlign w:val="center"/>
          </w:tcPr>
          <w:p w14:paraId="45C6F86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26934</w:t>
            </w:r>
          </w:p>
        </w:tc>
        <w:tc>
          <w:tcPr>
            <w:tcW w:w="7938" w:type="dxa"/>
            <w:shd w:val="clear" w:color="auto" w:fill="auto"/>
            <w:vAlign w:val="bottom"/>
          </w:tcPr>
          <w:p w14:paraId="7D3583C0" w14:textId="77777777" w:rsidR="002A4F0C" w:rsidRPr="002A4F0C" w:rsidRDefault="002A4F0C" w:rsidP="002A4F0C">
            <w:pPr>
              <w:spacing w:line="240" w:lineRule="auto"/>
              <w:rPr>
                <w:rFonts w:ascii="Arial" w:hAnsi="Arial"/>
                <w:szCs w:val="22"/>
              </w:rPr>
            </w:pPr>
            <w:r w:rsidRPr="002A4F0C">
              <w:rPr>
                <w:rFonts w:ascii="Arial" w:hAnsi="Arial"/>
                <w:szCs w:val="22"/>
              </w:rPr>
              <w:t>Abdel-Rahman A, Shetty AK, Abou-Donia MB (2002). Disruption of the blood-brain barrier and neuronal gyrus, thalamus, and hypothalamus in a rat model of Gulf-War Syndrome. Neurobiology of Diseases, Vol 10 pp 306-326.</w:t>
            </w:r>
          </w:p>
        </w:tc>
      </w:tr>
      <w:tr w:rsidR="002A4F0C" w:rsidRPr="002A4F0C" w14:paraId="349D5712" w14:textId="77777777" w:rsidTr="002A4F0C">
        <w:trPr>
          <w:cantSplit/>
        </w:trPr>
        <w:tc>
          <w:tcPr>
            <w:tcW w:w="1575" w:type="dxa"/>
            <w:shd w:val="clear" w:color="auto" w:fill="auto"/>
            <w:noWrap/>
            <w:vAlign w:val="center"/>
          </w:tcPr>
          <w:p w14:paraId="3A624DD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26935</w:t>
            </w:r>
          </w:p>
        </w:tc>
        <w:tc>
          <w:tcPr>
            <w:tcW w:w="7938" w:type="dxa"/>
            <w:shd w:val="clear" w:color="auto" w:fill="auto"/>
            <w:vAlign w:val="bottom"/>
          </w:tcPr>
          <w:p w14:paraId="685233E2" w14:textId="77777777" w:rsidR="002A4F0C" w:rsidRPr="002A4F0C" w:rsidRDefault="002A4F0C" w:rsidP="002A4F0C">
            <w:pPr>
              <w:spacing w:line="240" w:lineRule="auto"/>
              <w:rPr>
                <w:rFonts w:ascii="Arial" w:hAnsi="Arial"/>
                <w:szCs w:val="22"/>
              </w:rPr>
            </w:pPr>
            <w:r w:rsidRPr="002A4F0C">
              <w:rPr>
                <w:rFonts w:ascii="Arial" w:hAnsi="Arial"/>
                <w:szCs w:val="22"/>
              </w:rPr>
              <w:t>Barohn RJ, &amp; Rowland LP. Neurology and Gulf War Veterans. Neurology 2002;59:1484-5.</w:t>
            </w:r>
          </w:p>
        </w:tc>
      </w:tr>
      <w:tr w:rsidR="002A4F0C" w:rsidRPr="002A4F0C" w14:paraId="090B9F9A" w14:textId="77777777" w:rsidTr="002A4F0C">
        <w:trPr>
          <w:cantSplit/>
        </w:trPr>
        <w:tc>
          <w:tcPr>
            <w:tcW w:w="1575" w:type="dxa"/>
            <w:shd w:val="clear" w:color="auto" w:fill="auto"/>
            <w:noWrap/>
            <w:vAlign w:val="center"/>
          </w:tcPr>
          <w:p w14:paraId="13220B95"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26936</w:t>
            </w:r>
          </w:p>
        </w:tc>
        <w:tc>
          <w:tcPr>
            <w:tcW w:w="7938" w:type="dxa"/>
            <w:shd w:val="clear" w:color="auto" w:fill="auto"/>
            <w:vAlign w:val="bottom"/>
          </w:tcPr>
          <w:p w14:paraId="1C2315E4" w14:textId="77777777" w:rsidR="002A4F0C" w:rsidRPr="002A4F0C" w:rsidRDefault="002A4F0C" w:rsidP="002A4F0C">
            <w:pPr>
              <w:spacing w:line="240" w:lineRule="auto"/>
              <w:rPr>
                <w:rFonts w:ascii="Arial" w:hAnsi="Arial"/>
                <w:szCs w:val="22"/>
              </w:rPr>
            </w:pPr>
            <w:r w:rsidRPr="002A4F0C">
              <w:rPr>
                <w:rFonts w:ascii="Arial" w:hAnsi="Arial"/>
                <w:szCs w:val="22"/>
              </w:rPr>
              <w:t>Kalra R, Singh SP, Razani-Boroujerdi S, Langley RJ, Blackwell WB, Henderson RF, &amp; Sopori ML. Subclinical doses of the nerve gas sarin impair T cell responses through the autonomic nervous system. Toxicology &amp; Applied Pharmacology 184, 82-7 (2002).</w:t>
            </w:r>
          </w:p>
        </w:tc>
      </w:tr>
      <w:tr w:rsidR="002A4F0C" w:rsidRPr="002A4F0C" w14:paraId="21A0AF85" w14:textId="77777777" w:rsidTr="002A4F0C">
        <w:trPr>
          <w:cantSplit/>
        </w:trPr>
        <w:tc>
          <w:tcPr>
            <w:tcW w:w="1575" w:type="dxa"/>
            <w:shd w:val="clear" w:color="auto" w:fill="auto"/>
            <w:noWrap/>
            <w:vAlign w:val="center"/>
          </w:tcPr>
          <w:p w14:paraId="1DF68D45"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26937</w:t>
            </w:r>
          </w:p>
        </w:tc>
        <w:tc>
          <w:tcPr>
            <w:tcW w:w="7938" w:type="dxa"/>
            <w:shd w:val="clear" w:color="auto" w:fill="auto"/>
            <w:vAlign w:val="bottom"/>
          </w:tcPr>
          <w:p w14:paraId="16965DFF" w14:textId="77777777" w:rsidR="002A4F0C" w:rsidRPr="002A4F0C" w:rsidRDefault="002A4F0C" w:rsidP="002A4F0C">
            <w:pPr>
              <w:spacing w:line="240" w:lineRule="auto"/>
              <w:rPr>
                <w:rFonts w:ascii="Arial" w:hAnsi="Arial"/>
                <w:szCs w:val="22"/>
              </w:rPr>
            </w:pPr>
            <w:r w:rsidRPr="002A4F0C">
              <w:rPr>
                <w:rFonts w:ascii="Arial" w:hAnsi="Arial"/>
                <w:szCs w:val="22"/>
              </w:rPr>
              <w:t>Sharief MK, Priddin J, Delamont RS, Unwin C, Rose MR, David A, &amp; Wessely S. Neurophysiologic analysis of neuromuscular symptoms in UK Gulf war veterans. A controlled study. Neurology 2002;59:1518-25.</w:t>
            </w:r>
          </w:p>
        </w:tc>
      </w:tr>
      <w:tr w:rsidR="002A4F0C" w:rsidRPr="002A4F0C" w14:paraId="68D7596E" w14:textId="77777777" w:rsidTr="002A4F0C">
        <w:trPr>
          <w:cantSplit/>
        </w:trPr>
        <w:tc>
          <w:tcPr>
            <w:tcW w:w="1575" w:type="dxa"/>
            <w:shd w:val="clear" w:color="auto" w:fill="auto"/>
            <w:noWrap/>
            <w:vAlign w:val="center"/>
          </w:tcPr>
          <w:p w14:paraId="2C7A376B"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26938</w:t>
            </w:r>
          </w:p>
        </w:tc>
        <w:tc>
          <w:tcPr>
            <w:tcW w:w="7938" w:type="dxa"/>
            <w:shd w:val="clear" w:color="auto" w:fill="auto"/>
            <w:vAlign w:val="bottom"/>
          </w:tcPr>
          <w:p w14:paraId="67ACBCE4" w14:textId="77777777" w:rsidR="002A4F0C" w:rsidRPr="002A4F0C" w:rsidRDefault="002A4F0C" w:rsidP="002A4F0C">
            <w:pPr>
              <w:spacing w:line="240" w:lineRule="auto"/>
              <w:rPr>
                <w:rFonts w:ascii="Arial" w:hAnsi="Arial"/>
                <w:szCs w:val="22"/>
              </w:rPr>
            </w:pPr>
            <w:r w:rsidRPr="002A4F0C">
              <w:rPr>
                <w:rFonts w:ascii="Arial" w:hAnsi="Arial"/>
                <w:szCs w:val="22"/>
              </w:rPr>
              <w:t>Freemont AJ. Bone and Gulf War. Oesteoblasts- possible victims of the Gulf War? J Clin Pathol 2002;55:884.</w:t>
            </w:r>
          </w:p>
        </w:tc>
      </w:tr>
      <w:tr w:rsidR="002A4F0C" w:rsidRPr="002A4F0C" w14:paraId="1C390EAB" w14:textId="77777777" w:rsidTr="002A4F0C">
        <w:trPr>
          <w:cantSplit/>
        </w:trPr>
        <w:tc>
          <w:tcPr>
            <w:tcW w:w="1575" w:type="dxa"/>
            <w:shd w:val="clear" w:color="auto" w:fill="auto"/>
            <w:noWrap/>
            <w:vAlign w:val="center"/>
          </w:tcPr>
          <w:p w14:paraId="288ED2AA"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26939</w:t>
            </w:r>
          </w:p>
        </w:tc>
        <w:tc>
          <w:tcPr>
            <w:tcW w:w="7938" w:type="dxa"/>
            <w:shd w:val="clear" w:color="auto" w:fill="auto"/>
            <w:vAlign w:val="bottom"/>
          </w:tcPr>
          <w:p w14:paraId="0A348759" w14:textId="77777777" w:rsidR="002A4F0C" w:rsidRPr="002A4F0C" w:rsidRDefault="002A4F0C" w:rsidP="002A4F0C">
            <w:pPr>
              <w:spacing w:line="240" w:lineRule="auto"/>
              <w:rPr>
                <w:rFonts w:ascii="Arial" w:hAnsi="Arial"/>
                <w:szCs w:val="22"/>
              </w:rPr>
            </w:pPr>
            <w:r w:rsidRPr="002A4F0C">
              <w:rPr>
                <w:rFonts w:ascii="Arial" w:hAnsi="Arial"/>
                <w:szCs w:val="22"/>
              </w:rPr>
              <w:t>Knight J. US army survey targets Gulf War syndrome. Nature Vol 421, 30 Jan 2003 p463.</w:t>
            </w:r>
          </w:p>
        </w:tc>
      </w:tr>
      <w:tr w:rsidR="002A4F0C" w:rsidRPr="002A4F0C" w14:paraId="47B7AB04" w14:textId="77777777" w:rsidTr="002A4F0C">
        <w:trPr>
          <w:cantSplit/>
        </w:trPr>
        <w:tc>
          <w:tcPr>
            <w:tcW w:w="1575" w:type="dxa"/>
            <w:shd w:val="clear" w:color="auto" w:fill="auto"/>
            <w:noWrap/>
            <w:vAlign w:val="center"/>
          </w:tcPr>
          <w:p w14:paraId="53F4657A"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26940</w:t>
            </w:r>
          </w:p>
        </w:tc>
        <w:tc>
          <w:tcPr>
            <w:tcW w:w="7938" w:type="dxa"/>
            <w:shd w:val="clear" w:color="auto" w:fill="auto"/>
            <w:vAlign w:val="bottom"/>
          </w:tcPr>
          <w:p w14:paraId="61E5CB5D" w14:textId="77777777" w:rsidR="002A4F0C" w:rsidRPr="002A4F0C" w:rsidRDefault="002A4F0C" w:rsidP="002A4F0C">
            <w:pPr>
              <w:spacing w:line="240" w:lineRule="auto"/>
              <w:rPr>
                <w:rFonts w:ascii="Arial" w:hAnsi="Arial"/>
                <w:szCs w:val="22"/>
              </w:rPr>
            </w:pPr>
            <w:r w:rsidRPr="002A4F0C">
              <w:rPr>
                <w:rFonts w:ascii="Arial" w:hAnsi="Arial"/>
                <w:szCs w:val="22"/>
              </w:rPr>
              <w:t>Skowera A, Stewart E, Davis ET, Cleare AJ, Unwin C, Hull L, Ismail K, Hossani G, Wessely SC, Peakman M. Antinuclear autoantibodies (ANA) in Gulf War-related illness and chronic fatigue syndrome (CFS) patients. Clin Exp Immunol 2002; 129:354-8.</w:t>
            </w:r>
          </w:p>
        </w:tc>
      </w:tr>
      <w:tr w:rsidR="002A4F0C" w:rsidRPr="002A4F0C" w14:paraId="2533B3CC" w14:textId="77777777" w:rsidTr="002A4F0C">
        <w:trPr>
          <w:cantSplit/>
        </w:trPr>
        <w:tc>
          <w:tcPr>
            <w:tcW w:w="1575" w:type="dxa"/>
            <w:shd w:val="clear" w:color="auto" w:fill="auto"/>
            <w:noWrap/>
            <w:vAlign w:val="center"/>
          </w:tcPr>
          <w:p w14:paraId="6C28986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26941</w:t>
            </w:r>
          </w:p>
        </w:tc>
        <w:tc>
          <w:tcPr>
            <w:tcW w:w="7938" w:type="dxa"/>
            <w:shd w:val="clear" w:color="auto" w:fill="auto"/>
            <w:vAlign w:val="bottom"/>
          </w:tcPr>
          <w:p w14:paraId="6C6CCE50" w14:textId="77777777" w:rsidR="002A4F0C" w:rsidRPr="002A4F0C" w:rsidRDefault="002A4F0C" w:rsidP="002A4F0C">
            <w:pPr>
              <w:spacing w:line="240" w:lineRule="auto"/>
              <w:rPr>
                <w:rFonts w:ascii="Arial" w:hAnsi="Arial"/>
                <w:szCs w:val="22"/>
              </w:rPr>
            </w:pPr>
            <w:r w:rsidRPr="002A4F0C">
              <w:rPr>
                <w:rFonts w:ascii="Arial" w:hAnsi="Arial"/>
                <w:szCs w:val="22"/>
              </w:rPr>
              <w:t>Dremsa TL, Engel CC Jr, Liu X, Johantgen M, Smith S. Do mental disorders matter? A study of absenteeism among care seeking Gulf War veterans with ill defined conditions and musculoskeletal disorders. Occup Environ Med 2002; 59:532-6.</w:t>
            </w:r>
          </w:p>
        </w:tc>
      </w:tr>
      <w:tr w:rsidR="002A4F0C" w:rsidRPr="002A4F0C" w14:paraId="635C50A8" w14:textId="77777777" w:rsidTr="002A4F0C">
        <w:trPr>
          <w:cantSplit/>
        </w:trPr>
        <w:tc>
          <w:tcPr>
            <w:tcW w:w="1575" w:type="dxa"/>
            <w:shd w:val="clear" w:color="auto" w:fill="auto"/>
            <w:noWrap/>
            <w:vAlign w:val="center"/>
          </w:tcPr>
          <w:p w14:paraId="4B855FC4"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26942</w:t>
            </w:r>
          </w:p>
        </w:tc>
        <w:tc>
          <w:tcPr>
            <w:tcW w:w="7938" w:type="dxa"/>
            <w:shd w:val="clear" w:color="auto" w:fill="auto"/>
            <w:vAlign w:val="bottom"/>
          </w:tcPr>
          <w:p w14:paraId="56B7C70E" w14:textId="77777777" w:rsidR="002A4F0C" w:rsidRPr="002A4F0C" w:rsidRDefault="002A4F0C" w:rsidP="002A4F0C">
            <w:pPr>
              <w:spacing w:line="240" w:lineRule="auto"/>
              <w:rPr>
                <w:rFonts w:ascii="Arial" w:hAnsi="Arial"/>
                <w:szCs w:val="22"/>
              </w:rPr>
            </w:pPr>
            <w:r w:rsidRPr="002A4F0C">
              <w:rPr>
                <w:rFonts w:ascii="Arial" w:hAnsi="Arial"/>
                <w:szCs w:val="22"/>
              </w:rPr>
              <w:t>Richardson RD, Engel CC, Hunt SC, McKnight K, &amp; McFall M. Are veterans seeking Veterans Affairs' primary care as healthy as those seeking Department of Defense primary care? A look at Gulf War veterans' symptoms and functional status. Psychosomatic Medicine 64:676-683. (2002).</w:t>
            </w:r>
          </w:p>
        </w:tc>
      </w:tr>
      <w:tr w:rsidR="002A4F0C" w:rsidRPr="002A4F0C" w14:paraId="3638EBEC" w14:textId="77777777" w:rsidTr="002A4F0C">
        <w:trPr>
          <w:cantSplit/>
        </w:trPr>
        <w:tc>
          <w:tcPr>
            <w:tcW w:w="1575" w:type="dxa"/>
            <w:shd w:val="clear" w:color="auto" w:fill="auto"/>
            <w:noWrap/>
            <w:vAlign w:val="center"/>
          </w:tcPr>
          <w:p w14:paraId="678F1E70"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26943</w:t>
            </w:r>
          </w:p>
        </w:tc>
        <w:tc>
          <w:tcPr>
            <w:tcW w:w="7938" w:type="dxa"/>
            <w:shd w:val="clear" w:color="auto" w:fill="auto"/>
            <w:vAlign w:val="bottom"/>
          </w:tcPr>
          <w:p w14:paraId="788F8D9E" w14:textId="77777777" w:rsidR="002A4F0C" w:rsidRPr="002A4F0C" w:rsidRDefault="002A4F0C" w:rsidP="002A4F0C">
            <w:pPr>
              <w:spacing w:line="240" w:lineRule="auto"/>
              <w:rPr>
                <w:rFonts w:ascii="Arial" w:hAnsi="Arial"/>
                <w:szCs w:val="22"/>
              </w:rPr>
            </w:pPr>
            <w:r w:rsidRPr="002A4F0C">
              <w:rPr>
                <w:rFonts w:ascii="Arial" w:hAnsi="Arial"/>
                <w:szCs w:val="22"/>
              </w:rPr>
              <w:t>Knight J. Gulf War syndrome research poised for cash injection. Nature Vol 418, 4July 2002, p4.</w:t>
            </w:r>
          </w:p>
        </w:tc>
      </w:tr>
      <w:tr w:rsidR="002A4F0C" w:rsidRPr="002A4F0C" w14:paraId="69171EC9" w14:textId="77777777" w:rsidTr="002A4F0C">
        <w:trPr>
          <w:cantSplit/>
        </w:trPr>
        <w:tc>
          <w:tcPr>
            <w:tcW w:w="1575" w:type="dxa"/>
            <w:shd w:val="clear" w:color="auto" w:fill="auto"/>
            <w:noWrap/>
            <w:vAlign w:val="center"/>
          </w:tcPr>
          <w:p w14:paraId="40BF8A96"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26944</w:t>
            </w:r>
          </w:p>
        </w:tc>
        <w:tc>
          <w:tcPr>
            <w:tcW w:w="7938" w:type="dxa"/>
            <w:shd w:val="clear" w:color="auto" w:fill="auto"/>
            <w:vAlign w:val="bottom"/>
          </w:tcPr>
          <w:p w14:paraId="0F346BC5" w14:textId="77777777" w:rsidR="002A4F0C" w:rsidRPr="002A4F0C" w:rsidRDefault="002A4F0C" w:rsidP="002A4F0C">
            <w:pPr>
              <w:spacing w:line="240" w:lineRule="auto"/>
              <w:rPr>
                <w:rFonts w:ascii="Arial" w:hAnsi="Arial"/>
                <w:szCs w:val="22"/>
              </w:rPr>
            </w:pPr>
            <w:r w:rsidRPr="002A4F0C">
              <w:rPr>
                <w:rFonts w:ascii="Arial" w:hAnsi="Arial"/>
                <w:szCs w:val="22"/>
              </w:rPr>
              <w:t>Anonymous. Desperately seeking a syndrome. Nature Vol 407, 19 Oct 2000 p 819.</w:t>
            </w:r>
          </w:p>
        </w:tc>
      </w:tr>
      <w:tr w:rsidR="002A4F0C" w:rsidRPr="002A4F0C" w14:paraId="6C4E7E10" w14:textId="77777777" w:rsidTr="002A4F0C">
        <w:trPr>
          <w:cantSplit/>
        </w:trPr>
        <w:tc>
          <w:tcPr>
            <w:tcW w:w="1575" w:type="dxa"/>
            <w:shd w:val="clear" w:color="auto" w:fill="auto"/>
            <w:noWrap/>
            <w:vAlign w:val="center"/>
          </w:tcPr>
          <w:p w14:paraId="3704E408"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26945</w:t>
            </w:r>
          </w:p>
        </w:tc>
        <w:tc>
          <w:tcPr>
            <w:tcW w:w="7938" w:type="dxa"/>
            <w:shd w:val="clear" w:color="auto" w:fill="auto"/>
            <w:vAlign w:val="bottom"/>
          </w:tcPr>
          <w:p w14:paraId="51ACC6AB" w14:textId="77777777" w:rsidR="002A4F0C" w:rsidRPr="002A4F0C" w:rsidRDefault="002A4F0C" w:rsidP="002A4F0C">
            <w:pPr>
              <w:spacing w:line="240" w:lineRule="auto"/>
              <w:rPr>
                <w:rFonts w:ascii="Arial" w:hAnsi="Arial"/>
                <w:szCs w:val="22"/>
              </w:rPr>
            </w:pPr>
            <w:r w:rsidRPr="002A4F0C">
              <w:rPr>
                <w:rFonts w:ascii="Arial" w:hAnsi="Arial"/>
                <w:szCs w:val="22"/>
              </w:rPr>
              <w:t>Wadman M. US panel draws blank on Gulf War symptoms. Nature Vol 407, 14 Sep 2000, p 121.</w:t>
            </w:r>
          </w:p>
        </w:tc>
      </w:tr>
      <w:tr w:rsidR="002A4F0C" w:rsidRPr="002A4F0C" w14:paraId="39A2BF18" w14:textId="77777777" w:rsidTr="002A4F0C">
        <w:trPr>
          <w:cantSplit/>
        </w:trPr>
        <w:tc>
          <w:tcPr>
            <w:tcW w:w="1575" w:type="dxa"/>
            <w:shd w:val="clear" w:color="auto" w:fill="auto"/>
            <w:noWrap/>
            <w:vAlign w:val="center"/>
          </w:tcPr>
          <w:p w14:paraId="1A4713E4"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26946</w:t>
            </w:r>
          </w:p>
        </w:tc>
        <w:tc>
          <w:tcPr>
            <w:tcW w:w="7938" w:type="dxa"/>
            <w:shd w:val="clear" w:color="auto" w:fill="auto"/>
            <w:vAlign w:val="bottom"/>
          </w:tcPr>
          <w:p w14:paraId="33D2D0D8" w14:textId="77777777" w:rsidR="002A4F0C" w:rsidRPr="002A4F0C" w:rsidRDefault="002A4F0C" w:rsidP="002A4F0C">
            <w:pPr>
              <w:spacing w:line="240" w:lineRule="auto"/>
              <w:rPr>
                <w:rFonts w:ascii="Arial" w:hAnsi="Arial"/>
                <w:szCs w:val="22"/>
              </w:rPr>
            </w:pPr>
            <w:r w:rsidRPr="002A4F0C">
              <w:rPr>
                <w:rFonts w:ascii="Arial" w:hAnsi="Arial"/>
                <w:szCs w:val="22"/>
              </w:rPr>
              <w:t>Barrett DH, Doebbeling CC, Schwartz DA, et al (2002). Posttraumatic stress disorder and self-reported physical health status among US military personnel serving during the Gulf war period. A population-based study. Psychosomatics, 43(3): 195-205.</w:t>
            </w:r>
          </w:p>
        </w:tc>
      </w:tr>
      <w:tr w:rsidR="002A4F0C" w:rsidRPr="002A4F0C" w14:paraId="5A4B5434" w14:textId="77777777" w:rsidTr="002A4F0C">
        <w:trPr>
          <w:cantSplit/>
        </w:trPr>
        <w:tc>
          <w:tcPr>
            <w:tcW w:w="1575" w:type="dxa"/>
            <w:shd w:val="clear" w:color="auto" w:fill="auto"/>
            <w:noWrap/>
            <w:vAlign w:val="center"/>
          </w:tcPr>
          <w:p w14:paraId="3389C047"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26947</w:t>
            </w:r>
          </w:p>
        </w:tc>
        <w:tc>
          <w:tcPr>
            <w:tcW w:w="7938" w:type="dxa"/>
            <w:shd w:val="clear" w:color="auto" w:fill="auto"/>
            <w:vAlign w:val="bottom"/>
          </w:tcPr>
          <w:p w14:paraId="46A24559" w14:textId="77777777" w:rsidR="002A4F0C" w:rsidRPr="002A4F0C" w:rsidRDefault="002A4F0C" w:rsidP="002A4F0C">
            <w:pPr>
              <w:spacing w:line="240" w:lineRule="auto"/>
              <w:rPr>
                <w:rFonts w:ascii="Arial" w:hAnsi="Arial"/>
                <w:szCs w:val="22"/>
              </w:rPr>
            </w:pPr>
            <w:r w:rsidRPr="002A4F0C">
              <w:rPr>
                <w:rFonts w:ascii="Arial" w:hAnsi="Arial"/>
                <w:szCs w:val="22"/>
              </w:rPr>
              <w:t>Tournier J-N, Jouan A, Mathieu J, et al (2002). Gulf War syndrome: could it be triggered by biological warfare-vaccines using pertussis as an adjuvant? Medical Hypotheses, 58(4): 291-92.</w:t>
            </w:r>
          </w:p>
        </w:tc>
      </w:tr>
      <w:tr w:rsidR="002A4F0C" w:rsidRPr="002A4F0C" w14:paraId="718B74F6" w14:textId="77777777" w:rsidTr="002A4F0C">
        <w:trPr>
          <w:cantSplit/>
        </w:trPr>
        <w:tc>
          <w:tcPr>
            <w:tcW w:w="1575" w:type="dxa"/>
            <w:shd w:val="clear" w:color="auto" w:fill="auto"/>
            <w:noWrap/>
            <w:vAlign w:val="center"/>
          </w:tcPr>
          <w:p w14:paraId="16EA25C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26948</w:t>
            </w:r>
          </w:p>
        </w:tc>
        <w:tc>
          <w:tcPr>
            <w:tcW w:w="7938" w:type="dxa"/>
            <w:shd w:val="clear" w:color="auto" w:fill="auto"/>
            <w:vAlign w:val="bottom"/>
          </w:tcPr>
          <w:p w14:paraId="2FB944A7" w14:textId="77777777" w:rsidR="002A4F0C" w:rsidRPr="002A4F0C" w:rsidRDefault="002A4F0C" w:rsidP="002A4F0C">
            <w:pPr>
              <w:spacing w:line="240" w:lineRule="auto"/>
              <w:rPr>
                <w:rFonts w:ascii="Arial" w:hAnsi="Arial"/>
                <w:szCs w:val="22"/>
              </w:rPr>
            </w:pPr>
            <w:r w:rsidRPr="002A4F0C">
              <w:rPr>
                <w:rFonts w:ascii="Arial" w:hAnsi="Arial"/>
                <w:szCs w:val="22"/>
              </w:rPr>
              <w:t>Nass M. The anthrax vaccine program: an analysis of the CDC's recommendations for vaccine use. American Journal of Public Health, May 2002 Vol 92(5) pp 715-721.</w:t>
            </w:r>
          </w:p>
        </w:tc>
      </w:tr>
      <w:tr w:rsidR="002A4F0C" w:rsidRPr="002A4F0C" w14:paraId="2C95ACA6" w14:textId="77777777" w:rsidTr="002A4F0C">
        <w:trPr>
          <w:cantSplit/>
        </w:trPr>
        <w:tc>
          <w:tcPr>
            <w:tcW w:w="1575" w:type="dxa"/>
            <w:shd w:val="clear" w:color="auto" w:fill="auto"/>
            <w:noWrap/>
            <w:vAlign w:val="center"/>
          </w:tcPr>
          <w:p w14:paraId="0E12E759"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26949</w:t>
            </w:r>
          </w:p>
        </w:tc>
        <w:tc>
          <w:tcPr>
            <w:tcW w:w="7938" w:type="dxa"/>
            <w:shd w:val="clear" w:color="auto" w:fill="auto"/>
            <w:vAlign w:val="bottom"/>
          </w:tcPr>
          <w:p w14:paraId="0641FD0E" w14:textId="77777777" w:rsidR="002A4F0C" w:rsidRPr="002A4F0C" w:rsidRDefault="002A4F0C" w:rsidP="002A4F0C">
            <w:pPr>
              <w:spacing w:line="240" w:lineRule="auto"/>
              <w:rPr>
                <w:rFonts w:ascii="Arial" w:hAnsi="Arial"/>
                <w:szCs w:val="22"/>
              </w:rPr>
            </w:pPr>
            <w:r w:rsidRPr="002A4F0C">
              <w:rPr>
                <w:rFonts w:ascii="Arial" w:hAnsi="Arial"/>
                <w:szCs w:val="22"/>
              </w:rPr>
              <w:t>Haley RW, Maddrey AM, Gershenfeld HK (2002). Severely reduced functional status in veterans fitting a case definition of Gulf War syndrome. American Journal of Public Health, 92(1): 46-7.</w:t>
            </w:r>
          </w:p>
        </w:tc>
      </w:tr>
      <w:tr w:rsidR="002A4F0C" w:rsidRPr="002A4F0C" w14:paraId="0828FF4A" w14:textId="77777777" w:rsidTr="002A4F0C">
        <w:trPr>
          <w:cantSplit/>
        </w:trPr>
        <w:tc>
          <w:tcPr>
            <w:tcW w:w="1575" w:type="dxa"/>
            <w:shd w:val="clear" w:color="auto" w:fill="auto"/>
            <w:noWrap/>
            <w:vAlign w:val="center"/>
          </w:tcPr>
          <w:p w14:paraId="050D1661"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26950</w:t>
            </w:r>
          </w:p>
        </w:tc>
        <w:tc>
          <w:tcPr>
            <w:tcW w:w="7938" w:type="dxa"/>
            <w:shd w:val="clear" w:color="auto" w:fill="auto"/>
            <w:vAlign w:val="bottom"/>
          </w:tcPr>
          <w:p w14:paraId="622031F2" w14:textId="77777777" w:rsidR="002A4F0C" w:rsidRPr="002A4F0C" w:rsidRDefault="002A4F0C" w:rsidP="002A4F0C">
            <w:pPr>
              <w:spacing w:line="240" w:lineRule="auto"/>
              <w:rPr>
                <w:rFonts w:ascii="Arial" w:hAnsi="Arial"/>
                <w:szCs w:val="22"/>
              </w:rPr>
            </w:pPr>
            <w:r w:rsidRPr="002A4F0C">
              <w:rPr>
                <w:rFonts w:ascii="Arial" w:hAnsi="Arial"/>
                <w:szCs w:val="22"/>
              </w:rPr>
              <w:t>Pall ML. Common etiology of posttraumatic stress disorder, fibromyalgia, chronic fatigue syndrome and multiple chemical sensitivity via elevated nitric oxide/peroxynitrite. Medical Hypotheses (2001) 57(2) pp139-145.</w:t>
            </w:r>
          </w:p>
        </w:tc>
      </w:tr>
      <w:tr w:rsidR="002A4F0C" w:rsidRPr="002A4F0C" w14:paraId="072170EE" w14:textId="77777777" w:rsidTr="002A4F0C">
        <w:trPr>
          <w:cantSplit/>
        </w:trPr>
        <w:tc>
          <w:tcPr>
            <w:tcW w:w="1575" w:type="dxa"/>
            <w:shd w:val="clear" w:color="auto" w:fill="auto"/>
            <w:noWrap/>
            <w:vAlign w:val="center"/>
          </w:tcPr>
          <w:p w14:paraId="27D65C5A"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26951</w:t>
            </w:r>
          </w:p>
        </w:tc>
        <w:tc>
          <w:tcPr>
            <w:tcW w:w="7938" w:type="dxa"/>
            <w:shd w:val="clear" w:color="auto" w:fill="auto"/>
            <w:vAlign w:val="bottom"/>
          </w:tcPr>
          <w:p w14:paraId="65A1B173" w14:textId="77777777" w:rsidR="002A4F0C" w:rsidRPr="002A4F0C" w:rsidRDefault="002A4F0C" w:rsidP="002A4F0C">
            <w:pPr>
              <w:spacing w:line="240" w:lineRule="auto"/>
              <w:rPr>
                <w:rFonts w:ascii="Arial" w:hAnsi="Arial"/>
                <w:szCs w:val="22"/>
              </w:rPr>
            </w:pPr>
            <w:r w:rsidRPr="002A4F0C">
              <w:rPr>
                <w:rFonts w:ascii="Arial" w:hAnsi="Arial"/>
                <w:szCs w:val="22"/>
              </w:rPr>
              <w:t>Moss JI (2001). Many Gulf war illnesses may be autoimmune disorders caused by the chemical and biological stressors pyridostigmine bromide, and adrenaline. Medical Hypotheses, 56(2): 155-7.</w:t>
            </w:r>
          </w:p>
        </w:tc>
      </w:tr>
      <w:tr w:rsidR="002A4F0C" w:rsidRPr="002A4F0C" w14:paraId="35096F6A" w14:textId="77777777" w:rsidTr="002A4F0C">
        <w:trPr>
          <w:cantSplit/>
        </w:trPr>
        <w:tc>
          <w:tcPr>
            <w:tcW w:w="1575" w:type="dxa"/>
            <w:shd w:val="clear" w:color="auto" w:fill="auto"/>
            <w:noWrap/>
            <w:vAlign w:val="center"/>
          </w:tcPr>
          <w:p w14:paraId="28F6205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26952</w:t>
            </w:r>
          </w:p>
        </w:tc>
        <w:tc>
          <w:tcPr>
            <w:tcW w:w="7938" w:type="dxa"/>
            <w:shd w:val="clear" w:color="auto" w:fill="auto"/>
            <w:vAlign w:val="bottom"/>
          </w:tcPr>
          <w:p w14:paraId="0544A20D" w14:textId="77777777" w:rsidR="002A4F0C" w:rsidRPr="002A4F0C" w:rsidRDefault="002A4F0C" w:rsidP="002A4F0C">
            <w:pPr>
              <w:spacing w:line="240" w:lineRule="auto"/>
              <w:rPr>
                <w:rFonts w:ascii="Arial" w:hAnsi="Arial"/>
                <w:szCs w:val="22"/>
              </w:rPr>
            </w:pPr>
            <w:r w:rsidRPr="002A4F0C">
              <w:rPr>
                <w:rFonts w:ascii="Arial" w:hAnsi="Arial"/>
                <w:szCs w:val="22"/>
              </w:rPr>
              <w:t>Ferrari R, Russell AS. The problem of Gulf war syndrome. Medical Hypotheses (2001) 56(6):697-701.</w:t>
            </w:r>
          </w:p>
        </w:tc>
      </w:tr>
      <w:tr w:rsidR="002A4F0C" w:rsidRPr="002A4F0C" w14:paraId="76C7672C" w14:textId="77777777" w:rsidTr="002A4F0C">
        <w:trPr>
          <w:cantSplit/>
        </w:trPr>
        <w:tc>
          <w:tcPr>
            <w:tcW w:w="1575" w:type="dxa"/>
            <w:shd w:val="clear" w:color="auto" w:fill="auto"/>
            <w:noWrap/>
            <w:vAlign w:val="center"/>
          </w:tcPr>
          <w:p w14:paraId="4604132B"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26953</w:t>
            </w:r>
          </w:p>
        </w:tc>
        <w:tc>
          <w:tcPr>
            <w:tcW w:w="7938" w:type="dxa"/>
            <w:shd w:val="clear" w:color="auto" w:fill="auto"/>
            <w:vAlign w:val="bottom"/>
          </w:tcPr>
          <w:p w14:paraId="25603469" w14:textId="77777777" w:rsidR="002A4F0C" w:rsidRPr="002A4F0C" w:rsidRDefault="002A4F0C" w:rsidP="002A4F0C">
            <w:pPr>
              <w:spacing w:line="240" w:lineRule="auto"/>
              <w:rPr>
                <w:rFonts w:ascii="Arial" w:hAnsi="Arial"/>
                <w:szCs w:val="22"/>
              </w:rPr>
            </w:pPr>
            <w:r w:rsidRPr="002A4F0C">
              <w:rPr>
                <w:rFonts w:ascii="Arial" w:hAnsi="Arial"/>
                <w:szCs w:val="22"/>
              </w:rPr>
              <w:t>Gabriel R, Bolton JPG, Bale AJ, Lee HA. Gulf war syndrome may be post-conflict dysfunction. BMJ Vol 324, 13 April 2002, p914.</w:t>
            </w:r>
          </w:p>
        </w:tc>
      </w:tr>
      <w:tr w:rsidR="002A4F0C" w:rsidRPr="002A4F0C" w14:paraId="1E43BA80" w14:textId="77777777" w:rsidTr="002A4F0C">
        <w:trPr>
          <w:cantSplit/>
        </w:trPr>
        <w:tc>
          <w:tcPr>
            <w:tcW w:w="1575" w:type="dxa"/>
            <w:shd w:val="clear" w:color="auto" w:fill="auto"/>
            <w:noWrap/>
            <w:vAlign w:val="center"/>
          </w:tcPr>
          <w:p w14:paraId="5ACE0AAE"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26954</w:t>
            </w:r>
          </w:p>
        </w:tc>
        <w:tc>
          <w:tcPr>
            <w:tcW w:w="7938" w:type="dxa"/>
            <w:shd w:val="clear" w:color="auto" w:fill="auto"/>
            <w:vAlign w:val="bottom"/>
          </w:tcPr>
          <w:p w14:paraId="2D7C8D41" w14:textId="77777777" w:rsidR="002A4F0C" w:rsidRPr="002A4F0C" w:rsidRDefault="002A4F0C" w:rsidP="002A4F0C">
            <w:pPr>
              <w:spacing w:line="240" w:lineRule="auto"/>
              <w:rPr>
                <w:rFonts w:ascii="Arial" w:hAnsi="Arial"/>
                <w:szCs w:val="22"/>
              </w:rPr>
            </w:pPr>
            <w:r w:rsidRPr="002A4F0C">
              <w:rPr>
                <w:rFonts w:ascii="Arial" w:hAnsi="Arial"/>
                <w:szCs w:val="22"/>
              </w:rPr>
              <w:t>Gabriel R, Neal LA. Post-traumatic stress disorder following military combat or peace keeping. BMJ Vol 324, 9 Feb 2002 pp 340-1.</w:t>
            </w:r>
          </w:p>
        </w:tc>
      </w:tr>
      <w:tr w:rsidR="002A4F0C" w:rsidRPr="002A4F0C" w14:paraId="619F2274" w14:textId="77777777" w:rsidTr="002A4F0C">
        <w:trPr>
          <w:cantSplit/>
        </w:trPr>
        <w:tc>
          <w:tcPr>
            <w:tcW w:w="1575" w:type="dxa"/>
            <w:shd w:val="clear" w:color="auto" w:fill="auto"/>
            <w:noWrap/>
            <w:vAlign w:val="center"/>
          </w:tcPr>
          <w:p w14:paraId="275689B5"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26955</w:t>
            </w:r>
          </w:p>
        </w:tc>
        <w:tc>
          <w:tcPr>
            <w:tcW w:w="7938" w:type="dxa"/>
            <w:shd w:val="clear" w:color="auto" w:fill="auto"/>
            <w:vAlign w:val="bottom"/>
          </w:tcPr>
          <w:p w14:paraId="3DEDA9FD" w14:textId="77777777" w:rsidR="002A4F0C" w:rsidRPr="002A4F0C" w:rsidRDefault="002A4F0C" w:rsidP="002A4F0C">
            <w:pPr>
              <w:spacing w:line="240" w:lineRule="auto"/>
              <w:rPr>
                <w:rFonts w:ascii="Arial" w:hAnsi="Arial"/>
                <w:szCs w:val="22"/>
              </w:rPr>
            </w:pPr>
            <w:r w:rsidRPr="002A4F0C">
              <w:rPr>
                <w:rFonts w:ascii="Arial" w:hAnsi="Arial"/>
                <w:szCs w:val="22"/>
              </w:rPr>
              <w:t>Jones E, Hodgins-Vermaas R, McCartney H, Everitt B, Beech C, Poynter D, Palmer I, Hyams K, Wesseley S. Post-combat syndromes from the Boer war to the Gulf war: a cluster analysis of their nature and attribution. BMJ Vol 324, 9 Feb 2002 pp 321-4.</w:t>
            </w:r>
          </w:p>
        </w:tc>
      </w:tr>
      <w:tr w:rsidR="002A4F0C" w:rsidRPr="002A4F0C" w14:paraId="1754B652" w14:textId="77777777" w:rsidTr="002A4F0C">
        <w:trPr>
          <w:cantSplit/>
        </w:trPr>
        <w:tc>
          <w:tcPr>
            <w:tcW w:w="1575" w:type="dxa"/>
            <w:shd w:val="clear" w:color="auto" w:fill="auto"/>
            <w:noWrap/>
            <w:vAlign w:val="center"/>
          </w:tcPr>
          <w:p w14:paraId="30F9AA49"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26956</w:t>
            </w:r>
          </w:p>
        </w:tc>
        <w:tc>
          <w:tcPr>
            <w:tcW w:w="7938" w:type="dxa"/>
            <w:shd w:val="clear" w:color="auto" w:fill="auto"/>
            <w:vAlign w:val="bottom"/>
          </w:tcPr>
          <w:p w14:paraId="75068CCE" w14:textId="77777777" w:rsidR="002A4F0C" w:rsidRPr="002A4F0C" w:rsidRDefault="002A4F0C" w:rsidP="002A4F0C">
            <w:pPr>
              <w:spacing w:line="240" w:lineRule="auto"/>
              <w:rPr>
                <w:rFonts w:ascii="Arial" w:hAnsi="Arial"/>
                <w:szCs w:val="22"/>
              </w:rPr>
            </w:pPr>
            <w:r w:rsidRPr="002A4F0C">
              <w:rPr>
                <w:rFonts w:ascii="Arial" w:hAnsi="Arial"/>
                <w:szCs w:val="22"/>
              </w:rPr>
              <w:t>McDiarmid MA. Depleted uranium and public health. Fifty years' study of occupational exposure provides little evidence of cancer. BMJ Vol 322, 20 Jan 2001 pp 123-4.</w:t>
            </w:r>
          </w:p>
        </w:tc>
      </w:tr>
      <w:tr w:rsidR="002A4F0C" w:rsidRPr="002A4F0C" w14:paraId="4E6AF605" w14:textId="77777777" w:rsidTr="002A4F0C">
        <w:trPr>
          <w:cantSplit/>
        </w:trPr>
        <w:tc>
          <w:tcPr>
            <w:tcW w:w="1575" w:type="dxa"/>
            <w:shd w:val="clear" w:color="auto" w:fill="auto"/>
            <w:noWrap/>
            <w:vAlign w:val="center"/>
          </w:tcPr>
          <w:p w14:paraId="27E32874"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26957</w:t>
            </w:r>
          </w:p>
        </w:tc>
        <w:tc>
          <w:tcPr>
            <w:tcW w:w="7938" w:type="dxa"/>
            <w:shd w:val="clear" w:color="auto" w:fill="auto"/>
            <w:vAlign w:val="bottom"/>
          </w:tcPr>
          <w:p w14:paraId="5093BA9D" w14:textId="77777777" w:rsidR="002A4F0C" w:rsidRPr="002A4F0C" w:rsidRDefault="002A4F0C" w:rsidP="002A4F0C">
            <w:pPr>
              <w:spacing w:line="240" w:lineRule="auto"/>
              <w:rPr>
                <w:rFonts w:ascii="Arial" w:hAnsi="Arial"/>
                <w:szCs w:val="22"/>
              </w:rPr>
            </w:pPr>
            <w:r w:rsidRPr="002A4F0C">
              <w:rPr>
                <w:rFonts w:ascii="Arial" w:hAnsi="Arial"/>
                <w:szCs w:val="22"/>
              </w:rPr>
              <w:t>Hotopf M, David A, Hull L, Ismail K, Unwin C, Wessely S. Role of vaccinations as risk factors for ill health in veterans of the Gulf war: cross sectional study. BMJ Vol 320, 20 May 2000 pp 1363-7.</w:t>
            </w:r>
          </w:p>
        </w:tc>
      </w:tr>
      <w:tr w:rsidR="002A4F0C" w:rsidRPr="002A4F0C" w14:paraId="25282291" w14:textId="77777777" w:rsidTr="002A4F0C">
        <w:trPr>
          <w:cantSplit/>
        </w:trPr>
        <w:tc>
          <w:tcPr>
            <w:tcW w:w="1575" w:type="dxa"/>
            <w:shd w:val="clear" w:color="auto" w:fill="auto"/>
            <w:noWrap/>
            <w:vAlign w:val="center"/>
          </w:tcPr>
          <w:p w14:paraId="786D079D"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26958</w:t>
            </w:r>
          </w:p>
        </w:tc>
        <w:tc>
          <w:tcPr>
            <w:tcW w:w="7938" w:type="dxa"/>
            <w:shd w:val="clear" w:color="auto" w:fill="auto"/>
            <w:vAlign w:val="bottom"/>
          </w:tcPr>
          <w:p w14:paraId="09C9FE29" w14:textId="77777777" w:rsidR="002A4F0C" w:rsidRPr="002A4F0C" w:rsidRDefault="002A4F0C" w:rsidP="002A4F0C">
            <w:pPr>
              <w:spacing w:line="240" w:lineRule="auto"/>
              <w:rPr>
                <w:rFonts w:ascii="Arial" w:hAnsi="Arial"/>
                <w:szCs w:val="22"/>
              </w:rPr>
            </w:pPr>
            <w:r w:rsidRPr="002A4F0C">
              <w:rPr>
                <w:rFonts w:ascii="Arial" w:hAnsi="Arial"/>
                <w:szCs w:val="22"/>
              </w:rPr>
              <w:t>Shaheen S. Shots in the desert and Gulf war syndrome. Evidence that multiple vaccinations during deployment are to blame is inconclusive. BMJ Vol 320, 20 May 2000 pp 1351-2.</w:t>
            </w:r>
          </w:p>
        </w:tc>
      </w:tr>
      <w:tr w:rsidR="002A4F0C" w:rsidRPr="002A4F0C" w14:paraId="1CAE96D0" w14:textId="77777777" w:rsidTr="002A4F0C">
        <w:trPr>
          <w:cantSplit/>
        </w:trPr>
        <w:tc>
          <w:tcPr>
            <w:tcW w:w="1575" w:type="dxa"/>
            <w:shd w:val="clear" w:color="auto" w:fill="auto"/>
            <w:noWrap/>
            <w:vAlign w:val="center"/>
          </w:tcPr>
          <w:p w14:paraId="0FC2ECF2"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26959</w:t>
            </w:r>
          </w:p>
        </w:tc>
        <w:tc>
          <w:tcPr>
            <w:tcW w:w="7938" w:type="dxa"/>
            <w:shd w:val="clear" w:color="auto" w:fill="auto"/>
            <w:vAlign w:val="bottom"/>
          </w:tcPr>
          <w:p w14:paraId="4408B257" w14:textId="77777777" w:rsidR="002A4F0C" w:rsidRPr="002A4F0C" w:rsidRDefault="002A4F0C" w:rsidP="002A4F0C">
            <w:pPr>
              <w:spacing w:line="240" w:lineRule="auto"/>
              <w:rPr>
                <w:rFonts w:ascii="Arial" w:hAnsi="Arial"/>
                <w:szCs w:val="22"/>
              </w:rPr>
            </w:pPr>
            <w:r w:rsidRPr="002A4F0C">
              <w:rPr>
                <w:rFonts w:ascii="Arial" w:hAnsi="Arial"/>
                <w:szCs w:val="22"/>
              </w:rPr>
              <w:t>Hotopf M. Reanalysis of Gulf war vaccination data does not contradict findings. BMJ Vol 321, 23 Sept 2000 pp 761-2.</w:t>
            </w:r>
          </w:p>
        </w:tc>
      </w:tr>
      <w:tr w:rsidR="002A4F0C" w:rsidRPr="002A4F0C" w14:paraId="4D503852" w14:textId="77777777" w:rsidTr="002A4F0C">
        <w:trPr>
          <w:cantSplit/>
        </w:trPr>
        <w:tc>
          <w:tcPr>
            <w:tcW w:w="1575" w:type="dxa"/>
            <w:shd w:val="clear" w:color="auto" w:fill="auto"/>
            <w:noWrap/>
            <w:vAlign w:val="center"/>
          </w:tcPr>
          <w:p w14:paraId="70DC6FEB"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26960</w:t>
            </w:r>
          </w:p>
        </w:tc>
        <w:tc>
          <w:tcPr>
            <w:tcW w:w="7938" w:type="dxa"/>
            <w:shd w:val="clear" w:color="auto" w:fill="auto"/>
            <w:vAlign w:val="bottom"/>
          </w:tcPr>
          <w:p w14:paraId="53BE79B7" w14:textId="77777777" w:rsidR="002A4F0C" w:rsidRPr="002A4F0C" w:rsidRDefault="002A4F0C" w:rsidP="002A4F0C">
            <w:pPr>
              <w:spacing w:line="240" w:lineRule="auto"/>
              <w:rPr>
                <w:rFonts w:ascii="Arial" w:hAnsi="Arial"/>
                <w:szCs w:val="22"/>
              </w:rPr>
            </w:pPr>
            <w:r w:rsidRPr="002A4F0C">
              <w:rPr>
                <w:rFonts w:ascii="Arial" w:hAnsi="Arial"/>
                <w:szCs w:val="22"/>
              </w:rPr>
              <w:t>Chalder T, Hotopf M, Unwin C, Hull L, Ismail K, David A, Wessely S. Prevalence of Gulf war veterans who believe they have Gulf war syndrome: questionnaire study. BMJ Vol 323, 1 Sept 2001 pp 473-6.</w:t>
            </w:r>
          </w:p>
        </w:tc>
      </w:tr>
      <w:tr w:rsidR="002A4F0C" w:rsidRPr="002A4F0C" w14:paraId="3FBFEC17" w14:textId="77777777" w:rsidTr="002A4F0C">
        <w:trPr>
          <w:cantSplit/>
        </w:trPr>
        <w:tc>
          <w:tcPr>
            <w:tcW w:w="1575" w:type="dxa"/>
            <w:shd w:val="clear" w:color="auto" w:fill="auto"/>
            <w:noWrap/>
            <w:vAlign w:val="center"/>
          </w:tcPr>
          <w:p w14:paraId="198D8FA3"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26961</w:t>
            </w:r>
          </w:p>
        </w:tc>
        <w:tc>
          <w:tcPr>
            <w:tcW w:w="7938" w:type="dxa"/>
            <w:shd w:val="clear" w:color="auto" w:fill="auto"/>
            <w:vAlign w:val="bottom"/>
          </w:tcPr>
          <w:p w14:paraId="66CC1EA1" w14:textId="77777777" w:rsidR="002A4F0C" w:rsidRPr="002A4F0C" w:rsidRDefault="002A4F0C" w:rsidP="002A4F0C">
            <w:pPr>
              <w:spacing w:line="240" w:lineRule="auto"/>
              <w:rPr>
                <w:rFonts w:ascii="Arial" w:hAnsi="Arial"/>
                <w:szCs w:val="22"/>
              </w:rPr>
            </w:pPr>
            <w:r w:rsidRPr="002A4F0C">
              <w:rPr>
                <w:rFonts w:ascii="Arial" w:hAnsi="Arial"/>
                <w:szCs w:val="22"/>
              </w:rPr>
              <w:t>Wolfe J, Proctor SP, Erikson DJ, Hu H. Risk factors for multisymptom illness in US army veterans of the Gulf war. JOEM Vol 44 (3) 2002 pp 271-281.</w:t>
            </w:r>
          </w:p>
        </w:tc>
      </w:tr>
      <w:tr w:rsidR="002A4F0C" w:rsidRPr="002A4F0C" w14:paraId="57376D13" w14:textId="77777777" w:rsidTr="002A4F0C">
        <w:trPr>
          <w:cantSplit/>
        </w:trPr>
        <w:tc>
          <w:tcPr>
            <w:tcW w:w="1575" w:type="dxa"/>
            <w:shd w:val="clear" w:color="auto" w:fill="auto"/>
            <w:noWrap/>
            <w:vAlign w:val="center"/>
          </w:tcPr>
          <w:p w14:paraId="40D113E2"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26962</w:t>
            </w:r>
          </w:p>
        </w:tc>
        <w:tc>
          <w:tcPr>
            <w:tcW w:w="7938" w:type="dxa"/>
            <w:shd w:val="clear" w:color="auto" w:fill="auto"/>
            <w:vAlign w:val="bottom"/>
          </w:tcPr>
          <w:p w14:paraId="2FF4A3AA" w14:textId="77777777" w:rsidR="002A4F0C" w:rsidRPr="002A4F0C" w:rsidRDefault="002A4F0C" w:rsidP="002A4F0C">
            <w:pPr>
              <w:spacing w:line="240" w:lineRule="auto"/>
              <w:rPr>
                <w:rFonts w:ascii="Arial" w:hAnsi="Arial"/>
                <w:szCs w:val="22"/>
              </w:rPr>
            </w:pPr>
            <w:r w:rsidRPr="002A4F0C">
              <w:rPr>
                <w:rFonts w:ascii="Arial" w:hAnsi="Arial"/>
                <w:szCs w:val="22"/>
              </w:rPr>
              <w:t>McDiarmid MA, Squibb K, Engelhardt S, et al (2001). Surveillance of depleted uranium exposed Gulf war veterans: health effects observed in an enlarged "friendly fire" cohort. JOEM, 43(12): 991-1000.</w:t>
            </w:r>
          </w:p>
        </w:tc>
      </w:tr>
      <w:tr w:rsidR="002A4F0C" w:rsidRPr="002A4F0C" w14:paraId="433208B3" w14:textId="77777777" w:rsidTr="002A4F0C">
        <w:trPr>
          <w:cantSplit/>
        </w:trPr>
        <w:tc>
          <w:tcPr>
            <w:tcW w:w="1575" w:type="dxa"/>
            <w:shd w:val="clear" w:color="auto" w:fill="auto"/>
            <w:noWrap/>
            <w:vAlign w:val="center"/>
          </w:tcPr>
          <w:p w14:paraId="04605436"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26963</w:t>
            </w:r>
          </w:p>
        </w:tc>
        <w:tc>
          <w:tcPr>
            <w:tcW w:w="7938" w:type="dxa"/>
            <w:shd w:val="clear" w:color="auto" w:fill="auto"/>
            <w:vAlign w:val="bottom"/>
          </w:tcPr>
          <w:p w14:paraId="7E8B5B14" w14:textId="77777777" w:rsidR="002A4F0C" w:rsidRPr="002A4F0C" w:rsidRDefault="002A4F0C" w:rsidP="002A4F0C">
            <w:pPr>
              <w:spacing w:line="240" w:lineRule="auto"/>
              <w:rPr>
                <w:rFonts w:ascii="Arial" w:hAnsi="Arial"/>
                <w:szCs w:val="22"/>
              </w:rPr>
            </w:pPr>
            <w:r w:rsidRPr="002A4F0C">
              <w:rPr>
                <w:rFonts w:ascii="Arial" w:hAnsi="Arial"/>
                <w:szCs w:val="22"/>
              </w:rPr>
              <w:t>Bourdette DN, McCaouley LA, Barkuizen A, Johnston W, Wynn M, joos SK, Storzbach D, Shuell T, Sticker D. Symptom factor analysis, clinical findings, and functional status in a population-based case control study of Gulf war unexplained illness. J Occup Environ Med, 2001; 43(12):1026-1040</w:t>
            </w:r>
          </w:p>
        </w:tc>
      </w:tr>
      <w:tr w:rsidR="002A4F0C" w:rsidRPr="002A4F0C" w14:paraId="2CF5F843" w14:textId="77777777" w:rsidTr="002A4F0C">
        <w:trPr>
          <w:cantSplit/>
        </w:trPr>
        <w:tc>
          <w:tcPr>
            <w:tcW w:w="1575" w:type="dxa"/>
            <w:shd w:val="clear" w:color="auto" w:fill="auto"/>
            <w:noWrap/>
            <w:vAlign w:val="center"/>
          </w:tcPr>
          <w:p w14:paraId="71848D5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26964</w:t>
            </w:r>
          </w:p>
        </w:tc>
        <w:tc>
          <w:tcPr>
            <w:tcW w:w="7938" w:type="dxa"/>
            <w:shd w:val="clear" w:color="auto" w:fill="auto"/>
            <w:vAlign w:val="bottom"/>
          </w:tcPr>
          <w:p w14:paraId="05306742" w14:textId="77777777" w:rsidR="002A4F0C" w:rsidRPr="002A4F0C" w:rsidRDefault="002A4F0C" w:rsidP="002A4F0C">
            <w:pPr>
              <w:spacing w:line="240" w:lineRule="auto"/>
              <w:rPr>
                <w:rFonts w:ascii="Arial" w:hAnsi="Arial"/>
                <w:szCs w:val="22"/>
              </w:rPr>
            </w:pPr>
            <w:r w:rsidRPr="002A4F0C">
              <w:rPr>
                <w:rFonts w:ascii="Arial" w:hAnsi="Arial"/>
                <w:szCs w:val="22"/>
              </w:rPr>
              <w:t>Spencer PS, McCauley LA, Lapidus JA, et al (2001). Self-reported exposures and their association with unexplained illness in a population-based case-control study of Gulf war veterans. J Occup Environ Med, 43(12): 1041-56.</w:t>
            </w:r>
          </w:p>
        </w:tc>
      </w:tr>
      <w:tr w:rsidR="002A4F0C" w:rsidRPr="002A4F0C" w14:paraId="1DF74C5E" w14:textId="77777777" w:rsidTr="002A4F0C">
        <w:trPr>
          <w:cantSplit/>
        </w:trPr>
        <w:tc>
          <w:tcPr>
            <w:tcW w:w="1575" w:type="dxa"/>
            <w:shd w:val="clear" w:color="auto" w:fill="auto"/>
            <w:noWrap/>
            <w:vAlign w:val="center"/>
          </w:tcPr>
          <w:p w14:paraId="7341FF66"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26965</w:t>
            </w:r>
          </w:p>
        </w:tc>
        <w:tc>
          <w:tcPr>
            <w:tcW w:w="7938" w:type="dxa"/>
            <w:shd w:val="clear" w:color="auto" w:fill="auto"/>
            <w:vAlign w:val="bottom"/>
          </w:tcPr>
          <w:p w14:paraId="45EFDCD2" w14:textId="77777777" w:rsidR="002A4F0C" w:rsidRPr="002A4F0C" w:rsidRDefault="002A4F0C" w:rsidP="002A4F0C">
            <w:pPr>
              <w:spacing w:line="240" w:lineRule="auto"/>
              <w:rPr>
                <w:rFonts w:ascii="Arial" w:hAnsi="Arial"/>
                <w:szCs w:val="22"/>
              </w:rPr>
            </w:pPr>
            <w:r w:rsidRPr="002A4F0C">
              <w:rPr>
                <w:rFonts w:ascii="Arial" w:hAnsi="Arial"/>
                <w:szCs w:val="22"/>
              </w:rPr>
              <w:t>Ismail K (2001). A review of the evidence for a "Gulf War Syndrome". Occup Environ Med, 58(11): 764-60.</w:t>
            </w:r>
          </w:p>
        </w:tc>
      </w:tr>
      <w:tr w:rsidR="002A4F0C" w:rsidRPr="002A4F0C" w14:paraId="4861C0C5" w14:textId="77777777" w:rsidTr="002A4F0C">
        <w:trPr>
          <w:cantSplit/>
        </w:trPr>
        <w:tc>
          <w:tcPr>
            <w:tcW w:w="1575" w:type="dxa"/>
            <w:shd w:val="clear" w:color="auto" w:fill="auto"/>
            <w:noWrap/>
            <w:vAlign w:val="center"/>
          </w:tcPr>
          <w:p w14:paraId="33397117"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26966</w:t>
            </w:r>
          </w:p>
        </w:tc>
        <w:tc>
          <w:tcPr>
            <w:tcW w:w="7938" w:type="dxa"/>
            <w:shd w:val="clear" w:color="auto" w:fill="auto"/>
            <w:vAlign w:val="bottom"/>
          </w:tcPr>
          <w:p w14:paraId="3DB44903" w14:textId="77777777" w:rsidR="002A4F0C" w:rsidRPr="002A4F0C" w:rsidRDefault="002A4F0C" w:rsidP="002A4F0C">
            <w:pPr>
              <w:spacing w:line="240" w:lineRule="auto"/>
              <w:rPr>
                <w:rFonts w:ascii="Arial" w:hAnsi="Arial"/>
                <w:szCs w:val="22"/>
              </w:rPr>
            </w:pPr>
            <w:r w:rsidRPr="002A4F0C">
              <w:rPr>
                <w:rFonts w:ascii="Arial" w:hAnsi="Arial"/>
                <w:szCs w:val="22"/>
              </w:rPr>
              <w:t>Kang HK, Natelson BH, Mahan CM, Lee KY, Murphy FM (2003). Post-traumatic stress disorder and chronic fatigue syndrome-like illness among Gulf war veterans: a population-based survey of 30,000 veterans. American Journal of Epidemiology, 157(2) pp 141-148.</w:t>
            </w:r>
          </w:p>
        </w:tc>
      </w:tr>
      <w:tr w:rsidR="002A4F0C" w:rsidRPr="002A4F0C" w14:paraId="67FE86D0" w14:textId="77777777" w:rsidTr="002A4F0C">
        <w:trPr>
          <w:cantSplit/>
        </w:trPr>
        <w:tc>
          <w:tcPr>
            <w:tcW w:w="1575" w:type="dxa"/>
            <w:shd w:val="clear" w:color="auto" w:fill="auto"/>
            <w:noWrap/>
            <w:vAlign w:val="center"/>
          </w:tcPr>
          <w:p w14:paraId="692D26B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26967</w:t>
            </w:r>
          </w:p>
        </w:tc>
        <w:tc>
          <w:tcPr>
            <w:tcW w:w="7938" w:type="dxa"/>
            <w:shd w:val="clear" w:color="auto" w:fill="auto"/>
            <w:vAlign w:val="bottom"/>
          </w:tcPr>
          <w:p w14:paraId="04345DC8" w14:textId="77777777" w:rsidR="002A4F0C" w:rsidRPr="002A4F0C" w:rsidRDefault="002A4F0C" w:rsidP="002A4F0C">
            <w:pPr>
              <w:spacing w:line="240" w:lineRule="auto"/>
              <w:rPr>
                <w:rFonts w:ascii="Arial" w:hAnsi="Arial"/>
                <w:szCs w:val="22"/>
              </w:rPr>
            </w:pPr>
            <w:r w:rsidRPr="002A4F0C">
              <w:rPr>
                <w:rFonts w:ascii="Arial" w:hAnsi="Arial"/>
                <w:szCs w:val="22"/>
              </w:rPr>
              <w:t>Shapiro SE, Lasarev MR, &amp; McCauley L (2002). Factor analysis of Gulf war illness: what does it add to our understanding of possible health effects of deployment? American Journal of Epidemiology, 156(6): 578-85.</w:t>
            </w:r>
          </w:p>
        </w:tc>
      </w:tr>
      <w:tr w:rsidR="002A4F0C" w:rsidRPr="002A4F0C" w14:paraId="5708051E" w14:textId="77777777" w:rsidTr="002A4F0C">
        <w:trPr>
          <w:cantSplit/>
        </w:trPr>
        <w:tc>
          <w:tcPr>
            <w:tcW w:w="1575" w:type="dxa"/>
            <w:shd w:val="clear" w:color="auto" w:fill="auto"/>
            <w:noWrap/>
            <w:vAlign w:val="center"/>
          </w:tcPr>
          <w:p w14:paraId="2A86CC81"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26968</w:t>
            </w:r>
          </w:p>
        </w:tc>
        <w:tc>
          <w:tcPr>
            <w:tcW w:w="7938" w:type="dxa"/>
            <w:shd w:val="clear" w:color="auto" w:fill="auto"/>
            <w:vAlign w:val="bottom"/>
          </w:tcPr>
          <w:p w14:paraId="10603CC5" w14:textId="77777777" w:rsidR="002A4F0C" w:rsidRPr="002A4F0C" w:rsidRDefault="002A4F0C" w:rsidP="002A4F0C">
            <w:pPr>
              <w:spacing w:line="240" w:lineRule="auto"/>
              <w:rPr>
                <w:rFonts w:ascii="Arial" w:hAnsi="Arial"/>
                <w:szCs w:val="22"/>
              </w:rPr>
            </w:pPr>
            <w:r w:rsidRPr="002A4F0C">
              <w:rPr>
                <w:rFonts w:ascii="Arial" w:hAnsi="Arial"/>
                <w:szCs w:val="22"/>
              </w:rPr>
              <w:t>Gray GC, Reed RJ, Kaiser KS, et al (2002). Self-reported symptoms and medical conditions among 11,868 Gulf war-era veterans. American Journal of Epidemiology, 155(11): 1033-44.</w:t>
            </w:r>
          </w:p>
        </w:tc>
      </w:tr>
      <w:tr w:rsidR="002A4F0C" w:rsidRPr="002A4F0C" w14:paraId="7CA33D04" w14:textId="77777777" w:rsidTr="002A4F0C">
        <w:trPr>
          <w:cantSplit/>
        </w:trPr>
        <w:tc>
          <w:tcPr>
            <w:tcW w:w="1575" w:type="dxa"/>
            <w:shd w:val="clear" w:color="auto" w:fill="auto"/>
            <w:noWrap/>
            <w:vAlign w:val="center"/>
          </w:tcPr>
          <w:p w14:paraId="69B92889"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26969</w:t>
            </w:r>
          </w:p>
        </w:tc>
        <w:tc>
          <w:tcPr>
            <w:tcW w:w="7938" w:type="dxa"/>
            <w:shd w:val="clear" w:color="auto" w:fill="auto"/>
            <w:vAlign w:val="bottom"/>
          </w:tcPr>
          <w:p w14:paraId="7F550B66" w14:textId="77777777" w:rsidR="002A4F0C" w:rsidRPr="002A4F0C" w:rsidRDefault="002A4F0C" w:rsidP="002A4F0C">
            <w:pPr>
              <w:spacing w:line="240" w:lineRule="auto"/>
              <w:rPr>
                <w:rFonts w:ascii="Arial" w:hAnsi="Arial"/>
                <w:szCs w:val="22"/>
              </w:rPr>
            </w:pPr>
            <w:r w:rsidRPr="002A4F0C">
              <w:rPr>
                <w:rFonts w:ascii="Arial" w:hAnsi="Arial"/>
                <w:szCs w:val="22"/>
              </w:rPr>
              <w:t>Smith TC, Heller JM, Hooper TI et al (2002). Are Gulf War veterans experiencing illness due to exposure to smoke from Kuwaiti oil well fires? Examination of Department of Defense hospitalization data. Am J Epidemiol, 155(10): 908-17.</w:t>
            </w:r>
          </w:p>
        </w:tc>
      </w:tr>
      <w:tr w:rsidR="002A4F0C" w:rsidRPr="002A4F0C" w14:paraId="7BC9803B" w14:textId="77777777" w:rsidTr="002A4F0C">
        <w:trPr>
          <w:cantSplit/>
        </w:trPr>
        <w:tc>
          <w:tcPr>
            <w:tcW w:w="1575" w:type="dxa"/>
            <w:shd w:val="clear" w:color="auto" w:fill="auto"/>
            <w:noWrap/>
            <w:vAlign w:val="center"/>
          </w:tcPr>
          <w:p w14:paraId="1D68B120"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26970</w:t>
            </w:r>
          </w:p>
        </w:tc>
        <w:tc>
          <w:tcPr>
            <w:tcW w:w="7938" w:type="dxa"/>
            <w:shd w:val="clear" w:color="auto" w:fill="auto"/>
            <w:vAlign w:val="bottom"/>
          </w:tcPr>
          <w:p w14:paraId="545FD70A" w14:textId="77777777" w:rsidR="002A4F0C" w:rsidRPr="002A4F0C" w:rsidRDefault="002A4F0C" w:rsidP="002A4F0C">
            <w:pPr>
              <w:spacing w:line="240" w:lineRule="auto"/>
              <w:rPr>
                <w:rFonts w:ascii="Arial" w:hAnsi="Arial"/>
                <w:szCs w:val="22"/>
              </w:rPr>
            </w:pPr>
            <w:r w:rsidRPr="002A4F0C">
              <w:rPr>
                <w:rFonts w:ascii="Arial" w:hAnsi="Arial"/>
                <w:szCs w:val="22"/>
              </w:rPr>
              <w:t>Voelker MD, Saag KG, Schwartz DA, Chrischilles E, Clarke WR, Woolson RF, &amp; Doebbeling BN. Health-related quality of life in Gulf war era military personnel. American Journal of Epidemiology, 2002 155 (10): 899-907.</w:t>
            </w:r>
          </w:p>
        </w:tc>
      </w:tr>
      <w:tr w:rsidR="002A4F0C" w:rsidRPr="002A4F0C" w14:paraId="55A619BE" w14:textId="77777777" w:rsidTr="002A4F0C">
        <w:trPr>
          <w:cantSplit/>
        </w:trPr>
        <w:tc>
          <w:tcPr>
            <w:tcW w:w="1575" w:type="dxa"/>
            <w:shd w:val="clear" w:color="auto" w:fill="auto"/>
            <w:noWrap/>
            <w:vAlign w:val="center"/>
          </w:tcPr>
          <w:p w14:paraId="7C496352"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26971</w:t>
            </w:r>
          </w:p>
        </w:tc>
        <w:tc>
          <w:tcPr>
            <w:tcW w:w="7938" w:type="dxa"/>
            <w:shd w:val="clear" w:color="auto" w:fill="auto"/>
            <w:vAlign w:val="bottom"/>
          </w:tcPr>
          <w:p w14:paraId="267445CA" w14:textId="77777777" w:rsidR="002A4F0C" w:rsidRPr="002A4F0C" w:rsidRDefault="002A4F0C" w:rsidP="002A4F0C">
            <w:pPr>
              <w:spacing w:line="240" w:lineRule="auto"/>
              <w:rPr>
                <w:rFonts w:ascii="Arial" w:hAnsi="Arial"/>
                <w:szCs w:val="22"/>
              </w:rPr>
            </w:pPr>
            <w:r w:rsidRPr="002A4F0C">
              <w:rPr>
                <w:rFonts w:ascii="Arial" w:hAnsi="Arial"/>
                <w:szCs w:val="22"/>
              </w:rPr>
              <w:t>Steele L (2001). Invited commentary: unexplained health problems after Gulf War service - finding answers to complex questions. Am J Epidemiol, 154(5): 406-9.</w:t>
            </w:r>
          </w:p>
        </w:tc>
      </w:tr>
      <w:tr w:rsidR="002A4F0C" w:rsidRPr="002A4F0C" w14:paraId="65A5B7E2" w14:textId="77777777" w:rsidTr="002A4F0C">
        <w:trPr>
          <w:cantSplit/>
        </w:trPr>
        <w:tc>
          <w:tcPr>
            <w:tcW w:w="1575" w:type="dxa"/>
            <w:shd w:val="clear" w:color="auto" w:fill="auto"/>
            <w:noWrap/>
            <w:vAlign w:val="center"/>
          </w:tcPr>
          <w:p w14:paraId="6036732D"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26972</w:t>
            </w:r>
          </w:p>
        </w:tc>
        <w:tc>
          <w:tcPr>
            <w:tcW w:w="7938" w:type="dxa"/>
            <w:shd w:val="clear" w:color="auto" w:fill="auto"/>
            <w:vAlign w:val="bottom"/>
          </w:tcPr>
          <w:p w14:paraId="23ED676E" w14:textId="77777777" w:rsidR="002A4F0C" w:rsidRPr="002A4F0C" w:rsidRDefault="002A4F0C" w:rsidP="002A4F0C">
            <w:pPr>
              <w:spacing w:line="240" w:lineRule="auto"/>
              <w:rPr>
                <w:rFonts w:ascii="Arial" w:hAnsi="Arial"/>
                <w:szCs w:val="22"/>
              </w:rPr>
            </w:pPr>
            <w:r w:rsidRPr="002A4F0C">
              <w:rPr>
                <w:rFonts w:ascii="Arial" w:hAnsi="Arial"/>
                <w:szCs w:val="22"/>
              </w:rPr>
              <w:t>Reid S, Hotopf M, Hull L, Ismail K, Unwin C, &amp; wessely S. Multiple chemical sensitivity and chronic fatigue syndrome in British Gulf war veterans. American Journal of Epidemiology 2001;153(6):604-9.</w:t>
            </w:r>
          </w:p>
        </w:tc>
      </w:tr>
      <w:tr w:rsidR="002A4F0C" w:rsidRPr="002A4F0C" w14:paraId="4D87DF79" w14:textId="77777777" w:rsidTr="002A4F0C">
        <w:trPr>
          <w:cantSplit/>
        </w:trPr>
        <w:tc>
          <w:tcPr>
            <w:tcW w:w="1575" w:type="dxa"/>
            <w:shd w:val="clear" w:color="auto" w:fill="auto"/>
            <w:noWrap/>
            <w:vAlign w:val="center"/>
          </w:tcPr>
          <w:p w14:paraId="218C3989"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26973</w:t>
            </w:r>
          </w:p>
        </w:tc>
        <w:tc>
          <w:tcPr>
            <w:tcW w:w="7938" w:type="dxa"/>
            <w:shd w:val="clear" w:color="auto" w:fill="auto"/>
            <w:vAlign w:val="bottom"/>
          </w:tcPr>
          <w:p w14:paraId="1B880DD8" w14:textId="77777777" w:rsidR="002A4F0C" w:rsidRPr="002A4F0C" w:rsidRDefault="002A4F0C" w:rsidP="002A4F0C">
            <w:pPr>
              <w:spacing w:line="240" w:lineRule="auto"/>
              <w:rPr>
                <w:rFonts w:ascii="Arial" w:hAnsi="Arial"/>
                <w:szCs w:val="22"/>
              </w:rPr>
            </w:pPr>
            <w:r w:rsidRPr="002A4F0C">
              <w:rPr>
                <w:rFonts w:ascii="Arial" w:hAnsi="Arial"/>
                <w:szCs w:val="22"/>
              </w:rPr>
              <w:t>Haley RW. Re: "factor analysis of self-reported symptoms: does it identify a Gulf war syndrome?" American Journal of Epidemiology, 2000 Vol 152(12):1204-5.</w:t>
            </w:r>
          </w:p>
        </w:tc>
      </w:tr>
      <w:tr w:rsidR="002A4F0C" w:rsidRPr="002A4F0C" w14:paraId="158519F6" w14:textId="77777777" w:rsidTr="002A4F0C">
        <w:trPr>
          <w:cantSplit/>
        </w:trPr>
        <w:tc>
          <w:tcPr>
            <w:tcW w:w="1575" w:type="dxa"/>
            <w:shd w:val="clear" w:color="auto" w:fill="auto"/>
            <w:noWrap/>
            <w:vAlign w:val="center"/>
          </w:tcPr>
          <w:p w14:paraId="70951426"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26974</w:t>
            </w:r>
          </w:p>
        </w:tc>
        <w:tc>
          <w:tcPr>
            <w:tcW w:w="7938" w:type="dxa"/>
            <w:shd w:val="clear" w:color="auto" w:fill="auto"/>
            <w:vAlign w:val="bottom"/>
          </w:tcPr>
          <w:p w14:paraId="2232E4ED" w14:textId="77777777" w:rsidR="002A4F0C" w:rsidRPr="002A4F0C" w:rsidRDefault="002A4F0C" w:rsidP="002A4F0C">
            <w:pPr>
              <w:spacing w:line="240" w:lineRule="auto"/>
              <w:rPr>
                <w:rFonts w:ascii="Arial" w:hAnsi="Arial"/>
                <w:szCs w:val="22"/>
              </w:rPr>
            </w:pPr>
            <w:r w:rsidRPr="002A4F0C">
              <w:rPr>
                <w:rFonts w:ascii="Arial" w:hAnsi="Arial"/>
                <w:szCs w:val="22"/>
              </w:rPr>
              <w:t>Steele L (2000). Prevalence and patterns of Gulf war illness in Kansas veterans: association of symptoms with characteristics of person, place, and time of military service. American Journal of epidemiology, 152(10): 992-1002.</w:t>
            </w:r>
          </w:p>
        </w:tc>
      </w:tr>
      <w:tr w:rsidR="002A4F0C" w:rsidRPr="002A4F0C" w14:paraId="1A367468" w14:textId="77777777" w:rsidTr="002A4F0C">
        <w:trPr>
          <w:cantSplit/>
        </w:trPr>
        <w:tc>
          <w:tcPr>
            <w:tcW w:w="1575" w:type="dxa"/>
            <w:shd w:val="clear" w:color="auto" w:fill="auto"/>
            <w:noWrap/>
            <w:vAlign w:val="center"/>
          </w:tcPr>
          <w:p w14:paraId="2E41BF3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26975</w:t>
            </w:r>
          </w:p>
        </w:tc>
        <w:tc>
          <w:tcPr>
            <w:tcW w:w="7938" w:type="dxa"/>
            <w:shd w:val="clear" w:color="auto" w:fill="auto"/>
            <w:vAlign w:val="bottom"/>
          </w:tcPr>
          <w:p w14:paraId="2B52954D" w14:textId="77777777" w:rsidR="002A4F0C" w:rsidRPr="002A4F0C" w:rsidRDefault="002A4F0C" w:rsidP="002A4F0C">
            <w:pPr>
              <w:spacing w:line="240" w:lineRule="auto"/>
              <w:rPr>
                <w:rFonts w:ascii="Arial" w:hAnsi="Arial"/>
                <w:szCs w:val="22"/>
              </w:rPr>
            </w:pPr>
            <w:r w:rsidRPr="002A4F0C">
              <w:rPr>
                <w:rFonts w:ascii="Arial" w:hAnsi="Arial"/>
                <w:szCs w:val="22"/>
              </w:rPr>
              <w:t>Knoke JD, Smith TC, Gray GC, Kaiser KS, Hawksworth AW (2000). Factor analysis of self-reported symptoms: does it identify a Gulf war syndrome? American Journal of Epidemiology, 152(4): 379-88.</w:t>
            </w:r>
          </w:p>
        </w:tc>
      </w:tr>
      <w:tr w:rsidR="002A4F0C" w:rsidRPr="002A4F0C" w14:paraId="5627B741" w14:textId="77777777" w:rsidTr="002A4F0C">
        <w:trPr>
          <w:cantSplit/>
        </w:trPr>
        <w:tc>
          <w:tcPr>
            <w:tcW w:w="1575" w:type="dxa"/>
            <w:shd w:val="clear" w:color="auto" w:fill="auto"/>
            <w:noWrap/>
            <w:vAlign w:val="center"/>
          </w:tcPr>
          <w:p w14:paraId="361C6D8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26976</w:t>
            </w:r>
          </w:p>
        </w:tc>
        <w:tc>
          <w:tcPr>
            <w:tcW w:w="7938" w:type="dxa"/>
            <w:shd w:val="clear" w:color="auto" w:fill="auto"/>
            <w:vAlign w:val="bottom"/>
          </w:tcPr>
          <w:p w14:paraId="7BA3CE21" w14:textId="77777777" w:rsidR="002A4F0C" w:rsidRPr="002A4F0C" w:rsidRDefault="002A4F0C" w:rsidP="002A4F0C">
            <w:pPr>
              <w:spacing w:line="240" w:lineRule="auto"/>
              <w:rPr>
                <w:rFonts w:ascii="Arial" w:hAnsi="Arial"/>
                <w:szCs w:val="22"/>
              </w:rPr>
            </w:pPr>
            <w:r w:rsidRPr="002A4F0C">
              <w:rPr>
                <w:rFonts w:ascii="Arial" w:hAnsi="Arial"/>
                <w:szCs w:val="22"/>
              </w:rPr>
              <w:t>Cherry N, Creed F, Silman A, Dunn G, Baxter D, (2001). Health and exposures of United Kingdom Gulf war veterans. Part 1: the pattern and extent of ill health. Occup Environ Med,  58: 291-8.</w:t>
            </w:r>
          </w:p>
        </w:tc>
      </w:tr>
      <w:tr w:rsidR="002A4F0C" w:rsidRPr="002A4F0C" w14:paraId="6AA5089F" w14:textId="77777777" w:rsidTr="002A4F0C">
        <w:trPr>
          <w:cantSplit/>
        </w:trPr>
        <w:tc>
          <w:tcPr>
            <w:tcW w:w="1575" w:type="dxa"/>
            <w:shd w:val="clear" w:color="auto" w:fill="auto"/>
            <w:noWrap/>
            <w:vAlign w:val="center"/>
          </w:tcPr>
          <w:p w14:paraId="4CAE2EC6"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26977</w:t>
            </w:r>
          </w:p>
        </w:tc>
        <w:tc>
          <w:tcPr>
            <w:tcW w:w="7938" w:type="dxa"/>
            <w:shd w:val="clear" w:color="auto" w:fill="auto"/>
            <w:vAlign w:val="bottom"/>
          </w:tcPr>
          <w:p w14:paraId="51454CED" w14:textId="77777777" w:rsidR="002A4F0C" w:rsidRPr="002A4F0C" w:rsidRDefault="002A4F0C" w:rsidP="002A4F0C">
            <w:pPr>
              <w:spacing w:line="240" w:lineRule="auto"/>
              <w:rPr>
                <w:rFonts w:ascii="Arial" w:hAnsi="Arial"/>
                <w:szCs w:val="22"/>
              </w:rPr>
            </w:pPr>
            <w:r w:rsidRPr="002A4F0C">
              <w:rPr>
                <w:rFonts w:ascii="Arial" w:hAnsi="Arial"/>
                <w:szCs w:val="22"/>
              </w:rPr>
              <w:t>Cherry N, Creed F, Silman A, Dunn G, Baxter D, et al (2001). Health and exposures of United Kingdom Gulf war veterans. Part II: The relation of health to exposure. Occup Environ Med, 58: 299-306.</w:t>
            </w:r>
          </w:p>
        </w:tc>
      </w:tr>
      <w:tr w:rsidR="002A4F0C" w:rsidRPr="002A4F0C" w14:paraId="15E70508" w14:textId="77777777" w:rsidTr="002A4F0C">
        <w:trPr>
          <w:cantSplit/>
        </w:trPr>
        <w:tc>
          <w:tcPr>
            <w:tcW w:w="1575" w:type="dxa"/>
            <w:shd w:val="clear" w:color="auto" w:fill="auto"/>
            <w:noWrap/>
            <w:vAlign w:val="center"/>
          </w:tcPr>
          <w:p w14:paraId="5848A483"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26978</w:t>
            </w:r>
          </w:p>
        </w:tc>
        <w:tc>
          <w:tcPr>
            <w:tcW w:w="7938" w:type="dxa"/>
            <w:shd w:val="clear" w:color="auto" w:fill="auto"/>
            <w:vAlign w:val="bottom"/>
          </w:tcPr>
          <w:p w14:paraId="75DC0CE1" w14:textId="77777777" w:rsidR="002A4F0C" w:rsidRPr="002A4F0C" w:rsidRDefault="002A4F0C" w:rsidP="002A4F0C">
            <w:pPr>
              <w:spacing w:line="240" w:lineRule="auto"/>
              <w:rPr>
                <w:rFonts w:ascii="Arial" w:hAnsi="Arial"/>
                <w:szCs w:val="22"/>
              </w:rPr>
            </w:pPr>
            <w:r w:rsidRPr="002A4F0C">
              <w:rPr>
                <w:rFonts w:ascii="Arial" w:hAnsi="Arial"/>
                <w:szCs w:val="22"/>
              </w:rPr>
              <w:t>Ismail K (2001). New challenges facing ill health in Gulf war veterans. Occup Environ Med, 58: 289-90.</w:t>
            </w:r>
          </w:p>
        </w:tc>
      </w:tr>
      <w:tr w:rsidR="002A4F0C" w:rsidRPr="002A4F0C" w14:paraId="76958EF4" w14:textId="77777777" w:rsidTr="002A4F0C">
        <w:trPr>
          <w:cantSplit/>
        </w:trPr>
        <w:tc>
          <w:tcPr>
            <w:tcW w:w="1575" w:type="dxa"/>
            <w:shd w:val="clear" w:color="auto" w:fill="auto"/>
            <w:noWrap/>
            <w:vAlign w:val="center"/>
          </w:tcPr>
          <w:p w14:paraId="5AB8CFF5"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26979</w:t>
            </w:r>
          </w:p>
        </w:tc>
        <w:tc>
          <w:tcPr>
            <w:tcW w:w="7938" w:type="dxa"/>
            <w:shd w:val="clear" w:color="auto" w:fill="auto"/>
            <w:vAlign w:val="bottom"/>
          </w:tcPr>
          <w:p w14:paraId="7F0ED1DA" w14:textId="77777777" w:rsidR="002A4F0C" w:rsidRPr="002A4F0C" w:rsidRDefault="002A4F0C" w:rsidP="002A4F0C">
            <w:pPr>
              <w:spacing w:line="240" w:lineRule="auto"/>
              <w:rPr>
                <w:rFonts w:ascii="Arial" w:hAnsi="Arial"/>
                <w:szCs w:val="22"/>
              </w:rPr>
            </w:pPr>
            <w:r w:rsidRPr="002A4F0C">
              <w:rPr>
                <w:rFonts w:ascii="Arial" w:hAnsi="Arial"/>
                <w:szCs w:val="22"/>
              </w:rPr>
              <w:t>Proctor SP, Heaton KJ, White RF, Wolfe J. Chemical sensitivity and chronic fatigue in Gulf war veterans: a brief report. JOEM 2001; 43(3):259-264.</w:t>
            </w:r>
          </w:p>
        </w:tc>
      </w:tr>
      <w:tr w:rsidR="002A4F0C" w:rsidRPr="002A4F0C" w14:paraId="38F4B5CE" w14:textId="77777777" w:rsidTr="002A4F0C">
        <w:trPr>
          <w:cantSplit/>
        </w:trPr>
        <w:tc>
          <w:tcPr>
            <w:tcW w:w="1575" w:type="dxa"/>
            <w:shd w:val="clear" w:color="auto" w:fill="auto"/>
            <w:noWrap/>
            <w:vAlign w:val="center"/>
          </w:tcPr>
          <w:p w14:paraId="629A2318"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26980</w:t>
            </w:r>
          </w:p>
        </w:tc>
        <w:tc>
          <w:tcPr>
            <w:tcW w:w="7938" w:type="dxa"/>
            <w:shd w:val="clear" w:color="auto" w:fill="auto"/>
            <w:vAlign w:val="bottom"/>
          </w:tcPr>
          <w:p w14:paraId="4E4144AE" w14:textId="77777777" w:rsidR="002A4F0C" w:rsidRPr="002A4F0C" w:rsidRDefault="002A4F0C" w:rsidP="002A4F0C">
            <w:pPr>
              <w:spacing w:line="240" w:lineRule="auto"/>
              <w:rPr>
                <w:rFonts w:ascii="Arial" w:hAnsi="Arial"/>
                <w:szCs w:val="22"/>
              </w:rPr>
            </w:pPr>
            <w:r w:rsidRPr="002A4F0C">
              <w:rPr>
                <w:rFonts w:ascii="Arial" w:hAnsi="Arial"/>
                <w:szCs w:val="22"/>
              </w:rPr>
              <w:t>Binder LM, Storzbach D, Campbell KA, et al (2001). Neurobehavioral deficits associated with chronic fatigue syndrome in veterans with Gulf War unexplained illness. Jounal of the International Neuropsychological Society, 7: 835-9.</w:t>
            </w:r>
          </w:p>
        </w:tc>
      </w:tr>
      <w:tr w:rsidR="002A4F0C" w:rsidRPr="002A4F0C" w14:paraId="7C105104" w14:textId="77777777" w:rsidTr="002A4F0C">
        <w:trPr>
          <w:cantSplit/>
        </w:trPr>
        <w:tc>
          <w:tcPr>
            <w:tcW w:w="1575" w:type="dxa"/>
            <w:shd w:val="clear" w:color="auto" w:fill="auto"/>
            <w:noWrap/>
            <w:vAlign w:val="center"/>
          </w:tcPr>
          <w:p w14:paraId="1EEF7D93"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26981</w:t>
            </w:r>
          </w:p>
        </w:tc>
        <w:tc>
          <w:tcPr>
            <w:tcW w:w="7938" w:type="dxa"/>
            <w:shd w:val="clear" w:color="auto" w:fill="auto"/>
            <w:vAlign w:val="bottom"/>
          </w:tcPr>
          <w:p w14:paraId="64B12CCB" w14:textId="77777777" w:rsidR="002A4F0C" w:rsidRPr="002A4F0C" w:rsidRDefault="002A4F0C" w:rsidP="002A4F0C">
            <w:pPr>
              <w:spacing w:line="240" w:lineRule="auto"/>
              <w:rPr>
                <w:rFonts w:ascii="Arial" w:hAnsi="Arial"/>
                <w:szCs w:val="22"/>
              </w:rPr>
            </w:pPr>
            <w:r w:rsidRPr="002A4F0C">
              <w:rPr>
                <w:rFonts w:ascii="Arial" w:hAnsi="Arial"/>
                <w:szCs w:val="22"/>
              </w:rPr>
              <w:t>Natelson BH, Tiersky L, Nelson J (2001). The diagnosis of posttraumatic stress disorder in Gulf veterans with medically unexplained fatiguing illness. The Journal of Nervous &amp; Mental Diseases, 189(11): 795-96.</w:t>
            </w:r>
          </w:p>
        </w:tc>
      </w:tr>
      <w:tr w:rsidR="002A4F0C" w:rsidRPr="002A4F0C" w14:paraId="33C63D4D" w14:textId="77777777" w:rsidTr="002A4F0C">
        <w:trPr>
          <w:cantSplit/>
        </w:trPr>
        <w:tc>
          <w:tcPr>
            <w:tcW w:w="1575" w:type="dxa"/>
            <w:shd w:val="clear" w:color="auto" w:fill="auto"/>
            <w:noWrap/>
            <w:vAlign w:val="center"/>
          </w:tcPr>
          <w:p w14:paraId="19010E87"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26982</w:t>
            </w:r>
          </w:p>
        </w:tc>
        <w:tc>
          <w:tcPr>
            <w:tcW w:w="7938" w:type="dxa"/>
            <w:shd w:val="clear" w:color="auto" w:fill="auto"/>
            <w:vAlign w:val="bottom"/>
          </w:tcPr>
          <w:p w14:paraId="5896FF1F" w14:textId="77777777" w:rsidR="002A4F0C" w:rsidRPr="002A4F0C" w:rsidRDefault="002A4F0C" w:rsidP="002A4F0C">
            <w:pPr>
              <w:spacing w:line="240" w:lineRule="auto"/>
              <w:rPr>
                <w:rFonts w:ascii="Arial" w:hAnsi="Arial"/>
                <w:szCs w:val="22"/>
              </w:rPr>
            </w:pPr>
            <w:r w:rsidRPr="002A4F0C">
              <w:rPr>
                <w:rFonts w:ascii="Arial" w:hAnsi="Arial"/>
                <w:szCs w:val="22"/>
              </w:rPr>
              <w:t>Ford JD, Campbell KA, Storzbach D, et al (2001). Posttraumatic stress symptomatology is associated with unexplained illness attributed to Persian Gulf War military service. Psychosomatic Medicine, 63: 842-49.</w:t>
            </w:r>
          </w:p>
        </w:tc>
      </w:tr>
      <w:tr w:rsidR="002A4F0C" w:rsidRPr="002A4F0C" w14:paraId="2453EFB7" w14:textId="77777777" w:rsidTr="002A4F0C">
        <w:trPr>
          <w:cantSplit/>
        </w:trPr>
        <w:tc>
          <w:tcPr>
            <w:tcW w:w="1575" w:type="dxa"/>
            <w:shd w:val="clear" w:color="auto" w:fill="auto"/>
            <w:noWrap/>
            <w:vAlign w:val="center"/>
          </w:tcPr>
          <w:p w14:paraId="572A822C"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26983</w:t>
            </w:r>
          </w:p>
        </w:tc>
        <w:tc>
          <w:tcPr>
            <w:tcW w:w="7938" w:type="dxa"/>
            <w:shd w:val="clear" w:color="auto" w:fill="auto"/>
            <w:vAlign w:val="bottom"/>
          </w:tcPr>
          <w:p w14:paraId="14D0AB9A" w14:textId="77777777" w:rsidR="002A4F0C" w:rsidRPr="002A4F0C" w:rsidRDefault="002A4F0C" w:rsidP="002A4F0C">
            <w:pPr>
              <w:spacing w:line="240" w:lineRule="auto"/>
              <w:rPr>
                <w:rFonts w:ascii="Arial" w:hAnsi="Arial"/>
                <w:szCs w:val="22"/>
              </w:rPr>
            </w:pPr>
            <w:r w:rsidRPr="002A4F0C">
              <w:rPr>
                <w:rFonts w:ascii="Arial" w:hAnsi="Arial"/>
                <w:szCs w:val="22"/>
              </w:rPr>
              <w:t>Engel CC, Liu X, McCarthy BD, Miller RF, &amp; Ursano R. Relationship of physical symptoms to posttraumatic stress disorder among veterans seeking care for Gulf War-related health concerns. Psychosomatic Medicine 2000 Vol 62:739-745.</w:t>
            </w:r>
          </w:p>
        </w:tc>
      </w:tr>
      <w:tr w:rsidR="002A4F0C" w:rsidRPr="002A4F0C" w14:paraId="2BCFF4DB" w14:textId="77777777" w:rsidTr="002A4F0C">
        <w:trPr>
          <w:cantSplit/>
        </w:trPr>
        <w:tc>
          <w:tcPr>
            <w:tcW w:w="1575" w:type="dxa"/>
            <w:shd w:val="clear" w:color="auto" w:fill="auto"/>
            <w:noWrap/>
            <w:vAlign w:val="center"/>
          </w:tcPr>
          <w:p w14:paraId="431FFED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26984</w:t>
            </w:r>
          </w:p>
        </w:tc>
        <w:tc>
          <w:tcPr>
            <w:tcW w:w="7938" w:type="dxa"/>
            <w:shd w:val="clear" w:color="auto" w:fill="auto"/>
            <w:vAlign w:val="bottom"/>
          </w:tcPr>
          <w:p w14:paraId="3D817E1D" w14:textId="77777777" w:rsidR="002A4F0C" w:rsidRPr="002A4F0C" w:rsidRDefault="002A4F0C" w:rsidP="002A4F0C">
            <w:pPr>
              <w:spacing w:line="240" w:lineRule="auto"/>
              <w:rPr>
                <w:rFonts w:ascii="Arial" w:hAnsi="Arial"/>
                <w:szCs w:val="22"/>
              </w:rPr>
            </w:pPr>
            <w:r w:rsidRPr="002A4F0C">
              <w:rPr>
                <w:rFonts w:ascii="Arial" w:hAnsi="Arial"/>
                <w:szCs w:val="22"/>
              </w:rPr>
              <w:t>Gilhooly PE. Chronic fatigue and sexual dysfunction in female Gulf War veterans. Journal of Sex &amp; Marital Therapy;2001 27:483-7.</w:t>
            </w:r>
          </w:p>
        </w:tc>
      </w:tr>
      <w:tr w:rsidR="002A4F0C" w:rsidRPr="002A4F0C" w14:paraId="47655BF2" w14:textId="77777777" w:rsidTr="002A4F0C">
        <w:trPr>
          <w:cantSplit/>
        </w:trPr>
        <w:tc>
          <w:tcPr>
            <w:tcW w:w="1575" w:type="dxa"/>
            <w:shd w:val="clear" w:color="auto" w:fill="auto"/>
            <w:noWrap/>
            <w:vAlign w:val="center"/>
          </w:tcPr>
          <w:p w14:paraId="63F132A0"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26985</w:t>
            </w:r>
          </w:p>
        </w:tc>
        <w:tc>
          <w:tcPr>
            <w:tcW w:w="7938" w:type="dxa"/>
            <w:shd w:val="clear" w:color="auto" w:fill="auto"/>
            <w:vAlign w:val="bottom"/>
          </w:tcPr>
          <w:p w14:paraId="372FFF63" w14:textId="77777777" w:rsidR="002A4F0C" w:rsidRPr="002A4F0C" w:rsidRDefault="002A4F0C" w:rsidP="002A4F0C">
            <w:pPr>
              <w:spacing w:line="240" w:lineRule="auto"/>
              <w:rPr>
                <w:rFonts w:ascii="Arial" w:hAnsi="Arial"/>
                <w:szCs w:val="22"/>
              </w:rPr>
            </w:pPr>
            <w:r w:rsidRPr="002A4F0C">
              <w:rPr>
                <w:rFonts w:ascii="Arial" w:hAnsi="Arial"/>
                <w:szCs w:val="22"/>
              </w:rPr>
              <w:t>Ovadia H, Abramsky O, Feldman S, Weidenfeld J. Evaluation of the effect of stress on the blood-brain barrier: critical role of the brain perfusion time. Brain Research (2001) 95 pp 21-5.</w:t>
            </w:r>
          </w:p>
        </w:tc>
      </w:tr>
      <w:tr w:rsidR="002A4F0C" w:rsidRPr="002A4F0C" w14:paraId="5E01025C" w14:textId="77777777" w:rsidTr="002A4F0C">
        <w:trPr>
          <w:cantSplit/>
        </w:trPr>
        <w:tc>
          <w:tcPr>
            <w:tcW w:w="1575" w:type="dxa"/>
            <w:shd w:val="clear" w:color="auto" w:fill="auto"/>
            <w:noWrap/>
            <w:vAlign w:val="center"/>
          </w:tcPr>
          <w:p w14:paraId="16852ABC"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26986</w:t>
            </w:r>
          </w:p>
        </w:tc>
        <w:tc>
          <w:tcPr>
            <w:tcW w:w="7938" w:type="dxa"/>
            <w:shd w:val="clear" w:color="auto" w:fill="auto"/>
            <w:vAlign w:val="bottom"/>
          </w:tcPr>
          <w:p w14:paraId="0DC51D48" w14:textId="77777777" w:rsidR="002A4F0C" w:rsidRPr="002A4F0C" w:rsidRDefault="002A4F0C" w:rsidP="002A4F0C">
            <w:pPr>
              <w:spacing w:line="240" w:lineRule="auto"/>
              <w:rPr>
                <w:rFonts w:ascii="Arial" w:hAnsi="Arial"/>
                <w:szCs w:val="22"/>
              </w:rPr>
            </w:pPr>
            <w:r w:rsidRPr="002A4F0C">
              <w:rPr>
                <w:rFonts w:ascii="Arial" w:hAnsi="Arial"/>
                <w:szCs w:val="22"/>
              </w:rPr>
              <w:t>Karras G. Continuing research into Gulf war illness. Science 2001;292(5518):853b.</w:t>
            </w:r>
          </w:p>
        </w:tc>
      </w:tr>
      <w:tr w:rsidR="002A4F0C" w:rsidRPr="002A4F0C" w14:paraId="4CE91135" w14:textId="77777777" w:rsidTr="002A4F0C">
        <w:trPr>
          <w:cantSplit/>
        </w:trPr>
        <w:tc>
          <w:tcPr>
            <w:tcW w:w="1575" w:type="dxa"/>
            <w:shd w:val="clear" w:color="auto" w:fill="auto"/>
            <w:noWrap/>
            <w:vAlign w:val="center"/>
          </w:tcPr>
          <w:p w14:paraId="67C46DE5"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26987</w:t>
            </w:r>
          </w:p>
        </w:tc>
        <w:tc>
          <w:tcPr>
            <w:tcW w:w="7938" w:type="dxa"/>
            <w:shd w:val="clear" w:color="auto" w:fill="auto"/>
            <w:vAlign w:val="bottom"/>
          </w:tcPr>
          <w:p w14:paraId="75B8C84C" w14:textId="77777777" w:rsidR="002A4F0C" w:rsidRPr="002A4F0C" w:rsidRDefault="002A4F0C" w:rsidP="002A4F0C">
            <w:pPr>
              <w:spacing w:line="240" w:lineRule="auto"/>
              <w:rPr>
                <w:rFonts w:ascii="Arial" w:hAnsi="Arial"/>
                <w:szCs w:val="22"/>
              </w:rPr>
            </w:pPr>
            <w:r w:rsidRPr="002A4F0C">
              <w:rPr>
                <w:rFonts w:ascii="Arial" w:hAnsi="Arial"/>
                <w:szCs w:val="22"/>
              </w:rPr>
              <w:t>Haley RW (2001). Gulf syndrome research has passed peer review. Nature, 410: 739.</w:t>
            </w:r>
          </w:p>
        </w:tc>
      </w:tr>
      <w:tr w:rsidR="002A4F0C" w:rsidRPr="002A4F0C" w14:paraId="4021EF27" w14:textId="77777777" w:rsidTr="002A4F0C">
        <w:trPr>
          <w:cantSplit/>
        </w:trPr>
        <w:tc>
          <w:tcPr>
            <w:tcW w:w="1575" w:type="dxa"/>
            <w:shd w:val="clear" w:color="auto" w:fill="auto"/>
            <w:noWrap/>
            <w:vAlign w:val="center"/>
          </w:tcPr>
          <w:p w14:paraId="2445F300"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26988</w:t>
            </w:r>
          </w:p>
        </w:tc>
        <w:tc>
          <w:tcPr>
            <w:tcW w:w="7938" w:type="dxa"/>
            <w:shd w:val="clear" w:color="auto" w:fill="auto"/>
            <w:vAlign w:val="bottom"/>
          </w:tcPr>
          <w:p w14:paraId="2A880B30" w14:textId="77777777" w:rsidR="002A4F0C" w:rsidRPr="002A4F0C" w:rsidRDefault="002A4F0C" w:rsidP="002A4F0C">
            <w:pPr>
              <w:spacing w:line="240" w:lineRule="auto"/>
              <w:rPr>
                <w:rFonts w:ascii="Arial" w:hAnsi="Arial"/>
                <w:szCs w:val="22"/>
              </w:rPr>
            </w:pPr>
            <w:r w:rsidRPr="002A4F0C">
              <w:rPr>
                <w:rFonts w:ascii="Arial" w:hAnsi="Arial"/>
                <w:szCs w:val="22"/>
              </w:rPr>
              <w:t>Bolton JPG, Lee HA, Gabriel R. Vaccinations as risk factors for ill health in veterans of the Gulf war. Conclusion may be flawed by inadequate data. BMJ Vol 322, 10 Feb 2001, p 361-2.</w:t>
            </w:r>
          </w:p>
        </w:tc>
      </w:tr>
      <w:tr w:rsidR="002A4F0C" w:rsidRPr="002A4F0C" w14:paraId="517A7DA9" w14:textId="77777777" w:rsidTr="002A4F0C">
        <w:trPr>
          <w:cantSplit/>
        </w:trPr>
        <w:tc>
          <w:tcPr>
            <w:tcW w:w="1575" w:type="dxa"/>
            <w:shd w:val="clear" w:color="auto" w:fill="auto"/>
            <w:noWrap/>
            <w:vAlign w:val="center"/>
          </w:tcPr>
          <w:p w14:paraId="70E08647"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26989</w:t>
            </w:r>
          </w:p>
        </w:tc>
        <w:tc>
          <w:tcPr>
            <w:tcW w:w="7938" w:type="dxa"/>
            <w:shd w:val="clear" w:color="auto" w:fill="auto"/>
            <w:vAlign w:val="bottom"/>
          </w:tcPr>
          <w:p w14:paraId="708C4D32" w14:textId="77777777" w:rsidR="002A4F0C" w:rsidRPr="002A4F0C" w:rsidRDefault="002A4F0C" w:rsidP="002A4F0C">
            <w:pPr>
              <w:spacing w:line="240" w:lineRule="auto"/>
              <w:rPr>
                <w:rFonts w:ascii="Arial" w:hAnsi="Arial"/>
                <w:szCs w:val="22"/>
              </w:rPr>
            </w:pPr>
            <w:r w:rsidRPr="002A4F0C">
              <w:rPr>
                <w:rFonts w:ascii="Arial" w:hAnsi="Arial"/>
                <w:szCs w:val="22"/>
              </w:rPr>
              <w:t>Dyer O. Government agrees to screen war veterans for uranium exposure. BMJ Vol 322 20 Jan 2001 p 130.</w:t>
            </w:r>
          </w:p>
        </w:tc>
      </w:tr>
      <w:tr w:rsidR="002A4F0C" w:rsidRPr="002A4F0C" w14:paraId="689DBB5B" w14:textId="77777777" w:rsidTr="002A4F0C">
        <w:trPr>
          <w:cantSplit/>
        </w:trPr>
        <w:tc>
          <w:tcPr>
            <w:tcW w:w="1575" w:type="dxa"/>
            <w:shd w:val="clear" w:color="auto" w:fill="auto"/>
            <w:noWrap/>
            <w:vAlign w:val="center"/>
          </w:tcPr>
          <w:p w14:paraId="63339808"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26990</w:t>
            </w:r>
          </w:p>
        </w:tc>
        <w:tc>
          <w:tcPr>
            <w:tcW w:w="7938" w:type="dxa"/>
            <w:shd w:val="clear" w:color="auto" w:fill="auto"/>
            <w:vAlign w:val="bottom"/>
          </w:tcPr>
          <w:p w14:paraId="4D5C4A5D" w14:textId="77777777" w:rsidR="002A4F0C" w:rsidRPr="002A4F0C" w:rsidRDefault="002A4F0C" w:rsidP="002A4F0C">
            <w:pPr>
              <w:spacing w:line="240" w:lineRule="auto"/>
              <w:rPr>
                <w:rFonts w:ascii="Arial" w:hAnsi="Arial"/>
                <w:szCs w:val="22"/>
              </w:rPr>
            </w:pPr>
            <w:r w:rsidRPr="002A4F0C">
              <w:rPr>
                <w:rFonts w:ascii="Arial" w:hAnsi="Arial"/>
                <w:szCs w:val="22"/>
              </w:rPr>
              <w:t>Bieliauskas LA &amp; Turner RS. What Persian Gulf War syndrome? The Clinical Neuropsychologist 2000 Vol 14(3) pp 341-3.</w:t>
            </w:r>
          </w:p>
        </w:tc>
      </w:tr>
      <w:tr w:rsidR="002A4F0C" w:rsidRPr="002A4F0C" w14:paraId="38D0604F" w14:textId="77777777" w:rsidTr="002A4F0C">
        <w:trPr>
          <w:cantSplit/>
        </w:trPr>
        <w:tc>
          <w:tcPr>
            <w:tcW w:w="1575" w:type="dxa"/>
            <w:shd w:val="clear" w:color="auto" w:fill="auto"/>
            <w:noWrap/>
            <w:vAlign w:val="center"/>
          </w:tcPr>
          <w:p w14:paraId="06298FA4"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26991</w:t>
            </w:r>
          </w:p>
        </w:tc>
        <w:tc>
          <w:tcPr>
            <w:tcW w:w="7938" w:type="dxa"/>
            <w:shd w:val="clear" w:color="auto" w:fill="auto"/>
            <w:vAlign w:val="bottom"/>
          </w:tcPr>
          <w:p w14:paraId="03784A8B" w14:textId="77777777" w:rsidR="002A4F0C" w:rsidRPr="002A4F0C" w:rsidRDefault="002A4F0C" w:rsidP="002A4F0C">
            <w:pPr>
              <w:spacing w:line="240" w:lineRule="auto"/>
              <w:rPr>
                <w:rFonts w:ascii="Arial" w:hAnsi="Arial"/>
                <w:szCs w:val="22"/>
              </w:rPr>
            </w:pPr>
            <w:r w:rsidRPr="002A4F0C">
              <w:rPr>
                <w:rFonts w:ascii="Arial" w:hAnsi="Arial"/>
                <w:szCs w:val="22"/>
              </w:rPr>
              <w:t>Axelrod BN, Milner IB (2000). Gulf War illness research: separating the wheat from the chaff. The Clinical Neuropsychologist, 14(3): 344-8.</w:t>
            </w:r>
          </w:p>
        </w:tc>
      </w:tr>
      <w:tr w:rsidR="002A4F0C" w:rsidRPr="002A4F0C" w14:paraId="1FD06B4F" w14:textId="77777777" w:rsidTr="002A4F0C">
        <w:trPr>
          <w:cantSplit/>
        </w:trPr>
        <w:tc>
          <w:tcPr>
            <w:tcW w:w="1575" w:type="dxa"/>
            <w:shd w:val="clear" w:color="auto" w:fill="auto"/>
            <w:noWrap/>
            <w:vAlign w:val="center"/>
          </w:tcPr>
          <w:p w14:paraId="2D0B77D0"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26992</w:t>
            </w:r>
          </w:p>
        </w:tc>
        <w:tc>
          <w:tcPr>
            <w:tcW w:w="7938" w:type="dxa"/>
            <w:shd w:val="clear" w:color="auto" w:fill="auto"/>
            <w:vAlign w:val="bottom"/>
          </w:tcPr>
          <w:p w14:paraId="2C003A7C" w14:textId="77777777" w:rsidR="002A4F0C" w:rsidRPr="002A4F0C" w:rsidRDefault="002A4F0C" w:rsidP="002A4F0C">
            <w:pPr>
              <w:spacing w:line="240" w:lineRule="auto"/>
              <w:rPr>
                <w:rFonts w:ascii="Arial" w:hAnsi="Arial"/>
                <w:szCs w:val="22"/>
              </w:rPr>
            </w:pPr>
            <w:r w:rsidRPr="002A4F0C">
              <w:rPr>
                <w:rFonts w:ascii="Arial" w:hAnsi="Arial"/>
                <w:szCs w:val="22"/>
              </w:rPr>
              <w:t>Podell RN 2000 (2000). Is there a Gulf war syndrome?The american Journal of Medicine, D. The American Journal of Medicine, 109: 744.</w:t>
            </w:r>
          </w:p>
        </w:tc>
      </w:tr>
      <w:tr w:rsidR="002A4F0C" w:rsidRPr="002A4F0C" w14:paraId="032FDDA4" w14:textId="77777777" w:rsidTr="002A4F0C">
        <w:trPr>
          <w:cantSplit/>
        </w:trPr>
        <w:tc>
          <w:tcPr>
            <w:tcW w:w="1575" w:type="dxa"/>
            <w:shd w:val="clear" w:color="auto" w:fill="auto"/>
            <w:noWrap/>
            <w:vAlign w:val="center"/>
          </w:tcPr>
          <w:p w14:paraId="19B17B63"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26993</w:t>
            </w:r>
          </w:p>
        </w:tc>
        <w:tc>
          <w:tcPr>
            <w:tcW w:w="7938" w:type="dxa"/>
            <w:shd w:val="clear" w:color="auto" w:fill="auto"/>
            <w:vAlign w:val="bottom"/>
          </w:tcPr>
          <w:p w14:paraId="48D73598" w14:textId="77777777" w:rsidR="002A4F0C" w:rsidRPr="002A4F0C" w:rsidRDefault="002A4F0C" w:rsidP="002A4F0C">
            <w:pPr>
              <w:spacing w:line="240" w:lineRule="auto"/>
              <w:rPr>
                <w:rFonts w:ascii="Arial" w:hAnsi="Arial"/>
                <w:szCs w:val="22"/>
              </w:rPr>
            </w:pPr>
            <w:r w:rsidRPr="002A4F0C">
              <w:rPr>
                <w:rFonts w:ascii="Arial" w:hAnsi="Arial"/>
                <w:szCs w:val="22"/>
              </w:rPr>
              <w:t>Haley RW (2000). [Comment] Will we solve the Gulf War syndrome puzzle by population surveys or clinical research? Am J Med, 109: 744-8. Comment on ID: 27001.</w:t>
            </w:r>
          </w:p>
        </w:tc>
      </w:tr>
      <w:tr w:rsidR="002A4F0C" w:rsidRPr="002A4F0C" w14:paraId="127EF8F0" w14:textId="77777777" w:rsidTr="002A4F0C">
        <w:trPr>
          <w:cantSplit/>
        </w:trPr>
        <w:tc>
          <w:tcPr>
            <w:tcW w:w="1575" w:type="dxa"/>
            <w:shd w:val="clear" w:color="auto" w:fill="auto"/>
            <w:noWrap/>
            <w:vAlign w:val="center"/>
          </w:tcPr>
          <w:p w14:paraId="5E5692C0"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26994</w:t>
            </w:r>
          </w:p>
        </w:tc>
        <w:tc>
          <w:tcPr>
            <w:tcW w:w="7938" w:type="dxa"/>
            <w:shd w:val="clear" w:color="auto" w:fill="auto"/>
            <w:vAlign w:val="bottom"/>
          </w:tcPr>
          <w:p w14:paraId="3A48B61B" w14:textId="77777777" w:rsidR="002A4F0C" w:rsidRPr="002A4F0C" w:rsidRDefault="002A4F0C" w:rsidP="002A4F0C">
            <w:pPr>
              <w:spacing w:line="240" w:lineRule="auto"/>
              <w:rPr>
                <w:rFonts w:ascii="Arial" w:hAnsi="Arial"/>
                <w:szCs w:val="22"/>
              </w:rPr>
            </w:pPr>
            <w:r w:rsidRPr="002A4F0C">
              <w:rPr>
                <w:rFonts w:ascii="Arial" w:hAnsi="Arial"/>
                <w:szCs w:val="22"/>
              </w:rPr>
              <w:t>Rosenberg RN (2000). Defining the neurological basis of the Gulf war syndrome. Arch Neur, 57: 1263.</w:t>
            </w:r>
          </w:p>
        </w:tc>
      </w:tr>
      <w:tr w:rsidR="002A4F0C" w:rsidRPr="002A4F0C" w14:paraId="5FB330D8" w14:textId="77777777" w:rsidTr="002A4F0C">
        <w:trPr>
          <w:cantSplit/>
        </w:trPr>
        <w:tc>
          <w:tcPr>
            <w:tcW w:w="1575" w:type="dxa"/>
            <w:shd w:val="clear" w:color="auto" w:fill="auto"/>
            <w:noWrap/>
            <w:vAlign w:val="center"/>
          </w:tcPr>
          <w:p w14:paraId="2C20BB79"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26995</w:t>
            </w:r>
          </w:p>
        </w:tc>
        <w:tc>
          <w:tcPr>
            <w:tcW w:w="7938" w:type="dxa"/>
            <w:shd w:val="clear" w:color="auto" w:fill="auto"/>
            <w:vAlign w:val="bottom"/>
          </w:tcPr>
          <w:p w14:paraId="7EC4D1D7" w14:textId="77777777" w:rsidR="002A4F0C" w:rsidRPr="002A4F0C" w:rsidRDefault="002A4F0C" w:rsidP="002A4F0C">
            <w:pPr>
              <w:spacing w:line="240" w:lineRule="auto"/>
              <w:rPr>
                <w:rFonts w:ascii="Arial" w:hAnsi="Arial"/>
                <w:szCs w:val="22"/>
              </w:rPr>
            </w:pPr>
            <w:r w:rsidRPr="002A4F0C">
              <w:rPr>
                <w:rFonts w:ascii="Arial" w:hAnsi="Arial"/>
                <w:szCs w:val="22"/>
              </w:rPr>
              <w:t>Ferrari R. The biopsychosocial model - a tool for rheumatologists. Balliere's Clinical Rheumatology, 2000 Vol 14(4) pp 787-795.</w:t>
            </w:r>
          </w:p>
        </w:tc>
      </w:tr>
      <w:tr w:rsidR="002A4F0C" w:rsidRPr="002A4F0C" w14:paraId="081E5743" w14:textId="77777777" w:rsidTr="002A4F0C">
        <w:trPr>
          <w:cantSplit/>
        </w:trPr>
        <w:tc>
          <w:tcPr>
            <w:tcW w:w="1575" w:type="dxa"/>
            <w:shd w:val="clear" w:color="auto" w:fill="auto"/>
            <w:noWrap/>
            <w:vAlign w:val="center"/>
          </w:tcPr>
          <w:p w14:paraId="7865C587"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26996</w:t>
            </w:r>
          </w:p>
        </w:tc>
        <w:tc>
          <w:tcPr>
            <w:tcW w:w="7938" w:type="dxa"/>
            <w:shd w:val="clear" w:color="auto" w:fill="auto"/>
            <w:vAlign w:val="bottom"/>
          </w:tcPr>
          <w:p w14:paraId="7357BDEE" w14:textId="77777777" w:rsidR="002A4F0C" w:rsidRPr="002A4F0C" w:rsidRDefault="002A4F0C" w:rsidP="002A4F0C">
            <w:pPr>
              <w:spacing w:line="240" w:lineRule="auto"/>
              <w:rPr>
                <w:rFonts w:ascii="Arial" w:hAnsi="Arial"/>
                <w:szCs w:val="22"/>
              </w:rPr>
            </w:pPr>
            <w:r w:rsidRPr="002A4F0C">
              <w:rPr>
                <w:rFonts w:ascii="Arial" w:hAnsi="Arial"/>
                <w:szCs w:val="22"/>
              </w:rPr>
              <w:t>Wuster C. On the search for the osteoporosis genes: how many more do we need? European Journal of Clinical Investigation (2000) Vol 30 pp 563-6.</w:t>
            </w:r>
          </w:p>
        </w:tc>
      </w:tr>
      <w:tr w:rsidR="002A4F0C" w:rsidRPr="002A4F0C" w14:paraId="29D5218C" w14:textId="77777777" w:rsidTr="002A4F0C">
        <w:trPr>
          <w:cantSplit/>
        </w:trPr>
        <w:tc>
          <w:tcPr>
            <w:tcW w:w="1575" w:type="dxa"/>
            <w:shd w:val="clear" w:color="auto" w:fill="auto"/>
            <w:noWrap/>
            <w:vAlign w:val="center"/>
          </w:tcPr>
          <w:p w14:paraId="0F066C4D"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26997</w:t>
            </w:r>
          </w:p>
        </w:tc>
        <w:tc>
          <w:tcPr>
            <w:tcW w:w="7938" w:type="dxa"/>
            <w:shd w:val="clear" w:color="auto" w:fill="auto"/>
            <w:vAlign w:val="bottom"/>
          </w:tcPr>
          <w:p w14:paraId="047579FA" w14:textId="77777777" w:rsidR="002A4F0C" w:rsidRPr="002A4F0C" w:rsidRDefault="002A4F0C" w:rsidP="002A4F0C">
            <w:pPr>
              <w:spacing w:line="240" w:lineRule="auto"/>
              <w:rPr>
                <w:rFonts w:ascii="Arial" w:hAnsi="Arial"/>
                <w:szCs w:val="22"/>
              </w:rPr>
            </w:pPr>
            <w:r w:rsidRPr="002A4F0C">
              <w:rPr>
                <w:rFonts w:ascii="Arial" w:hAnsi="Arial"/>
                <w:szCs w:val="22"/>
              </w:rPr>
              <w:t>Ferguson E &amp; Cassaday HJ. The Gulf war and illness by association. British Journal of Psychology (1999) Vol 90 pp 459-475.</w:t>
            </w:r>
          </w:p>
        </w:tc>
      </w:tr>
      <w:tr w:rsidR="002A4F0C" w:rsidRPr="002A4F0C" w14:paraId="665F9E3E" w14:textId="77777777" w:rsidTr="002A4F0C">
        <w:trPr>
          <w:cantSplit/>
        </w:trPr>
        <w:tc>
          <w:tcPr>
            <w:tcW w:w="1575" w:type="dxa"/>
            <w:shd w:val="clear" w:color="auto" w:fill="auto"/>
            <w:noWrap/>
            <w:vAlign w:val="center"/>
          </w:tcPr>
          <w:p w14:paraId="7074B466"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26998</w:t>
            </w:r>
          </w:p>
        </w:tc>
        <w:tc>
          <w:tcPr>
            <w:tcW w:w="7938" w:type="dxa"/>
            <w:shd w:val="clear" w:color="auto" w:fill="auto"/>
            <w:vAlign w:val="bottom"/>
          </w:tcPr>
          <w:p w14:paraId="4839A444" w14:textId="77777777" w:rsidR="002A4F0C" w:rsidRPr="002A4F0C" w:rsidRDefault="002A4F0C" w:rsidP="002A4F0C">
            <w:pPr>
              <w:spacing w:line="240" w:lineRule="auto"/>
              <w:rPr>
                <w:rFonts w:ascii="Arial" w:hAnsi="Arial"/>
                <w:szCs w:val="22"/>
              </w:rPr>
            </w:pPr>
            <w:r w:rsidRPr="002A4F0C">
              <w:rPr>
                <w:rFonts w:ascii="Arial" w:hAnsi="Arial"/>
                <w:szCs w:val="22"/>
              </w:rPr>
              <w:t>Hedrick TE. Letters &amp; Replies. Functional somatic syndromes. Annals of Internal Medicine, 15 Feb, 2000 Vol 132 (4) pp 327-330.</w:t>
            </w:r>
          </w:p>
        </w:tc>
      </w:tr>
      <w:tr w:rsidR="002A4F0C" w:rsidRPr="002A4F0C" w14:paraId="2D47AB95" w14:textId="77777777" w:rsidTr="002A4F0C">
        <w:trPr>
          <w:cantSplit/>
        </w:trPr>
        <w:tc>
          <w:tcPr>
            <w:tcW w:w="1575" w:type="dxa"/>
            <w:shd w:val="clear" w:color="auto" w:fill="auto"/>
            <w:noWrap/>
            <w:vAlign w:val="center"/>
          </w:tcPr>
          <w:p w14:paraId="7D468CAF" w14:textId="77777777" w:rsidR="002A4F0C" w:rsidRPr="002A4F0C" w:rsidRDefault="002A4F0C" w:rsidP="002A4F0C">
            <w:pPr>
              <w:spacing w:line="240" w:lineRule="auto"/>
              <w:jc w:val="center"/>
              <w:rPr>
                <w:rFonts w:ascii="Arial" w:hAnsi="Arial"/>
                <w:szCs w:val="22"/>
              </w:rPr>
            </w:pPr>
            <w:r w:rsidRPr="002A4F0C">
              <w:rPr>
                <w:rFonts w:ascii="Arial" w:hAnsi="Arial"/>
                <w:szCs w:val="22"/>
              </w:rPr>
              <w:t>26999</w:t>
            </w:r>
          </w:p>
        </w:tc>
        <w:tc>
          <w:tcPr>
            <w:tcW w:w="7938" w:type="dxa"/>
            <w:shd w:val="clear" w:color="auto" w:fill="auto"/>
            <w:vAlign w:val="bottom"/>
          </w:tcPr>
          <w:p w14:paraId="168FFF73" w14:textId="77777777" w:rsidR="002A4F0C" w:rsidRPr="002A4F0C" w:rsidRDefault="002A4F0C" w:rsidP="002A4F0C">
            <w:pPr>
              <w:spacing w:line="240" w:lineRule="auto"/>
              <w:rPr>
                <w:rFonts w:ascii="Arial" w:hAnsi="Arial"/>
                <w:szCs w:val="22"/>
              </w:rPr>
            </w:pPr>
            <w:r w:rsidRPr="002A4F0C">
              <w:rPr>
                <w:rFonts w:ascii="Arial" w:hAnsi="Arial"/>
                <w:szCs w:val="22"/>
              </w:rPr>
              <w:t>Compston JE, Vedi S, Stephen AB, Bord S, Lyons AR, Hodges SJ, Scammell BE. Reduced bone formation in UK Gulf war veterans: a bone histomorphometric study. J Clin Pathol 2002 Vol 55:897-899.</w:t>
            </w:r>
          </w:p>
        </w:tc>
      </w:tr>
      <w:tr w:rsidR="002A4F0C" w:rsidRPr="002A4F0C" w14:paraId="152AC368" w14:textId="77777777" w:rsidTr="002A4F0C">
        <w:trPr>
          <w:cantSplit/>
        </w:trPr>
        <w:tc>
          <w:tcPr>
            <w:tcW w:w="1575" w:type="dxa"/>
            <w:shd w:val="clear" w:color="auto" w:fill="auto"/>
            <w:noWrap/>
            <w:vAlign w:val="center"/>
          </w:tcPr>
          <w:p w14:paraId="318E2D93"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27000</w:t>
            </w:r>
          </w:p>
        </w:tc>
        <w:tc>
          <w:tcPr>
            <w:tcW w:w="7938" w:type="dxa"/>
            <w:shd w:val="clear" w:color="auto" w:fill="auto"/>
            <w:vAlign w:val="bottom"/>
          </w:tcPr>
          <w:p w14:paraId="36772DF4" w14:textId="77777777" w:rsidR="002A4F0C" w:rsidRPr="002A4F0C" w:rsidRDefault="002A4F0C" w:rsidP="002A4F0C">
            <w:pPr>
              <w:spacing w:line="240" w:lineRule="auto"/>
              <w:rPr>
                <w:rFonts w:ascii="Arial" w:hAnsi="Arial"/>
                <w:szCs w:val="22"/>
              </w:rPr>
            </w:pPr>
            <w:r w:rsidRPr="002A4F0C">
              <w:rPr>
                <w:rFonts w:ascii="Arial" w:hAnsi="Arial"/>
                <w:szCs w:val="22"/>
              </w:rPr>
              <w:t>McCauley LA, Joos SK, Barkhuizen A, Shuell T, Tyree WA, Bourdette DN. Chronic fatigue in a population-based study of Gulf war veterans. Archives of Environmental Health, 2002 Vol 57(4) pp 340-8.</w:t>
            </w:r>
          </w:p>
        </w:tc>
      </w:tr>
      <w:tr w:rsidR="002A4F0C" w:rsidRPr="002A4F0C" w14:paraId="07CFD4CE" w14:textId="77777777" w:rsidTr="002A4F0C">
        <w:trPr>
          <w:cantSplit/>
        </w:trPr>
        <w:tc>
          <w:tcPr>
            <w:tcW w:w="1575" w:type="dxa"/>
            <w:shd w:val="clear" w:color="auto" w:fill="auto"/>
            <w:noWrap/>
            <w:vAlign w:val="center"/>
          </w:tcPr>
          <w:p w14:paraId="2497377D"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27001</w:t>
            </w:r>
          </w:p>
        </w:tc>
        <w:tc>
          <w:tcPr>
            <w:tcW w:w="7938" w:type="dxa"/>
            <w:shd w:val="clear" w:color="auto" w:fill="auto"/>
            <w:vAlign w:val="bottom"/>
          </w:tcPr>
          <w:p w14:paraId="58386D8E" w14:textId="77777777" w:rsidR="002A4F0C" w:rsidRPr="002A4F0C" w:rsidRDefault="002A4F0C" w:rsidP="002A4F0C">
            <w:pPr>
              <w:spacing w:line="240" w:lineRule="auto"/>
              <w:rPr>
                <w:rFonts w:ascii="Arial" w:hAnsi="Arial"/>
                <w:szCs w:val="22"/>
              </w:rPr>
            </w:pPr>
            <w:r w:rsidRPr="002A4F0C">
              <w:rPr>
                <w:rFonts w:ascii="Arial" w:hAnsi="Arial"/>
                <w:szCs w:val="22"/>
              </w:rPr>
              <w:t>Kang HK, Mahan CM, Lee KY, Murphy FM, et al (2002). Evidence for a deployment-related Gulf War syndrome by factor analysis. Arch Environ Health, 57(1): 61-8.</w:t>
            </w:r>
          </w:p>
        </w:tc>
      </w:tr>
      <w:tr w:rsidR="002A4F0C" w:rsidRPr="002A4F0C" w14:paraId="13A64F1B" w14:textId="77777777" w:rsidTr="002A4F0C">
        <w:trPr>
          <w:cantSplit/>
        </w:trPr>
        <w:tc>
          <w:tcPr>
            <w:tcW w:w="1575" w:type="dxa"/>
            <w:shd w:val="clear" w:color="auto" w:fill="auto"/>
            <w:noWrap/>
            <w:vAlign w:val="center"/>
          </w:tcPr>
          <w:p w14:paraId="4B238BBF"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27002</w:t>
            </w:r>
          </w:p>
        </w:tc>
        <w:tc>
          <w:tcPr>
            <w:tcW w:w="7938" w:type="dxa"/>
            <w:shd w:val="clear" w:color="auto" w:fill="auto"/>
            <w:vAlign w:val="bottom"/>
          </w:tcPr>
          <w:p w14:paraId="2DB4FEF9" w14:textId="77777777" w:rsidR="002A4F0C" w:rsidRPr="002A4F0C" w:rsidRDefault="002A4F0C" w:rsidP="002A4F0C">
            <w:pPr>
              <w:spacing w:line="240" w:lineRule="auto"/>
              <w:rPr>
                <w:rFonts w:ascii="Arial" w:hAnsi="Arial"/>
                <w:szCs w:val="22"/>
              </w:rPr>
            </w:pPr>
            <w:r w:rsidRPr="002A4F0C">
              <w:rPr>
                <w:rFonts w:ascii="Arial" w:hAnsi="Arial"/>
                <w:szCs w:val="22"/>
              </w:rPr>
              <w:t>Maconochie N, Doyle P, Davies G, Lewis S, Pelerin M, Prior S, &amp; Sampson P. The study of reproductive outcome and the health of offspring of UK veterans of the Gulf war: methods and description of the study population. BMC Public health, 2003 Vol 3(1) pp 4</w:t>
            </w:r>
          </w:p>
        </w:tc>
      </w:tr>
      <w:tr w:rsidR="002A4F0C" w:rsidRPr="002A4F0C" w14:paraId="29BE0369" w14:textId="77777777" w:rsidTr="002A4F0C">
        <w:trPr>
          <w:cantSplit/>
        </w:trPr>
        <w:tc>
          <w:tcPr>
            <w:tcW w:w="1575" w:type="dxa"/>
            <w:shd w:val="clear" w:color="auto" w:fill="auto"/>
            <w:noWrap/>
            <w:vAlign w:val="center"/>
          </w:tcPr>
          <w:p w14:paraId="6E357E92"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27003</w:t>
            </w:r>
          </w:p>
        </w:tc>
        <w:tc>
          <w:tcPr>
            <w:tcW w:w="7938" w:type="dxa"/>
            <w:shd w:val="clear" w:color="auto" w:fill="auto"/>
            <w:vAlign w:val="bottom"/>
          </w:tcPr>
          <w:p w14:paraId="154596FC" w14:textId="77777777" w:rsidR="002A4F0C" w:rsidRPr="002A4F0C" w:rsidRDefault="002A4F0C" w:rsidP="002A4F0C">
            <w:pPr>
              <w:spacing w:line="240" w:lineRule="auto"/>
              <w:rPr>
                <w:rFonts w:ascii="Arial" w:hAnsi="Arial"/>
                <w:szCs w:val="22"/>
              </w:rPr>
            </w:pPr>
            <w:r w:rsidRPr="002A4F0C">
              <w:rPr>
                <w:rFonts w:ascii="Arial" w:hAnsi="Arial"/>
                <w:szCs w:val="22"/>
              </w:rPr>
              <w:t>Brown P, Zavestoski S, McCormick S, Linder M, Mandelbaum J, Luenke T. A Gulf of difference: disputes over Gulf War-related illnesses. Journal of Health &amp; Social Behavior 2000 Vol 42 (September):235-7.</w:t>
            </w:r>
          </w:p>
        </w:tc>
      </w:tr>
      <w:tr w:rsidR="002A4F0C" w:rsidRPr="002A4F0C" w14:paraId="437DDBB9" w14:textId="77777777" w:rsidTr="002A4F0C">
        <w:trPr>
          <w:cantSplit/>
        </w:trPr>
        <w:tc>
          <w:tcPr>
            <w:tcW w:w="1575" w:type="dxa"/>
            <w:shd w:val="clear" w:color="auto" w:fill="auto"/>
            <w:noWrap/>
            <w:vAlign w:val="center"/>
          </w:tcPr>
          <w:p w14:paraId="7995A005"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27004</w:t>
            </w:r>
          </w:p>
        </w:tc>
        <w:tc>
          <w:tcPr>
            <w:tcW w:w="7938" w:type="dxa"/>
            <w:shd w:val="clear" w:color="auto" w:fill="auto"/>
            <w:vAlign w:val="bottom"/>
          </w:tcPr>
          <w:p w14:paraId="7C28C797" w14:textId="77777777" w:rsidR="002A4F0C" w:rsidRPr="002A4F0C" w:rsidRDefault="002A4F0C" w:rsidP="002A4F0C">
            <w:pPr>
              <w:spacing w:line="240" w:lineRule="auto"/>
              <w:rPr>
                <w:rFonts w:ascii="Arial" w:hAnsi="Arial"/>
                <w:szCs w:val="22"/>
              </w:rPr>
            </w:pPr>
            <w:r w:rsidRPr="002A4F0C">
              <w:rPr>
                <w:rFonts w:ascii="Arial" w:hAnsi="Arial"/>
                <w:szCs w:val="22"/>
              </w:rPr>
              <w:t>Haley RW, Luk GD, Petty F (2001). Use of structural equation modeling to test the construct validity of a case definition of Gulf War syndrome: invariance over developmental and validation samples, service branches and publicity. Psychiatry Research 102: 175-200.</w:t>
            </w:r>
          </w:p>
        </w:tc>
      </w:tr>
      <w:tr w:rsidR="002A4F0C" w:rsidRPr="002A4F0C" w14:paraId="6BB5AD94" w14:textId="77777777" w:rsidTr="002A4F0C">
        <w:trPr>
          <w:cantSplit/>
        </w:trPr>
        <w:tc>
          <w:tcPr>
            <w:tcW w:w="1575" w:type="dxa"/>
            <w:shd w:val="clear" w:color="auto" w:fill="auto"/>
            <w:noWrap/>
            <w:vAlign w:val="center"/>
          </w:tcPr>
          <w:p w14:paraId="4E632963"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27005</w:t>
            </w:r>
          </w:p>
        </w:tc>
        <w:tc>
          <w:tcPr>
            <w:tcW w:w="7938" w:type="dxa"/>
            <w:shd w:val="clear" w:color="auto" w:fill="auto"/>
            <w:vAlign w:val="bottom"/>
          </w:tcPr>
          <w:p w14:paraId="4D37AB5B" w14:textId="77777777" w:rsidR="002A4F0C" w:rsidRPr="002A4F0C" w:rsidRDefault="002A4F0C" w:rsidP="002A4F0C">
            <w:pPr>
              <w:spacing w:line="240" w:lineRule="auto"/>
              <w:rPr>
                <w:rFonts w:ascii="Arial" w:hAnsi="Arial"/>
                <w:szCs w:val="22"/>
              </w:rPr>
            </w:pPr>
            <w:r w:rsidRPr="002A4F0C">
              <w:rPr>
                <w:rFonts w:ascii="Arial" w:hAnsi="Arial"/>
                <w:szCs w:val="22"/>
              </w:rPr>
              <w:t>Lange G, Tiersky L, DeLuca J, Peckerman A, Pollet C, Policastro T, Scharer J, Ottenweller JE, Fiedler N, Natelson BH. Psychiatric diagnoses in Gulf War veterans with fatiguing illness. Psychiatry Research 89 (1999) 39-48.</w:t>
            </w:r>
          </w:p>
        </w:tc>
      </w:tr>
      <w:tr w:rsidR="002A4F0C" w:rsidRPr="002A4F0C" w14:paraId="2376A6B0" w14:textId="77777777" w:rsidTr="002A4F0C">
        <w:trPr>
          <w:cantSplit/>
        </w:trPr>
        <w:tc>
          <w:tcPr>
            <w:tcW w:w="1575" w:type="dxa"/>
            <w:shd w:val="clear" w:color="auto" w:fill="auto"/>
            <w:noWrap/>
            <w:vAlign w:val="center"/>
          </w:tcPr>
          <w:p w14:paraId="33D0F9B5"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27006</w:t>
            </w:r>
          </w:p>
        </w:tc>
        <w:tc>
          <w:tcPr>
            <w:tcW w:w="7938" w:type="dxa"/>
            <w:shd w:val="clear" w:color="auto" w:fill="auto"/>
            <w:vAlign w:val="bottom"/>
          </w:tcPr>
          <w:p w14:paraId="730860CE" w14:textId="77777777" w:rsidR="002A4F0C" w:rsidRPr="002A4F0C" w:rsidRDefault="002A4F0C" w:rsidP="002A4F0C">
            <w:pPr>
              <w:spacing w:line="240" w:lineRule="auto"/>
              <w:rPr>
                <w:rFonts w:ascii="Arial" w:hAnsi="Arial"/>
                <w:szCs w:val="22"/>
              </w:rPr>
            </w:pPr>
            <w:r w:rsidRPr="002A4F0C">
              <w:rPr>
                <w:rFonts w:ascii="Arial" w:hAnsi="Arial"/>
                <w:szCs w:val="22"/>
              </w:rPr>
              <w:t>Richardson RD, Engel CC jr, McFall M, McKnight K, Boehnlein JK, Hunt Sc. Clinician attributions for symptoms and treatment of Gulf War-related health concerns. Arch Intern Med 2001; 161:1289-94.</w:t>
            </w:r>
          </w:p>
        </w:tc>
      </w:tr>
      <w:tr w:rsidR="002A4F0C" w:rsidRPr="002A4F0C" w14:paraId="66A7C8AD" w14:textId="77777777" w:rsidTr="002A4F0C">
        <w:trPr>
          <w:cantSplit/>
        </w:trPr>
        <w:tc>
          <w:tcPr>
            <w:tcW w:w="1575" w:type="dxa"/>
            <w:shd w:val="clear" w:color="auto" w:fill="auto"/>
            <w:noWrap/>
            <w:vAlign w:val="center"/>
          </w:tcPr>
          <w:p w14:paraId="19E57E7D"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27007</w:t>
            </w:r>
          </w:p>
        </w:tc>
        <w:tc>
          <w:tcPr>
            <w:tcW w:w="7938" w:type="dxa"/>
            <w:shd w:val="clear" w:color="auto" w:fill="auto"/>
            <w:vAlign w:val="bottom"/>
          </w:tcPr>
          <w:p w14:paraId="14323F01" w14:textId="77777777" w:rsidR="002A4F0C" w:rsidRPr="002A4F0C" w:rsidRDefault="002A4F0C" w:rsidP="002A4F0C">
            <w:pPr>
              <w:spacing w:line="240" w:lineRule="auto"/>
              <w:rPr>
                <w:rFonts w:ascii="Arial" w:hAnsi="Arial"/>
                <w:szCs w:val="22"/>
              </w:rPr>
            </w:pPr>
            <w:r w:rsidRPr="002A4F0C">
              <w:rPr>
                <w:rFonts w:ascii="Arial" w:hAnsi="Arial"/>
                <w:szCs w:val="22"/>
              </w:rPr>
              <w:t>Lange G, Tiersky LA, Scharer JB, Policastro T, Fiedler N, Morgan JE, &amp; Natelson BH. Cognitive functioning in Gulf War illness. Journal of Clinical &amp; Experimental Neuropsychology 2001 Vol 23(2) pp 240-9.</w:t>
            </w:r>
          </w:p>
        </w:tc>
      </w:tr>
      <w:tr w:rsidR="002A4F0C" w:rsidRPr="002A4F0C" w14:paraId="254A63D7" w14:textId="77777777" w:rsidTr="002A4F0C">
        <w:trPr>
          <w:cantSplit/>
        </w:trPr>
        <w:tc>
          <w:tcPr>
            <w:tcW w:w="1575" w:type="dxa"/>
            <w:shd w:val="clear" w:color="auto" w:fill="auto"/>
            <w:noWrap/>
            <w:vAlign w:val="center"/>
          </w:tcPr>
          <w:p w14:paraId="4DCA8158"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27008</w:t>
            </w:r>
          </w:p>
        </w:tc>
        <w:tc>
          <w:tcPr>
            <w:tcW w:w="7938" w:type="dxa"/>
            <w:shd w:val="clear" w:color="auto" w:fill="auto"/>
            <w:vAlign w:val="bottom"/>
          </w:tcPr>
          <w:p w14:paraId="6CD0E768" w14:textId="77777777" w:rsidR="002A4F0C" w:rsidRPr="002A4F0C" w:rsidRDefault="002A4F0C" w:rsidP="002A4F0C">
            <w:pPr>
              <w:spacing w:line="240" w:lineRule="auto"/>
              <w:rPr>
                <w:rFonts w:ascii="Arial" w:hAnsi="Arial"/>
                <w:szCs w:val="22"/>
              </w:rPr>
            </w:pPr>
            <w:r w:rsidRPr="002A4F0C">
              <w:rPr>
                <w:rFonts w:ascii="Arial" w:hAnsi="Arial"/>
                <w:szCs w:val="22"/>
              </w:rPr>
              <w:t>Storzbach D, Rohlman DS, Anger WK, Binder LM &amp; Campbell KA. Neurobehavioral deficits in Persian Gulf veterans: additional evidence from a population-based study. Environmental Research Section A 85, 1-13 (2001).</w:t>
            </w:r>
          </w:p>
        </w:tc>
      </w:tr>
      <w:tr w:rsidR="002A4F0C" w:rsidRPr="002A4F0C" w14:paraId="3EB1956D" w14:textId="77777777" w:rsidTr="002A4F0C">
        <w:trPr>
          <w:cantSplit/>
        </w:trPr>
        <w:tc>
          <w:tcPr>
            <w:tcW w:w="1575" w:type="dxa"/>
            <w:shd w:val="clear" w:color="auto" w:fill="auto"/>
            <w:noWrap/>
            <w:vAlign w:val="center"/>
          </w:tcPr>
          <w:p w14:paraId="31E4E7AD"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27009</w:t>
            </w:r>
          </w:p>
        </w:tc>
        <w:tc>
          <w:tcPr>
            <w:tcW w:w="7938" w:type="dxa"/>
            <w:shd w:val="clear" w:color="auto" w:fill="auto"/>
            <w:vAlign w:val="bottom"/>
          </w:tcPr>
          <w:p w14:paraId="3598B702" w14:textId="77777777" w:rsidR="002A4F0C" w:rsidRPr="002A4F0C" w:rsidRDefault="002A4F0C" w:rsidP="002A4F0C">
            <w:pPr>
              <w:spacing w:line="240" w:lineRule="auto"/>
              <w:rPr>
                <w:rFonts w:ascii="Arial" w:hAnsi="Arial"/>
                <w:szCs w:val="22"/>
              </w:rPr>
            </w:pPr>
            <w:r w:rsidRPr="002A4F0C">
              <w:rPr>
                <w:rFonts w:ascii="Arial" w:hAnsi="Arial"/>
                <w:szCs w:val="22"/>
              </w:rPr>
              <w:t>Hannan KL, Berg DE, Baumzweiger W, Harrison HH, Berg LH, Ramirez R &amp; Nichols D. Activation of the coagulation system in Gulf War illness: a potential pathophysiologic link with chronic fatigue syndrome. A laboratory approach to diagnosis. Blood Coagulation &amp; Fibrinolysis 2000, 11:673-8.</w:t>
            </w:r>
          </w:p>
        </w:tc>
      </w:tr>
      <w:tr w:rsidR="002A4F0C" w:rsidRPr="002A4F0C" w14:paraId="3616EA96" w14:textId="77777777" w:rsidTr="002A4F0C">
        <w:trPr>
          <w:cantSplit/>
        </w:trPr>
        <w:tc>
          <w:tcPr>
            <w:tcW w:w="1575" w:type="dxa"/>
            <w:shd w:val="clear" w:color="auto" w:fill="auto"/>
            <w:noWrap/>
            <w:vAlign w:val="center"/>
          </w:tcPr>
          <w:p w14:paraId="3DBE5E4D"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27010</w:t>
            </w:r>
          </w:p>
        </w:tc>
        <w:tc>
          <w:tcPr>
            <w:tcW w:w="7938" w:type="dxa"/>
            <w:shd w:val="clear" w:color="auto" w:fill="auto"/>
            <w:vAlign w:val="bottom"/>
          </w:tcPr>
          <w:p w14:paraId="4B34726F" w14:textId="77777777" w:rsidR="002A4F0C" w:rsidRPr="002A4F0C" w:rsidRDefault="002A4F0C" w:rsidP="002A4F0C">
            <w:pPr>
              <w:spacing w:line="240" w:lineRule="auto"/>
              <w:rPr>
                <w:rFonts w:ascii="Arial" w:hAnsi="Arial"/>
                <w:szCs w:val="22"/>
              </w:rPr>
            </w:pPr>
            <w:r w:rsidRPr="002A4F0C">
              <w:rPr>
                <w:rFonts w:ascii="Arial" w:hAnsi="Arial"/>
                <w:szCs w:val="22"/>
              </w:rPr>
              <w:t>Fiedler N, Lange G, Tiersky L, DeLuca J, Policastro T, Kelly-McNeil K, McWilliams R, Korn L, Natelson B. Stressors, personality traits, and coping of Gulf ar veterans with chronic fatigue. Journal of Psychosomatic Research 48(2000) 525-35.</w:t>
            </w:r>
          </w:p>
        </w:tc>
      </w:tr>
      <w:tr w:rsidR="002A4F0C" w:rsidRPr="002A4F0C" w14:paraId="37A50662" w14:textId="77777777" w:rsidTr="002A4F0C">
        <w:trPr>
          <w:cantSplit/>
        </w:trPr>
        <w:tc>
          <w:tcPr>
            <w:tcW w:w="1575" w:type="dxa"/>
            <w:shd w:val="clear" w:color="auto" w:fill="auto"/>
            <w:noWrap/>
            <w:vAlign w:val="center"/>
          </w:tcPr>
          <w:p w14:paraId="2832434D"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27011</w:t>
            </w:r>
          </w:p>
        </w:tc>
        <w:tc>
          <w:tcPr>
            <w:tcW w:w="7938" w:type="dxa"/>
            <w:shd w:val="clear" w:color="auto" w:fill="auto"/>
            <w:vAlign w:val="bottom"/>
          </w:tcPr>
          <w:p w14:paraId="2B4CAD67" w14:textId="77777777" w:rsidR="002A4F0C" w:rsidRPr="002A4F0C" w:rsidRDefault="002A4F0C" w:rsidP="002A4F0C">
            <w:pPr>
              <w:spacing w:line="240" w:lineRule="auto"/>
              <w:rPr>
                <w:rFonts w:ascii="Arial" w:hAnsi="Arial"/>
                <w:szCs w:val="22"/>
              </w:rPr>
            </w:pPr>
            <w:r w:rsidRPr="002A4F0C">
              <w:rPr>
                <w:rFonts w:ascii="Arial" w:hAnsi="Arial"/>
                <w:szCs w:val="22"/>
              </w:rPr>
              <w:t>Doebbeling BN, Clarke WR, Watson D et al (2000). Is there a Persian Gulf War syndrome? Evidence from a large population-based survey of veterans and nondeployed controls. Am J Med, 108(9): 695-704.</w:t>
            </w:r>
          </w:p>
        </w:tc>
      </w:tr>
      <w:tr w:rsidR="002A4F0C" w:rsidRPr="002A4F0C" w14:paraId="78ABEB75" w14:textId="77777777" w:rsidTr="002A4F0C">
        <w:trPr>
          <w:cantSplit/>
        </w:trPr>
        <w:tc>
          <w:tcPr>
            <w:tcW w:w="1575" w:type="dxa"/>
            <w:shd w:val="clear" w:color="auto" w:fill="auto"/>
            <w:noWrap/>
            <w:vAlign w:val="center"/>
          </w:tcPr>
          <w:p w14:paraId="50F2BFC2"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27012</w:t>
            </w:r>
          </w:p>
        </w:tc>
        <w:tc>
          <w:tcPr>
            <w:tcW w:w="7938" w:type="dxa"/>
            <w:shd w:val="clear" w:color="auto" w:fill="auto"/>
            <w:vAlign w:val="bottom"/>
          </w:tcPr>
          <w:p w14:paraId="0BB34D5F" w14:textId="77777777" w:rsidR="002A4F0C" w:rsidRPr="002A4F0C" w:rsidRDefault="002A4F0C" w:rsidP="002A4F0C">
            <w:pPr>
              <w:spacing w:line="240" w:lineRule="auto"/>
              <w:rPr>
                <w:rFonts w:ascii="Arial" w:hAnsi="Arial"/>
                <w:szCs w:val="22"/>
              </w:rPr>
            </w:pPr>
            <w:r w:rsidRPr="002A4F0C">
              <w:rPr>
                <w:rFonts w:ascii="Arial" w:hAnsi="Arial"/>
                <w:szCs w:val="22"/>
              </w:rPr>
              <w:t>Macfarlane GJ, Thomas E, Cherry N (2000). Mortality among UK Gulf war veterans. Lancet, Vol 356 pp 17-21.</w:t>
            </w:r>
          </w:p>
        </w:tc>
      </w:tr>
      <w:tr w:rsidR="002A4F0C" w:rsidRPr="002A4F0C" w14:paraId="50EEA72E" w14:textId="77777777" w:rsidTr="002A4F0C">
        <w:trPr>
          <w:cantSplit/>
        </w:trPr>
        <w:tc>
          <w:tcPr>
            <w:tcW w:w="1575" w:type="dxa"/>
            <w:shd w:val="clear" w:color="auto" w:fill="auto"/>
            <w:noWrap/>
            <w:vAlign w:val="center"/>
          </w:tcPr>
          <w:p w14:paraId="7674DF50"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27013</w:t>
            </w:r>
          </w:p>
        </w:tc>
        <w:tc>
          <w:tcPr>
            <w:tcW w:w="7938" w:type="dxa"/>
            <w:shd w:val="clear" w:color="auto" w:fill="auto"/>
            <w:vAlign w:val="bottom"/>
          </w:tcPr>
          <w:p w14:paraId="7CA7EAFB" w14:textId="77777777" w:rsidR="002A4F0C" w:rsidRPr="002A4F0C" w:rsidRDefault="002A4F0C" w:rsidP="002A4F0C">
            <w:pPr>
              <w:spacing w:line="240" w:lineRule="auto"/>
              <w:rPr>
                <w:rFonts w:ascii="Arial" w:hAnsi="Arial"/>
                <w:szCs w:val="22"/>
              </w:rPr>
            </w:pPr>
            <w:r w:rsidRPr="002A4F0C">
              <w:rPr>
                <w:rFonts w:ascii="Arial" w:hAnsi="Arial"/>
                <w:szCs w:val="22"/>
              </w:rPr>
              <w:t>Cohen MD, Hawes DR, Hutchins GD, McPhee WD, et al (2000). Activity-based cost analysis: a method of analyzing the financial and operating performance of academic radiology departments. Radiology, Vol 215 pp 708-716.</w:t>
            </w:r>
          </w:p>
        </w:tc>
      </w:tr>
      <w:tr w:rsidR="002A4F0C" w:rsidRPr="002A4F0C" w14:paraId="1F3BAFAA" w14:textId="77777777" w:rsidTr="002A4F0C">
        <w:trPr>
          <w:cantSplit/>
        </w:trPr>
        <w:tc>
          <w:tcPr>
            <w:tcW w:w="1575" w:type="dxa"/>
            <w:shd w:val="clear" w:color="auto" w:fill="auto"/>
            <w:noWrap/>
            <w:vAlign w:val="center"/>
          </w:tcPr>
          <w:p w14:paraId="6E905D42"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27014</w:t>
            </w:r>
          </w:p>
        </w:tc>
        <w:tc>
          <w:tcPr>
            <w:tcW w:w="7938" w:type="dxa"/>
            <w:shd w:val="clear" w:color="auto" w:fill="auto"/>
            <w:vAlign w:val="bottom"/>
          </w:tcPr>
          <w:p w14:paraId="3356AD1B" w14:textId="77777777" w:rsidR="002A4F0C" w:rsidRPr="002A4F0C" w:rsidRDefault="002A4F0C" w:rsidP="002A4F0C">
            <w:pPr>
              <w:spacing w:line="240" w:lineRule="auto"/>
              <w:rPr>
                <w:rFonts w:ascii="Arial" w:hAnsi="Arial"/>
                <w:szCs w:val="22"/>
              </w:rPr>
            </w:pPr>
            <w:r w:rsidRPr="002A4F0C">
              <w:rPr>
                <w:rFonts w:ascii="Arial" w:hAnsi="Arial"/>
                <w:szCs w:val="22"/>
              </w:rPr>
              <w:t>Wagner AW, Wolfe J, Rotnitsky A, Proctor SP &amp; Erickson DJ. An investigation of the impact of posttraumatic stress disorder on physical health. Journal of Traumatic Stress 2000;Vol 13(1) pp 41-55.</w:t>
            </w:r>
          </w:p>
        </w:tc>
      </w:tr>
      <w:tr w:rsidR="002A4F0C" w:rsidRPr="002A4F0C" w14:paraId="767CFC49" w14:textId="77777777" w:rsidTr="002A4F0C">
        <w:trPr>
          <w:cantSplit/>
        </w:trPr>
        <w:tc>
          <w:tcPr>
            <w:tcW w:w="1575" w:type="dxa"/>
            <w:shd w:val="clear" w:color="auto" w:fill="auto"/>
            <w:noWrap/>
            <w:vAlign w:val="center"/>
          </w:tcPr>
          <w:p w14:paraId="4FCED1D7"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27015</w:t>
            </w:r>
          </w:p>
        </w:tc>
        <w:tc>
          <w:tcPr>
            <w:tcW w:w="7938" w:type="dxa"/>
            <w:shd w:val="clear" w:color="auto" w:fill="auto"/>
            <w:vAlign w:val="bottom"/>
          </w:tcPr>
          <w:p w14:paraId="4C551114" w14:textId="77777777" w:rsidR="002A4F0C" w:rsidRPr="002A4F0C" w:rsidRDefault="002A4F0C" w:rsidP="002A4F0C">
            <w:pPr>
              <w:spacing w:line="240" w:lineRule="auto"/>
              <w:rPr>
                <w:rFonts w:ascii="Arial" w:hAnsi="Arial"/>
                <w:szCs w:val="22"/>
              </w:rPr>
            </w:pPr>
            <w:r w:rsidRPr="002A4F0C">
              <w:rPr>
                <w:rFonts w:ascii="Arial" w:hAnsi="Arial"/>
                <w:szCs w:val="22"/>
              </w:rPr>
              <w:t>Soetekouw PMMB, de Vries M, van Bergen L, Galama JMD, Keyser A, Bleijenberg G, &amp; van der Meer JWM. Somatic hypotheses of war syndromes. European Journal of Clinical Investigation (2000) Vol 30 pp 630-641.</w:t>
            </w:r>
          </w:p>
        </w:tc>
      </w:tr>
      <w:tr w:rsidR="002A4F0C" w:rsidRPr="002A4F0C" w14:paraId="6F9A476F" w14:textId="77777777" w:rsidTr="002A4F0C">
        <w:trPr>
          <w:cantSplit/>
        </w:trPr>
        <w:tc>
          <w:tcPr>
            <w:tcW w:w="1575" w:type="dxa"/>
            <w:shd w:val="clear" w:color="auto" w:fill="auto"/>
            <w:noWrap/>
            <w:vAlign w:val="center"/>
          </w:tcPr>
          <w:p w14:paraId="33E77C6C"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27016</w:t>
            </w:r>
          </w:p>
        </w:tc>
        <w:tc>
          <w:tcPr>
            <w:tcW w:w="7938" w:type="dxa"/>
            <w:shd w:val="clear" w:color="auto" w:fill="auto"/>
            <w:vAlign w:val="bottom"/>
          </w:tcPr>
          <w:p w14:paraId="529D1778" w14:textId="77777777" w:rsidR="002A4F0C" w:rsidRPr="002A4F0C" w:rsidRDefault="002A4F0C" w:rsidP="002A4F0C">
            <w:pPr>
              <w:spacing w:line="240" w:lineRule="auto"/>
              <w:rPr>
                <w:rFonts w:ascii="Arial" w:hAnsi="Arial"/>
                <w:szCs w:val="22"/>
              </w:rPr>
            </w:pPr>
            <w:r w:rsidRPr="002A4F0C">
              <w:rPr>
                <w:rFonts w:ascii="Arial" w:hAnsi="Arial"/>
                <w:szCs w:val="22"/>
              </w:rPr>
              <w:t>Hyams KC (2002). The recruit assessment program: a program to collect comprehensive baseline health data from US military personnel. Military Medicine, 167(1) pp 44-47.</w:t>
            </w:r>
          </w:p>
        </w:tc>
      </w:tr>
      <w:tr w:rsidR="002A4F0C" w:rsidRPr="002A4F0C" w14:paraId="0E0AF3E4" w14:textId="77777777" w:rsidTr="002A4F0C">
        <w:trPr>
          <w:cantSplit/>
        </w:trPr>
        <w:tc>
          <w:tcPr>
            <w:tcW w:w="1575" w:type="dxa"/>
            <w:shd w:val="clear" w:color="auto" w:fill="auto"/>
            <w:noWrap/>
            <w:vAlign w:val="center"/>
          </w:tcPr>
          <w:p w14:paraId="0CB35C4C" w14:textId="77777777" w:rsidR="002A4F0C" w:rsidRPr="002A4F0C" w:rsidRDefault="002A4F0C" w:rsidP="002A4F0C">
            <w:pPr>
              <w:spacing w:line="240" w:lineRule="auto"/>
              <w:jc w:val="center"/>
              <w:rPr>
                <w:rFonts w:ascii="Arial" w:hAnsi="Arial"/>
                <w:szCs w:val="22"/>
              </w:rPr>
            </w:pPr>
            <w:r w:rsidRPr="002A4F0C">
              <w:rPr>
                <w:rFonts w:ascii="Arial" w:hAnsi="Arial"/>
                <w:szCs w:val="22"/>
              </w:rPr>
              <w:t>27017</w:t>
            </w:r>
          </w:p>
        </w:tc>
        <w:tc>
          <w:tcPr>
            <w:tcW w:w="7938" w:type="dxa"/>
            <w:shd w:val="clear" w:color="auto" w:fill="auto"/>
            <w:vAlign w:val="bottom"/>
          </w:tcPr>
          <w:p w14:paraId="57E88389" w14:textId="77777777" w:rsidR="002A4F0C" w:rsidRPr="002A4F0C" w:rsidRDefault="002A4F0C" w:rsidP="002A4F0C">
            <w:pPr>
              <w:spacing w:line="240" w:lineRule="auto"/>
              <w:rPr>
                <w:rFonts w:ascii="Arial" w:hAnsi="Arial"/>
                <w:szCs w:val="22"/>
              </w:rPr>
            </w:pPr>
            <w:r w:rsidRPr="002A4F0C">
              <w:rPr>
                <w:rFonts w:ascii="Arial" w:hAnsi="Arial"/>
                <w:szCs w:val="22"/>
              </w:rPr>
              <w:t>Ovadia H, Abramsky O, Feldman S, Weidenfeld J. Evaluation of the effect of stress on the blood-brain barrier: critical role of the brain perfusion time. Brain Research 905 (2001) 21-5.</w:t>
            </w:r>
          </w:p>
        </w:tc>
      </w:tr>
      <w:tr w:rsidR="002A4F0C" w:rsidRPr="002A4F0C" w14:paraId="176A39E0" w14:textId="77777777" w:rsidTr="002A4F0C">
        <w:trPr>
          <w:cantSplit/>
        </w:trPr>
        <w:tc>
          <w:tcPr>
            <w:tcW w:w="1575" w:type="dxa"/>
            <w:shd w:val="clear" w:color="auto" w:fill="auto"/>
            <w:noWrap/>
            <w:vAlign w:val="center"/>
          </w:tcPr>
          <w:p w14:paraId="553B327E"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27134</w:t>
            </w:r>
          </w:p>
        </w:tc>
        <w:tc>
          <w:tcPr>
            <w:tcW w:w="7938" w:type="dxa"/>
            <w:shd w:val="clear" w:color="auto" w:fill="auto"/>
            <w:vAlign w:val="bottom"/>
          </w:tcPr>
          <w:p w14:paraId="5B0CDC3F" w14:textId="77777777" w:rsidR="002A4F0C" w:rsidRPr="002A4F0C" w:rsidRDefault="002A4F0C" w:rsidP="002A4F0C">
            <w:pPr>
              <w:spacing w:line="240" w:lineRule="auto"/>
              <w:rPr>
                <w:rFonts w:ascii="Arial" w:hAnsi="Arial"/>
                <w:szCs w:val="22"/>
              </w:rPr>
            </w:pPr>
            <w:r w:rsidRPr="002A4F0C">
              <w:rPr>
                <w:rFonts w:ascii="Arial" w:hAnsi="Arial"/>
                <w:szCs w:val="22"/>
              </w:rPr>
              <w:t>Schumm WR, Reppert EJ, Jurich AP, Bollman SR, et al (2002). Self-reported changes in subjective health and anthrax vaccination as reported by over 900 Persian Gulf war veterans. Psychological Reports, 90: 639-53.</w:t>
            </w:r>
          </w:p>
        </w:tc>
      </w:tr>
      <w:tr w:rsidR="002A4F0C" w:rsidRPr="002A4F0C" w14:paraId="23D4C5C0" w14:textId="77777777" w:rsidTr="002A4F0C">
        <w:trPr>
          <w:cantSplit/>
        </w:trPr>
        <w:tc>
          <w:tcPr>
            <w:tcW w:w="1575" w:type="dxa"/>
            <w:shd w:val="clear" w:color="auto" w:fill="auto"/>
            <w:noWrap/>
            <w:vAlign w:val="center"/>
          </w:tcPr>
          <w:p w14:paraId="613B09CF"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27135</w:t>
            </w:r>
          </w:p>
        </w:tc>
        <w:tc>
          <w:tcPr>
            <w:tcW w:w="7938" w:type="dxa"/>
            <w:shd w:val="clear" w:color="auto" w:fill="auto"/>
            <w:vAlign w:val="bottom"/>
          </w:tcPr>
          <w:p w14:paraId="30F43652" w14:textId="77777777" w:rsidR="002A4F0C" w:rsidRPr="002A4F0C" w:rsidRDefault="002A4F0C" w:rsidP="002A4F0C">
            <w:pPr>
              <w:spacing w:line="240" w:lineRule="auto"/>
              <w:rPr>
                <w:rFonts w:ascii="Arial" w:hAnsi="Arial"/>
                <w:szCs w:val="22"/>
              </w:rPr>
            </w:pPr>
            <w:r w:rsidRPr="002A4F0C">
              <w:rPr>
                <w:rFonts w:ascii="Arial" w:hAnsi="Arial"/>
                <w:szCs w:val="22"/>
              </w:rPr>
              <w:t>Schumm WR, Reppert EJ, Jurich AP, Bollman SR, et al (2002). Pyridostigmine bromide and the long-term subjective health status of a sample of over 700 male reserve component Gulf War era veterans. Psychological Reports, 90: 707-21.</w:t>
            </w:r>
          </w:p>
        </w:tc>
      </w:tr>
      <w:tr w:rsidR="002A4F0C" w:rsidRPr="002A4F0C" w14:paraId="19B306E6" w14:textId="77777777" w:rsidTr="002A4F0C">
        <w:trPr>
          <w:cantSplit/>
        </w:trPr>
        <w:tc>
          <w:tcPr>
            <w:tcW w:w="1575" w:type="dxa"/>
            <w:shd w:val="clear" w:color="auto" w:fill="auto"/>
            <w:noWrap/>
            <w:vAlign w:val="center"/>
          </w:tcPr>
          <w:p w14:paraId="34B3280C"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27136</w:t>
            </w:r>
          </w:p>
        </w:tc>
        <w:tc>
          <w:tcPr>
            <w:tcW w:w="7938" w:type="dxa"/>
            <w:shd w:val="clear" w:color="auto" w:fill="auto"/>
            <w:vAlign w:val="bottom"/>
          </w:tcPr>
          <w:p w14:paraId="58143145" w14:textId="77777777" w:rsidR="002A4F0C" w:rsidRPr="002A4F0C" w:rsidRDefault="002A4F0C" w:rsidP="002A4F0C">
            <w:pPr>
              <w:spacing w:line="240" w:lineRule="auto"/>
              <w:rPr>
                <w:rFonts w:ascii="Arial" w:hAnsi="Arial"/>
                <w:szCs w:val="22"/>
              </w:rPr>
            </w:pPr>
            <w:r w:rsidRPr="002A4F0C">
              <w:rPr>
                <w:rFonts w:ascii="Arial" w:hAnsi="Arial"/>
                <w:szCs w:val="22"/>
              </w:rPr>
              <w:t>Erickson DJ, Wolfe J, King DW, King LA, et al (2001). Posttraumatic stress disorder and depression symptomatology in a sample of Gulf War veterans: A prospective analysis. Journal of Consulting and Clinical Psychology, 69(1): 41-9.</w:t>
            </w:r>
          </w:p>
        </w:tc>
      </w:tr>
      <w:tr w:rsidR="002A4F0C" w:rsidRPr="002A4F0C" w14:paraId="5F070976" w14:textId="77777777" w:rsidTr="002A4F0C">
        <w:trPr>
          <w:cantSplit/>
        </w:trPr>
        <w:tc>
          <w:tcPr>
            <w:tcW w:w="1575" w:type="dxa"/>
            <w:shd w:val="clear" w:color="auto" w:fill="auto"/>
            <w:noWrap/>
            <w:vAlign w:val="center"/>
          </w:tcPr>
          <w:p w14:paraId="041C6F70"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27145</w:t>
            </w:r>
          </w:p>
        </w:tc>
        <w:tc>
          <w:tcPr>
            <w:tcW w:w="7938" w:type="dxa"/>
            <w:shd w:val="clear" w:color="auto" w:fill="auto"/>
            <w:vAlign w:val="bottom"/>
          </w:tcPr>
          <w:p w14:paraId="51EBD2E9" w14:textId="77777777" w:rsidR="002A4F0C" w:rsidRPr="002A4F0C" w:rsidRDefault="002A4F0C" w:rsidP="002A4F0C">
            <w:pPr>
              <w:spacing w:line="240" w:lineRule="auto"/>
              <w:rPr>
                <w:rFonts w:ascii="Arial" w:hAnsi="Arial"/>
                <w:szCs w:val="22"/>
              </w:rPr>
            </w:pPr>
            <w:r w:rsidRPr="002A4F0C">
              <w:rPr>
                <w:rFonts w:ascii="Arial" w:hAnsi="Arial"/>
                <w:szCs w:val="22"/>
              </w:rPr>
              <w:t>Higgins EM, Ismail K, Kant K, Harman K (2002). Skin disease in Gulf war veterans. Quarterly Journal of Medicine, Vol 95 pp 671-6.</w:t>
            </w:r>
          </w:p>
        </w:tc>
      </w:tr>
      <w:tr w:rsidR="002A4F0C" w:rsidRPr="002A4F0C" w14:paraId="17DC6670" w14:textId="77777777" w:rsidTr="002A4F0C">
        <w:trPr>
          <w:cantSplit/>
        </w:trPr>
        <w:tc>
          <w:tcPr>
            <w:tcW w:w="1575" w:type="dxa"/>
            <w:shd w:val="clear" w:color="auto" w:fill="auto"/>
            <w:noWrap/>
            <w:vAlign w:val="center"/>
          </w:tcPr>
          <w:p w14:paraId="2C02E563"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27146</w:t>
            </w:r>
          </w:p>
        </w:tc>
        <w:tc>
          <w:tcPr>
            <w:tcW w:w="7938" w:type="dxa"/>
            <w:shd w:val="clear" w:color="auto" w:fill="auto"/>
            <w:vAlign w:val="bottom"/>
          </w:tcPr>
          <w:p w14:paraId="0626C190" w14:textId="77777777" w:rsidR="002A4F0C" w:rsidRPr="002A4F0C" w:rsidRDefault="002A4F0C" w:rsidP="002A4F0C">
            <w:pPr>
              <w:spacing w:line="240" w:lineRule="auto"/>
              <w:rPr>
                <w:rFonts w:ascii="Arial" w:hAnsi="Arial"/>
                <w:szCs w:val="22"/>
              </w:rPr>
            </w:pPr>
            <w:r w:rsidRPr="002A4F0C">
              <w:rPr>
                <w:rFonts w:ascii="Arial" w:hAnsi="Arial"/>
                <w:szCs w:val="22"/>
              </w:rPr>
              <w:t>Stimpson NJ, Thomas HV (1999). Gulf health research - past, present and future. Journal of the Royal Society of Medicine, Vol 92 pp 476-7.</w:t>
            </w:r>
          </w:p>
        </w:tc>
      </w:tr>
      <w:tr w:rsidR="002A4F0C" w:rsidRPr="002A4F0C" w14:paraId="4F45E815" w14:textId="77777777" w:rsidTr="002A4F0C">
        <w:trPr>
          <w:cantSplit/>
        </w:trPr>
        <w:tc>
          <w:tcPr>
            <w:tcW w:w="1575" w:type="dxa"/>
            <w:shd w:val="clear" w:color="auto" w:fill="auto"/>
            <w:noWrap/>
            <w:vAlign w:val="center"/>
          </w:tcPr>
          <w:p w14:paraId="7D52A835"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27147</w:t>
            </w:r>
          </w:p>
        </w:tc>
        <w:tc>
          <w:tcPr>
            <w:tcW w:w="7938" w:type="dxa"/>
            <w:shd w:val="clear" w:color="auto" w:fill="auto"/>
            <w:vAlign w:val="bottom"/>
          </w:tcPr>
          <w:p w14:paraId="670BEB11" w14:textId="77777777" w:rsidR="002A4F0C" w:rsidRPr="002A4F0C" w:rsidRDefault="002A4F0C" w:rsidP="002A4F0C">
            <w:pPr>
              <w:spacing w:line="240" w:lineRule="auto"/>
              <w:rPr>
                <w:rFonts w:ascii="Arial" w:hAnsi="Arial"/>
                <w:szCs w:val="22"/>
              </w:rPr>
            </w:pPr>
            <w:r w:rsidRPr="002A4F0C">
              <w:rPr>
                <w:rFonts w:ascii="Arial" w:hAnsi="Arial"/>
                <w:szCs w:val="22"/>
              </w:rPr>
              <w:t>Carnall D, (2000). Gulf war syndrome. BMJ, Vol 320 p 1414.</w:t>
            </w:r>
          </w:p>
        </w:tc>
      </w:tr>
      <w:tr w:rsidR="002A4F0C" w:rsidRPr="002A4F0C" w14:paraId="7E43D392" w14:textId="77777777" w:rsidTr="002A4F0C">
        <w:trPr>
          <w:cantSplit/>
        </w:trPr>
        <w:tc>
          <w:tcPr>
            <w:tcW w:w="1575" w:type="dxa"/>
            <w:shd w:val="clear" w:color="auto" w:fill="auto"/>
            <w:noWrap/>
            <w:vAlign w:val="center"/>
          </w:tcPr>
          <w:p w14:paraId="47E53F9A"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27148</w:t>
            </w:r>
          </w:p>
        </w:tc>
        <w:tc>
          <w:tcPr>
            <w:tcW w:w="7938" w:type="dxa"/>
            <w:shd w:val="clear" w:color="auto" w:fill="auto"/>
            <w:vAlign w:val="bottom"/>
          </w:tcPr>
          <w:p w14:paraId="40C5C5D8" w14:textId="77777777" w:rsidR="002A4F0C" w:rsidRPr="002A4F0C" w:rsidRDefault="002A4F0C" w:rsidP="002A4F0C">
            <w:pPr>
              <w:spacing w:line="240" w:lineRule="auto"/>
              <w:rPr>
                <w:rFonts w:ascii="Arial" w:hAnsi="Arial"/>
                <w:szCs w:val="22"/>
              </w:rPr>
            </w:pPr>
            <w:r w:rsidRPr="002A4F0C">
              <w:rPr>
                <w:rFonts w:ascii="Arial" w:hAnsi="Arial"/>
                <w:szCs w:val="22"/>
              </w:rPr>
              <w:t>Packerman A, LaManca JJ, Smith SL, Taylor A (2000). Cardiovascular stress responses and their relation to symptoms in Gulf war veterans with fatiguing illness. Psychosomatic Medicine, Vol 62 pp509-16.</w:t>
            </w:r>
          </w:p>
        </w:tc>
      </w:tr>
      <w:tr w:rsidR="002A4F0C" w:rsidRPr="002A4F0C" w14:paraId="26BCADCB" w14:textId="77777777" w:rsidTr="002A4F0C">
        <w:trPr>
          <w:cantSplit/>
        </w:trPr>
        <w:tc>
          <w:tcPr>
            <w:tcW w:w="1575" w:type="dxa"/>
            <w:shd w:val="clear" w:color="auto" w:fill="auto"/>
            <w:noWrap/>
            <w:vAlign w:val="center"/>
          </w:tcPr>
          <w:p w14:paraId="0B187BA8"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27149</w:t>
            </w:r>
          </w:p>
        </w:tc>
        <w:tc>
          <w:tcPr>
            <w:tcW w:w="7938" w:type="dxa"/>
            <w:shd w:val="clear" w:color="auto" w:fill="auto"/>
            <w:vAlign w:val="bottom"/>
          </w:tcPr>
          <w:p w14:paraId="454C99FF" w14:textId="77777777" w:rsidR="002A4F0C" w:rsidRPr="002A4F0C" w:rsidRDefault="002A4F0C" w:rsidP="002A4F0C">
            <w:pPr>
              <w:spacing w:line="240" w:lineRule="auto"/>
              <w:rPr>
                <w:rFonts w:ascii="Arial" w:hAnsi="Arial"/>
                <w:szCs w:val="22"/>
              </w:rPr>
            </w:pPr>
            <w:r w:rsidRPr="002A4F0C">
              <w:rPr>
                <w:rFonts w:ascii="Arial" w:hAnsi="Arial"/>
                <w:szCs w:val="22"/>
              </w:rPr>
              <w:t>Storzbach D, Campbell KA, Binder LM, McCauley L (2000). Psychological differences between veterans with and without Gulf war unexplained symptoms. Psychosomatic Medicine, Vol 62 pp 726-35.</w:t>
            </w:r>
          </w:p>
        </w:tc>
      </w:tr>
      <w:tr w:rsidR="002A4F0C" w:rsidRPr="002A4F0C" w14:paraId="02C88D7E" w14:textId="77777777" w:rsidTr="002A4F0C">
        <w:trPr>
          <w:cantSplit/>
        </w:trPr>
        <w:tc>
          <w:tcPr>
            <w:tcW w:w="1575" w:type="dxa"/>
            <w:shd w:val="clear" w:color="auto" w:fill="auto"/>
            <w:noWrap/>
            <w:vAlign w:val="center"/>
          </w:tcPr>
          <w:p w14:paraId="2F641CA3"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27150</w:t>
            </w:r>
          </w:p>
        </w:tc>
        <w:tc>
          <w:tcPr>
            <w:tcW w:w="7938" w:type="dxa"/>
            <w:shd w:val="clear" w:color="auto" w:fill="auto"/>
            <w:vAlign w:val="bottom"/>
          </w:tcPr>
          <w:p w14:paraId="2EAB7587" w14:textId="77777777" w:rsidR="002A4F0C" w:rsidRPr="002A4F0C" w:rsidRDefault="002A4F0C" w:rsidP="002A4F0C">
            <w:pPr>
              <w:spacing w:line="240" w:lineRule="auto"/>
              <w:rPr>
                <w:rFonts w:ascii="Arial" w:hAnsi="Arial"/>
                <w:szCs w:val="22"/>
              </w:rPr>
            </w:pPr>
            <w:r w:rsidRPr="002A4F0C">
              <w:rPr>
                <w:rFonts w:ascii="Arial" w:hAnsi="Arial"/>
                <w:szCs w:val="22"/>
              </w:rPr>
              <w:t>Milner IB, Axelrod BN (1999). Illness in Gulf War veterans: review and update. Public Health Review, Vol 27 pp 263-77.</w:t>
            </w:r>
          </w:p>
        </w:tc>
      </w:tr>
      <w:tr w:rsidR="002A4F0C" w:rsidRPr="002A4F0C" w14:paraId="4913B94F" w14:textId="77777777" w:rsidTr="002A4F0C">
        <w:trPr>
          <w:cantSplit/>
        </w:trPr>
        <w:tc>
          <w:tcPr>
            <w:tcW w:w="1575" w:type="dxa"/>
            <w:shd w:val="clear" w:color="auto" w:fill="auto"/>
            <w:noWrap/>
            <w:vAlign w:val="center"/>
          </w:tcPr>
          <w:p w14:paraId="62E8DF42"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27151</w:t>
            </w:r>
          </w:p>
        </w:tc>
        <w:tc>
          <w:tcPr>
            <w:tcW w:w="7938" w:type="dxa"/>
            <w:shd w:val="clear" w:color="auto" w:fill="auto"/>
            <w:vAlign w:val="bottom"/>
          </w:tcPr>
          <w:p w14:paraId="1AC9C192" w14:textId="77777777" w:rsidR="002A4F0C" w:rsidRPr="002A4F0C" w:rsidRDefault="002A4F0C" w:rsidP="002A4F0C">
            <w:pPr>
              <w:spacing w:line="240" w:lineRule="auto"/>
              <w:rPr>
                <w:rFonts w:ascii="Arial" w:hAnsi="Arial"/>
                <w:szCs w:val="22"/>
              </w:rPr>
            </w:pPr>
            <w:r w:rsidRPr="002A4F0C">
              <w:rPr>
                <w:rFonts w:ascii="Arial" w:hAnsi="Arial"/>
                <w:szCs w:val="22"/>
              </w:rPr>
              <w:t>Sartin JS; Roland PS, Haley RW, Yellin W, Owens K, Shoup AG (2001)[LETTERS]. Vestibular toxicity is unproven as the cause of Gulf War syndrome. Otolaryngology - Head and Neck Surgery, 124(2) pp 238-40.</w:t>
            </w:r>
          </w:p>
        </w:tc>
      </w:tr>
      <w:tr w:rsidR="002A4F0C" w:rsidRPr="002A4F0C" w14:paraId="7D0B6843" w14:textId="77777777" w:rsidTr="002A4F0C">
        <w:trPr>
          <w:cantSplit/>
        </w:trPr>
        <w:tc>
          <w:tcPr>
            <w:tcW w:w="1575" w:type="dxa"/>
            <w:shd w:val="clear" w:color="auto" w:fill="auto"/>
            <w:noWrap/>
            <w:vAlign w:val="center"/>
          </w:tcPr>
          <w:p w14:paraId="14B8D92E"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27152</w:t>
            </w:r>
          </w:p>
        </w:tc>
        <w:tc>
          <w:tcPr>
            <w:tcW w:w="7938" w:type="dxa"/>
            <w:shd w:val="clear" w:color="auto" w:fill="auto"/>
            <w:vAlign w:val="bottom"/>
          </w:tcPr>
          <w:p w14:paraId="12706626" w14:textId="77777777" w:rsidR="002A4F0C" w:rsidRPr="002A4F0C" w:rsidRDefault="002A4F0C" w:rsidP="002A4F0C">
            <w:pPr>
              <w:spacing w:line="240" w:lineRule="auto"/>
              <w:rPr>
                <w:rFonts w:ascii="Arial" w:hAnsi="Arial"/>
                <w:szCs w:val="22"/>
              </w:rPr>
            </w:pPr>
            <w:r w:rsidRPr="002A4F0C">
              <w:rPr>
                <w:rFonts w:ascii="Arial" w:hAnsi="Arial"/>
                <w:szCs w:val="22"/>
              </w:rPr>
              <w:t>Ishoy T, Andersson A, Suadicani P, Guldager B, Appleyard M (2001). Major reproductive health characteristics in male Gulf War veterans. Danish Medical Bulletin, 48(1) pp 29-32.</w:t>
            </w:r>
          </w:p>
        </w:tc>
      </w:tr>
      <w:tr w:rsidR="002A4F0C" w:rsidRPr="002A4F0C" w14:paraId="38FF8E12" w14:textId="77777777" w:rsidTr="002A4F0C">
        <w:trPr>
          <w:cantSplit/>
        </w:trPr>
        <w:tc>
          <w:tcPr>
            <w:tcW w:w="1575" w:type="dxa"/>
            <w:shd w:val="clear" w:color="auto" w:fill="auto"/>
            <w:noWrap/>
            <w:vAlign w:val="center"/>
          </w:tcPr>
          <w:p w14:paraId="39ABD5D7"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27153</w:t>
            </w:r>
          </w:p>
        </w:tc>
        <w:tc>
          <w:tcPr>
            <w:tcW w:w="7938" w:type="dxa"/>
            <w:shd w:val="clear" w:color="auto" w:fill="auto"/>
            <w:vAlign w:val="bottom"/>
          </w:tcPr>
          <w:p w14:paraId="10376A8E" w14:textId="77777777" w:rsidR="002A4F0C" w:rsidRPr="002A4F0C" w:rsidRDefault="002A4F0C" w:rsidP="002A4F0C">
            <w:pPr>
              <w:spacing w:line="240" w:lineRule="auto"/>
              <w:rPr>
                <w:rFonts w:ascii="Arial" w:hAnsi="Arial"/>
                <w:szCs w:val="22"/>
              </w:rPr>
            </w:pPr>
            <w:r w:rsidRPr="002A4F0C">
              <w:rPr>
                <w:rFonts w:ascii="Arial" w:hAnsi="Arial"/>
                <w:szCs w:val="22"/>
              </w:rPr>
              <w:t>Wessely S (2001). Ten years on: what do we know about the Gulf War syndrome? Clinical Medicine, 1(1) pp 28-37.</w:t>
            </w:r>
          </w:p>
        </w:tc>
      </w:tr>
      <w:tr w:rsidR="002A4F0C" w:rsidRPr="002A4F0C" w14:paraId="4DBA4AF1" w14:textId="77777777" w:rsidTr="002A4F0C">
        <w:trPr>
          <w:cantSplit/>
        </w:trPr>
        <w:tc>
          <w:tcPr>
            <w:tcW w:w="1575" w:type="dxa"/>
            <w:shd w:val="clear" w:color="auto" w:fill="auto"/>
            <w:noWrap/>
            <w:vAlign w:val="center"/>
          </w:tcPr>
          <w:p w14:paraId="3EFA2321"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27154</w:t>
            </w:r>
          </w:p>
        </w:tc>
        <w:tc>
          <w:tcPr>
            <w:tcW w:w="7938" w:type="dxa"/>
            <w:shd w:val="clear" w:color="auto" w:fill="auto"/>
            <w:vAlign w:val="bottom"/>
          </w:tcPr>
          <w:p w14:paraId="1D22739F" w14:textId="77777777" w:rsidR="002A4F0C" w:rsidRPr="002A4F0C" w:rsidRDefault="002A4F0C" w:rsidP="002A4F0C">
            <w:pPr>
              <w:spacing w:line="240" w:lineRule="auto"/>
              <w:rPr>
                <w:rFonts w:ascii="Arial" w:hAnsi="Arial"/>
                <w:szCs w:val="22"/>
              </w:rPr>
            </w:pPr>
            <w:r w:rsidRPr="002A4F0C">
              <w:rPr>
                <w:rFonts w:ascii="Arial" w:hAnsi="Arial"/>
                <w:szCs w:val="22"/>
              </w:rPr>
              <w:t>Watkins P (2001)[EDITORIAL]. Understanding illness - lessons from the Gulf War. Clinical Medicine, 1(1) pp 5-6.</w:t>
            </w:r>
          </w:p>
        </w:tc>
      </w:tr>
      <w:tr w:rsidR="002A4F0C" w:rsidRPr="002A4F0C" w14:paraId="2F19A1F2" w14:textId="77777777" w:rsidTr="002A4F0C">
        <w:trPr>
          <w:cantSplit/>
        </w:trPr>
        <w:tc>
          <w:tcPr>
            <w:tcW w:w="1575" w:type="dxa"/>
            <w:shd w:val="clear" w:color="auto" w:fill="auto"/>
            <w:noWrap/>
            <w:vAlign w:val="center"/>
          </w:tcPr>
          <w:p w14:paraId="7ED9D185"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27155</w:t>
            </w:r>
          </w:p>
        </w:tc>
        <w:tc>
          <w:tcPr>
            <w:tcW w:w="7938" w:type="dxa"/>
            <w:shd w:val="clear" w:color="auto" w:fill="auto"/>
            <w:vAlign w:val="bottom"/>
          </w:tcPr>
          <w:p w14:paraId="0547D095" w14:textId="77777777" w:rsidR="002A4F0C" w:rsidRPr="002A4F0C" w:rsidRDefault="002A4F0C" w:rsidP="002A4F0C">
            <w:pPr>
              <w:spacing w:line="240" w:lineRule="auto"/>
              <w:rPr>
                <w:rFonts w:ascii="Arial" w:hAnsi="Arial"/>
                <w:szCs w:val="22"/>
              </w:rPr>
            </w:pPr>
            <w:r w:rsidRPr="002A4F0C">
              <w:rPr>
                <w:rFonts w:ascii="Arial" w:hAnsi="Arial"/>
                <w:szCs w:val="22"/>
              </w:rPr>
              <w:t>Bregenholt S, Ishoy T, Skovgaard LT, Suadicani P, et al (2001). No evidence for altered cellular immune functions in personnel deployed in the Persian Gulf during and after the Gulf War - The Danish Gulf War study. APMIS, 109(7-8) pp 517-24.</w:t>
            </w:r>
          </w:p>
        </w:tc>
      </w:tr>
      <w:tr w:rsidR="002A4F0C" w:rsidRPr="002A4F0C" w14:paraId="4002859C" w14:textId="77777777" w:rsidTr="002A4F0C">
        <w:trPr>
          <w:cantSplit/>
        </w:trPr>
        <w:tc>
          <w:tcPr>
            <w:tcW w:w="1575" w:type="dxa"/>
            <w:shd w:val="clear" w:color="auto" w:fill="auto"/>
            <w:noWrap/>
            <w:vAlign w:val="center"/>
          </w:tcPr>
          <w:p w14:paraId="05669523"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27156</w:t>
            </w:r>
          </w:p>
        </w:tc>
        <w:tc>
          <w:tcPr>
            <w:tcW w:w="7938" w:type="dxa"/>
            <w:shd w:val="clear" w:color="auto" w:fill="auto"/>
            <w:vAlign w:val="bottom"/>
          </w:tcPr>
          <w:p w14:paraId="4B74197C" w14:textId="77777777" w:rsidR="002A4F0C" w:rsidRPr="002A4F0C" w:rsidRDefault="002A4F0C" w:rsidP="002A4F0C">
            <w:pPr>
              <w:spacing w:line="240" w:lineRule="auto"/>
              <w:rPr>
                <w:rFonts w:ascii="Arial" w:hAnsi="Arial"/>
                <w:szCs w:val="22"/>
              </w:rPr>
            </w:pPr>
            <w:r w:rsidRPr="002A4F0C">
              <w:rPr>
                <w:rFonts w:ascii="Arial" w:hAnsi="Arial"/>
                <w:szCs w:val="22"/>
              </w:rPr>
              <w:t>Hyams KC, Riddle J, Trump DH, Graham JT (2001). Endemic infectious diseases and biological warfare during the Gulf War: A decade of analysis and final concerns. American Journal of Tropical Medicine and Hygiene, 65(5) pp 664-70.</w:t>
            </w:r>
          </w:p>
        </w:tc>
      </w:tr>
      <w:tr w:rsidR="002A4F0C" w:rsidRPr="002A4F0C" w14:paraId="31375BB3" w14:textId="77777777" w:rsidTr="002A4F0C">
        <w:trPr>
          <w:cantSplit/>
        </w:trPr>
        <w:tc>
          <w:tcPr>
            <w:tcW w:w="1575" w:type="dxa"/>
            <w:shd w:val="clear" w:color="auto" w:fill="auto"/>
            <w:noWrap/>
            <w:vAlign w:val="center"/>
          </w:tcPr>
          <w:p w14:paraId="3BCC8A2A"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27158</w:t>
            </w:r>
          </w:p>
        </w:tc>
        <w:tc>
          <w:tcPr>
            <w:tcW w:w="7938" w:type="dxa"/>
            <w:shd w:val="clear" w:color="auto" w:fill="auto"/>
            <w:vAlign w:val="bottom"/>
          </w:tcPr>
          <w:p w14:paraId="30DD3497" w14:textId="77777777" w:rsidR="002A4F0C" w:rsidRPr="002A4F0C" w:rsidRDefault="002A4F0C" w:rsidP="002A4F0C">
            <w:pPr>
              <w:spacing w:line="240" w:lineRule="auto"/>
              <w:rPr>
                <w:rFonts w:ascii="Arial" w:hAnsi="Arial"/>
                <w:szCs w:val="22"/>
              </w:rPr>
            </w:pPr>
            <w:r w:rsidRPr="002A4F0C">
              <w:rPr>
                <w:rFonts w:ascii="Arial" w:hAnsi="Arial"/>
                <w:szCs w:val="22"/>
              </w:rPr>
              <w:t>Lee HA, Gabriel R, Bolton JP, Bale AJ, Jackson M (2002). Health status and clinical diagnoses of 3000 UK Gulf War veterans. Journal of the Royal Society of Medicine, 95(10) pp 491-7.</w:t>
            </w:r>
          </w:p>
        </w:tc>
      </w:tr>
      <w:tr w:rsidR="002A4F0C" w:rsidRPr="002A4F0C" w14:paraId="6F069CF7" w14:textId="77777777" w:rsidTr="002A4F0C">
        <w:trPr>
          <w:cantSplit/>
        </w:trPr>
        <w:tc>
          <w:tcPr>
            <w:tcW w:w="1575" w:type="dxa"/>
            <w:shd w:val="clear" w:color="auto" w:fill="auto"/>
            <w:noWrap/>
            <w:vAlign w:val="center"/>
          </w:tcPr>
          <w:p w14:paraId="33C5A983"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27159</w:t>
            </w:r>
          </w:p>
        </w:tc>
        <w:tc>
          <w:tcPr>
            <w:tcW w:w="7938" w:type="dxa"/>
            <w:shd w:val="clear" w:color="auto" w:fill="auto"/>
            <w:vAlign w:val="bottom"/>
          </w:tcPr>
          <w:p w14:paraId="4104C501" w14:textId="77777777" w:rsidR="002A4F0C" w:rsidRPr="002A4F0C" w:rsidRDefault="002A4F0C" w:rsidP="002A4F0C">
            <w:pPr>
              <w:spacing w:line="240" w:lineRule="auto"/>
              <w:rPr>
                <w:rFonts w:ascii="Arial" w:hAnsi="Arial"/>
                <w:szCs w:val="22"/>
              </w:rPr>
            </w:pPr>
            <w:r w:rsidRPr="002A4F0C">
              <w:rPr>
                <w:rFonts w:ascii="Arial" w:hAnsi="Arial"/>
                <w:szCs w:val="22"/>
              </w:rPr>
              <w:t>Everitt B, Ismail K, David AS, Wessely S (2002). Searching for a Gulf War syndrome using cluster analysis. Psychological Medicine, 32(8) pp 1371-8.</w:t>
            </w:r>
          </w:p>
        </w:tc>
      </w:tr>
      <w:tr w:rsidR="002A4F0C" w:rsidRPr="002A4F0C" w14:paraId="466AC165" w14:textId="77777777" w:rsidTr="002A4F0C">
        <w:trPr>
          <w:cantSplit/>
        </w:trPr>
        <w:tc>
          <w:tcPr>
            <w:tcW w:w="1575" w:type="dxa"/>
            <w:shd w:val="clear" w:color="auto" w:fill="auto"/>
            <w:noWrap/>
            <w:vAlign w:val="center"/>
          </w:tcPr>
          <w:p w14:paraId="6BC09542"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27196</w:t>
            </w:r>
          </w:p>
        </w:tc>
        <w:tc>
          <w:tcPr>
            <w:tcW w:w="7938" w:type="dxa"/>
            <w:shd w:val="clear" w:color="auto" w:fill="auto"/>
            <w:vAlign w:val="bottom"/>
          </w:tcPr>
          <w:p w14:paraId="562AE39C" w14:textId="77777777" w:rsidR="002A4F0C" w:rsidRPr="002A4F0C" w:rsidRDefault="002A4F0C" w:rsidP="002A4F0C">
            <w:pPr>
              <w:spacing w:line="240" w:lineRule="auto"/>
              <w:rPr>
                <w:rFonts w:ascii="Arial" w:hAnsi="Arial"/>
                <w:szCs w:val="22"/>
              </w:rPr>
            </w:pPr>
            <w:r w:rsidRPr="002A4F0C">
              <w:rPr>
                <w:rFonts w:ascii="Arial" w:hAnsi="Arial"/>
                <w:szCs w:val="22"/>
              </w:rPr>
              <w:t>Roland PS, Haley RW, Yellin W, Owens K, Shoup AG (2000). Vestibular dysfunction in Gulf War syndrome. Otolaryngology - Head and Neck Surgery, 122(3) pp 319-29.</w:t>
            </w:r>
          </w:p>
        </w:tc>
      </w:tr>
      <w:tr w:rsidR="002A4F0C" w:rsidRPr="002A4F0C" w14:paraId="3F1C7625" w14:textId="77777777" w:rsidTr="002A4F0C">
        <w:trPr>
          <w:cantSplit/>
        </w:trPr>
        <w:tc>
          <w:tcPr>
            <w:tcW w:w="1575" w:type="dxa"/>
            <w:shd w:val="clear" w:color="auto" w:fill="auto"/>
            <w:noWrap/>
            <w:vAlign w:val="center"/>
          </w:tcPr>
          <w:p w14:paraId="088A24D9"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27197</w:t>
            </w:r>
          </w:p>
        </w:tc>
        <w:tc>
          <w:tcPr>
            <w:tcW w:w="7938" w:type="dxa"/>
            <w:shd w:val="clear" w:color="auto" w:fill="auto"/>
            <w:vAlign w:val="bottom"/>
          </w:tcPr>
          <w:p w14:paraId="36B4548D" w14:textId="77777777" w:rsidR="002A4F0C" w:rsidRPr="002A4F0C" w:rsidRDefault="002A4F0C" w:rsidP="002A4F0C">
            <w:pPr>
              <w:spacing w:line="240" w:lineRule="auto"/>
              <w:rPr>
                <w:rFonts w:ascii="Arial" w:hAnsi="Arial"/>
                <w:szCs w:val="22"/>
              </w:rPr>
            </w:pPr>
            <w:r w:rsidRPr="002A4F0C">
              <w:rPr>
                <w:rFonts w:ascii="Arial" w:hAnsi="Arial"/>
                <w:szCs w:val="22"/>
              </w:rPr>
              <w:t>Engel CC, Liu X, Clymer R, Miller RF, et al (2000). Rehabilitative care of war-related health concerns. J Occup Environ Med, 42(4) pp 385-90.</w:t>
            </w:r>
          </w:p>
        </w:tc>
      </w:tr>
      <w:tr w:rsidR="002A4F0C" w:rsidRPr="002A4F0C" w14:paraId="46B6EEC9" w14:textId="77777777" w:rsidTr="002A4F0C">
        <w:trPr>
          <w:cantSplit/>
        </w:trPr>
        <w:tc>
          <w:tcPr>
            <w:tcW w:w="1575" w:type="dxa"/>
            <w:shd w:val="clear" w:color="auto" w:fill="auto"/>
            <w:noWrap/>
            <w:vAlign w:val="center"/>
          </w:tcPr>
          <w:p w14:paraId="41ED49E0" w14:textId="77777777" w:rsidR="002A4F0C" w:rsidRPr="002A4F0C" w:rsidRDefault="002A4F0C" w:rsidP="002A4F0C">
            <w:pPr>
              <w:spacing w:line="240" w:lineRule="auto"/>
              <w:jc w:val="center"/>
              <w:rPr>
                <w:rFonts w:ascii="Arial" w:hAnsi="Arial"/>
                <w:szCs w:val="22"/>
              </w:rPr>
            </w:pPr>
            <w:r w:rsidRPr="002A4F0C">
              <w:rPr>
                <w:rFonts w:ascii="Arial" w:hAnsi="Arial"/>
                <w:szCs w:val="22"/>
              </w:rPr>
              <w:t>27198</w:t>
            </w:r>
          </w:p>
        </w:tc>
        <w:tc>
          <w:tcPr>
            <w:tcW w:w="7938" w:type="dxa"/>
            <w:shd w:val="clear" w:color="auto" w:fill="auto"/>
            <w:vAlign w:val="bottom"/>
          </w:tcPr>
          <w:p w14:paraId="4737E773" w14:textId="77777777" w:rsidR="002A4F0C" w:rsidRPr="002A4F0C" w:rsidRDefault="002A4F0C" w:rsidP="002A4F0C">
            <w:pPr>
              <w:spacing w:line="240" w:lineRule="auto"/>
              <w:rPr>
                <w:rFonts w:ascii="Arial" w:hAnsi="Arial"/>
                <w:szCs w:val="22"/>
              </w:rPr>
            </w:pPr>
            <w:r w:rsidRPr="002A4F0C">
              <w:rPr>
                <w:rFonts w:ascii="Arial" w:hAnsi="Arial"/>
                <w:szCs w:val="22"/>
              </w:rPr>
              <w:t>Zermann D, Ishigooka M, Doggweiler-Wiygul R, Schmidt RA (2001). Chronic perineal pain and lower urinary tract dysfunction - a clinical feature of the "Gulf War Syndrome"? World J Urol, 19(3) pp 213-5.</w:t>
            </w:r>
          </w:p>
        </w:tc>
      </w:tr>
      <w:tr w:rsidR="002A4F0C" w:rsidRPr="002A4F0C" w14:paraId="09831E82" w14:textId="77777777" w:rsidTr="002A4F0C">
        <w:trPr>
          <w:cantSplit/>
        </w:trPr>
        <w:tc>
          <w:tcPr>
            <w:tcW w:w="1575" w:type="dxa"/>
            <w:shd w:val="clear" w:color="auto" w:fill="auto"/>
            <w:noWrap/>
            <w:vAlign w:val="center"/>
          </w:tcPr>
          <w:p w14:paraId="72F35DD9" w14:textId="77777777" w:rsidR="002A4F0C" w:rsidRPr="002A4F0C" w:rsidRDefault="002A4F0C" w:rsidP="002A4F0C">
            <w:pPr>
              <w:spacing w:line="240" w:lineRule="auto"/>
              <w:jc w:val="center"/>
              <w:rPr>
                <w:rFonts w:ascii="Arial" w:hAnsi="Arial"/>
                <w:szCs w:val="22"/>
              </w:rPr>
            </w:pPr>
            <w:r w:rsidRPr="002A4F0C">
              <w:rPr>
                <w:rFonts w:ascii="Arial" w:hAnsi="Arial"/>
                <w:szCs w:val="22"/>
              </w:rPr>
              <w:t>27385</w:t>
            </w:r>
          </w:p>
        </w:tc>
        <w:tc>
          <w:tcPr>
            <w:tcW w:w="7938" w:type="dxa"/>
            <w:shd w:val="clear" w:color="auto" w:fill="auto"/>
            <w:vAlign w:val="bottom"/>
          </w:tcPr>
          <w:p w14:paraId="7D643CF3" w14:textId="77777777" w:rsidR="002A4F0C" w:rsidRPr="002A4F0C" w:rsidRDefault="002A4F0C" w:rsidP="002A4F0C">
            <w:pPr>
              <w:spacing w:line="240" w:lineRule="auto"/>
              <w:rPr>
                <w:rFonts w:ascii="Arial" w:hAnsi="Arial"/>
                <w:szCs w:val="22"/>
              </w:rPr>
            </w:pPr>
            <w:r w:rsidRPr="002A4F0C">
              <w:rPr>
                <w:rFonts w:ascii="Arial" w:hAnsi="Arial"/>
                <w:szCs w:val="22"/>
              </w:rPr>
              <w:t>US Department of Defence, Winkenwerder W (2003). Environmental exposure report: pesticides. Final Report April 17, 2003. , : . Retrieved 29 April 2003, from www.gulflink.osd.mil/pest_final/index.html</w:t>
            </w:r>
          </w:p>
        </w:tc>
      </w:tr>
      <w:tr w:rsidR="002A4F0C" w:rsidRPr="002A4F0C" w14:paraId="02908D03" w14:textId="77777777" w:rsidTr="002A4F0C">
        <w:trPr>
          <w:cantSplit/>
        </w:trPr>
        <w:tc>
          <w:tcPr>
            <w:tcW w:w="1575" w:type="dxa"/>
            <w:shd w:val="clear" w:color="auto" w:fill="auto"/>
            <w:noWrap/>
            <w:vAlign w:val="center"/>
          </w:tcPr>
          <w:p w14:paraId="063607D2"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27535</w:t>
            </w:r>
          </w:p>
        </w:tc>
        <w:tc>
          <w:tcPr>
            <w:tcW w:w="7938" w:type="dxa"/>
            <w:shd w:val="clear" w:color="auto" w:fill="auto"/>
            <w:vAlign w:val="bottom"/>
          </w:tcPr>
          <w:p w14:paraId="61D6A54E" w14:textId="77777777" w:rsidR="002A4F0C" w:rsidRPr="002A4F0C" w:rsidRDefault="002A4F0C" w:rsidP="002A4F0C">
            <w:pPr>
              <w:spacing w:line="240" w:lineRule="auto"/>
              <w:rPr>
                <w:rFonts w:ascii="Arial" w:hAnsi="Arial"/>
                <w:szCs w:val="22"/>
              </w:rPr>
            </w:pPr>
            <w:r w:rsidRPr="002A4F0C">
              <w:rPr>
                <w:rFonts w:ascii="Arial" w:hAnsi="Arial"/>
                <w:szCs w:val="22"/>
              </w:rPr>
              <w:t>Bunegin L, Mitzel HC, Miller CS, Gelineau JF, Tolstykh GP (2001). Cognitive performance and cerebrohemodynamics associated with the Persian Gulf Syndrome. Toxicology and Industrial Health, 17(4) pp 128-37.</w:t>
            </w:r>
          </w:p>
        </w:tc>
      </w:tr>
      <w:tr w:rsidR="002A4F0C" w:rsidRPr="002A4F0C" w14:paraId="764472BD" w14:textId="77777777" w:rsidTr="002A4F0C">
        <w:trPr>
          <w:cantSplit/>
        </w:trPr>
        <w:tc>
          <w:tcPr>
            <w:tcW w:w="1575" w:type="dxa"/>
            <w:shd w:val="clear" w:color="auto" w:fill="auto"/>
            <w:noWrap/>
            <w:vAlign w:val="center"/>
          </w:tcPr>
          <w:p w14:paraId="7E7E603D"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27536</w:t>
            </w:r>
          </w:p>
        </w:tc>
        <w:tc>
          <w:tcPr>
            <w:tcW w:w="7938" w:type="dxa"/>
            <w:shd w:val="clear" w:color="auto" w:fill="auto"/>
            <w:vAlign w:val="bottom"/>
          </w:tcPr>
          <w:p w14:paraId="513EEE2F" w14:textId="77777777" w:rsidR="002A4F0C" w:rsidRPr="002A4F0C" w:rsidRDefault="002A4F0C" w:rsidP="002A4F0C">
            <w:pPr>
              <w:spacing w:line="240" w:lineRule="auto"/>
              <w:rPr>
                <w:rFonts w:ascii="Arial" w:hAnsi="Arial"/>
                <w:szCs w:val="22"/>
              </w:rPr>
            </w:pPr>
            <w:r w:rsidRPr="002A4F0C">
              <w:rPr>
                <w:rFonts w:ascii="Arial" w:hAnsi="Arial"/>
                <w:szCs w:val="22"/>
              </w:rPr>
              <w:t>Peden-Adams MM, Eudaly J, Eudaly E et al (2001). Evaluation of immunotoxicity induced by single or concurrent exposure to N,N-diethyl-m-toluamide (DEET), pyridostigmine bromide (PYR), and JP-8 jet fuel. Toxicol Ind Health, 17(5-10): 192-209.</w:t>
            </w:r>
          </w:p>
        </w:tc>
      </w:tr>
      <w:tr w:rsidR="002A4F0C" w:rsidRPr="002A4F0C" w14:paraId="0C3372A7" w14:textId="77777777" w:rsidTr="002A4F0C">
        <w:trPr>
          <w:cantSplit/>
        </w:trPr>
        <w:tc>
          <w:tcPr>
            <w:tcW w:w="1575" w:type="dxa"/>
            <w:shd w:val="clear" w:color="auto" w:fill="auto"/>
            <w:noWrap/>
            <w:vAlign w:val="center"/>
          </w:tcPr>
          <w:p w14:paraId="3AF2AB8E"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27537</w:t>
            </w:r>
          </w:p>
        </w:tc>
        <w:tc>
          <w:tcPr>
            <w:tcW w:w="7938" w:type="dxa"/>
            <w:shd w:val="clear" w:color="auto" w:fill="auto"/>
            <w:vAlign w:val="bottom"/>
          </w:tcPr>
          <w:p w14:paraId="0AAC39D6" w14:textId="77777777" w:rsidR="002A4F0C" w:rsidRPr="002A4F0C" w:rsidRDefault="002A4F0C" w:rsidP="002A4F0C">
            <w:pPr>
              <w:spacing w:line="240" w:lineRule="auto"/>
              <w:rPr>
                <w:rFonts w:ascii="Arial" w:hAnsi="Arial"/>
                <w:szCs w:val="22"/>
              </w:rPr>
            </w:pPr>
            <w:r w:rsidRPr="002A4F0C">
              <w:rPr>
                <w:rFonts w:ascii="Arial" w:hAnsi="Arial"/>
                <w:szCs w:val="22"/>
              </w:rPr>
              <w:t>Abu-Qare AW, Abou-Donia MB (2002). Sarin: health effects, metabolism, and methods of analysis. Food &amp; Chemical Toxicity, 40(10): 1327-33.</w:t>
            </w:r>
          </w:p>
        </w:tc>
      </w:tr>
      <w:tr w:rsidR="002A4F0C" w:rsidRPr="002A4F0C" w14:paraId="59B6BA37" w14:textId="77777777" w:rsidTr="002A4F0C">
        <w:trPr>
          <w:cantSplit/>
        </w:trPr>
        <w:tc>
          <w:tcPr>
            <w:tcW w:w="1575" w:type="dxa"/>
            <w:shd w:val="clear" w:color="auto" w:fill="auto"/>
            <w:noWrap/>
            <w:vAlign w:val="center"/>
          </w:tcPr>
          <w:p w14:paraId="2CC23514"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27538</w:t>
            </w:r>
          </w:p>
        </w:tc>
        <w:tc>
          <w:tcPr>
            <w:tcW w:w="7938" w:type="dxa"/>
            <w:shd w:val="clear" w:color="auto" w:fill="auto"/>
            <w:vAlign w:val="bottom"/>
          </w:tcPr>
          <w:p w14:paraId="317B13E3" w14:textId="77777777" w:rsidR="002A4F0C" w:rsidRPr="002A4F0C" w:rsidRDefault="002A4F0C" w:rsidP="002A4F0C">
            <w:pPr>
              <w:spacing w:line="240" w:lineRule="auto"/>
              <w:rPr>
                <w:rFonts w:ascii="Arial" w:hAnsi="Arial"/>
                <w:szCs w:val="22"/>
              </w:rPr>
            </w:pPr>
            <w:r w:rsidRPr="002A4F0C">
              <w:rPr>
                <w:rFonts w:ascii="Arial" w:hAnsi="Arial"/>
                <w:szCs w:val="22"/>
              </w:rPr>
              <w:t>Boni R (2002). Botulinum toxin in warfare. Current Problems in Dermatology, Vol 30 pp 101-6.</w:t>
            </w:r>
          </w:p>
        </w:tc>
      </w:tr>
      <w:tr w:rsidR="002A4F0C" w:rsidRPr="002A4F0C" w14:paraId="400FA81D" w14:textId="77777777" w:rsidTr="002A4F0C">
        <w:trPr>
          <w:cantSplit/>
        </w:trPr>
        <w:tc>
          <w:tcPr>
            <w:tcW w:w="1575" w:type="dxa"/>
            <w:shd w:val="clear" w:color="auto" w:fill="auto"/>
            <w:noWrap/>
            <w:vAlign w:val="center"/>
          </w:tcPr>
          <w:p w14:paraId="5212A626"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27539</w:t>
            </w:r>
          </w:p>
        </w:tc>
        <w:tc>
          <w:tcPr>
            <w:tcW w:w="7938" w:type="dxa"/>
            <w:shd w:val="clear" w:color="auto" w:fill="auto"/>
            <w:vAlign w:val="bottom"/>
          </w:tcPr>
          <w:p w14:paraId="307CD54D" w14:textId="77777777" w:rsidR="002A4F0C" w:rsidRPr="002A4F0C" w:rsidRDefault="002A4F0C" w:rsidP="002A4F0C">
            <w:pPr>
              <w:spacing w:line="240" w:lineRule="auto"/>
              <w:rPr>
                <w:rFonts w:ascii="Arial" w:hAnsi="Arial"/>
                <w:szCs w:val="22"/>
              </w:rPr>
            </w:pPr>
            <w:r w:rsidRPr="002A4F0C">
              <w:rPr>
                <w:rFonts w:ascii="Arial" w:hAnsi="Arial"/>
                <w:szCs w:val="22"/>
              </w:rPr>
              <w:t>Brimacombe M, Zhang Q, Lange G, Natelson BH (2002). Immunological variables mediate cognitive dysfunction in gulf war veterans but not civilians with chronic fatigue syndrome. Neuroimmunomodulation, 10(2) pp 93-100.</w:t>
            </w:r>
          </w:p>
        </w:tc>
      </w:tr>
      <w:tr w:rsidR="002A4F0C" w:rsidRPr="002A4F0C" w14:paraId="70829600" w14:textId="77777777" w:rsidTr="002A4F0C">
        <w:trPr>
          <w:cantSplit/>
        </w:trPr>
        <w:tc>
          <w:tcPr>
            <w:tcW w:w="1575" w:type="dxa"/>
            <w:shd w:val="clear" w:color="auto" w:fill="auto"/>
            <w:noWrap/>
            <w:vAlign w:val="center"/>
          </w:tcPr>
          <w:p w14:paraId="33B142C4"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27540</w:t>
            </w:r>
          </w:p>
        </w:tc>
        <w:tc>
          <w:tcPr>
            <w:tcW w:w="7938" w:type="dxa"/>
            <w:shd w:val="clear" w:color="auto" w:fill="auto"/>
            <w:vAlign w:val="bottom"/>
          </w:tcPr>
          <w:p w14:paraId="325B3810" w14:textId="77777777" w:rsidR="002A4F0C" w:rsidRPr="002A4F0C" w:rsidRDefault="002A4F0C" w:rsidP="002A4F0C">
            <w:pPr>
              <w:spacing w:line="240" w:lineRule="auto"/>
              <w:rPr>
                <w:rFonts w:ascii="Arial" w:hAnsi="Arial"/>
                <w:szCs w:val="22"/>
              </w:rPr>
            </w:pPr>
            <w:r w:rsidRPr="002A4F0C">
              <w:rPr>
                <w:rFonts w:ascii="Arial" w:hAnsi="Arial"/>
                <w:szCs w:val="22"/>
              </w:rPr>
              <w:t>Artiss KL (2000). The combat soldier. Military Medicine, 165(1) pp 33-40.</w:t>
            </w:r>
          </w:p>
        </w:tc>
      </w:tr>
      <w:tr w:rsidR="002A4F0C" w:rsidRPr="002A4F0C" w14:paraId="194AC567" w14:textId="77777777" w:rsidTr="002A4F0C">
        <w:trPr>
          <w:cantSplit/>
        </w:trPr>
        <w:tc>
          <w:tcPr>
            <w:tcW w:w="1575" w:type="dxa"/>
            <w:shd w:val="clear" w:color="auto" w:fill="auto"/>
            <w:noWrap/>
            <w:vAlign w:val="center"/>
          </w:tcPr>
          <w:p w14:paraId="5CC1762F"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27541</w:t>
            </w:r>
          </w:p>
        </w:tc>
        <w:tc>
          <w:tcPr>
            <w:tcW w:w="7938" w:type="dxa"/>
            <w:shd w:val="clear" w:color="auto" w:fill="auto"/>
            <w:vAlign w:val="bottom"/>
          </w:tcPr>
          <w:p w14:paraId="04DFD067" w14:textId="77777777" w:rsidR="002A4F0C" w:rsidRPr="002A4F0C" w:rsidRDefault="002A4F0C" w:rsidP="002A4F0C">
            <w:pPr>
              <w:spacing w:line="240" w:lineRule="auto"/>
              <w:rPr>
                <w:rFonts w:ascii="Arial" w:hAnsi="Arial"/>
                <w:szCs w:val="22"/>
              </w:rPr>
            </w:pPr>
            <w:r w:rsidRPr="002A4F0C">
              <w:rPr>
                <w:rFonts w:ascii="Arial" w:hAnsi="Arial"/>
                <w:szCs w:val="22"/>
              </w:rPr>
              <w:t>Korenyi-Both AL, Sved L, Korenyi-Both GE, Juncer DJ, et al (2000). The role of the sand in chemical warfare agent exposure among Persian Gulf War veterans: Al Eskan disease and "dirty dust". Military Medicine, 165(5) pp 321-36.</w:t>
            </w:r>
          </w:p>
        </w:tc>
      </w:tr>
      <w:tr w:rsidR="002A4F0C" w:rsidRPr="002A4F0C" w14:paraId="0DC60429" w14:textId="77777777" w:rsidTr="002A4F0C">
        <w:trPr>
          <w:cantSplit/>
        </w:trPr>
        <w:tc>
          <w:tcPr>
            <w:tcW w:w="1575" w:type="dxa"/>
            <w:shd w:val="clear" w:color="auto" w:fill="auto"/>
            <w:noWrap/>
            <w:vAlign w:val="center"/>
          </w:tcPr>
          <w:p w14:paraId="6483CCEB"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27542</w:t>
            </w:r>
          </w:p>
        </w:tc>
        <w:tc>
          <w:tcPr>
            <w:tcW w:w="7938" w:type="dxa"/>
            <w:shd w:val="clear" w:color="auto" w:fill="auto"/>
            <w:vAlign w:val="bottom"/>
          </w:tcPr>
          <w:p w14:paraId="2F593EAB" w14:textId="77777777" w:rsidR="002A4F0C" w:rsidRPr="002A4F0C" w:rsidRDefault="002A4F0C" w:rsidP="002A4F0C">
            <w:pPr>
              <w:spacing w:line="240" w:lineRule="auto"/>
              <w:rPr>
                <w:rFonts w:ascii="Arial" w:hAnsi="Arial"/>
                <w:szCs w:val="22"/>
              </w:rPr>
            </w:pPr>
            <w:r w:rsidRPr="002A4F0C">
              <w:rPr>
                <w:rFonts w:ascii="Arial" w:hAnsi="Arial"/>
                <w:szCs w:val="22"/>
              </w:rPr>
              <w:t>Eddington pp (2001)[LETTER]. Attack on Koreyni-Both's article. Military Medicine, 166(1) pp 43, 52.</w:t>
            </w:r>
          </w:p>
        </w:tc>
      </w:tr>
      <w:tr w:rsidR="002A4F0C" w:rsidRPr="002A4F0C" w14:paraId="0376F6C4" w14:textId="77777777" w:rsidTr="002A4F0C">
        <w:trPr>
          <w:cantSplit/>
        </w:trPr>
        <w:tc>
          <w:tcPr>
            <w:tcW w:w="1575" w:type="dxa"/>
            <w:shd w:val="clear" w:color="auto" w:fill="auto"/>
            <w:noWrap/>
            <w:vAlign w:val="center"/>
          </w:tcPr>
          <w:p w14:paraId="009A4ACD"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27543</w:t>
            </w:r>
          </w:p>
        </w:tc>
        <w:tc>
          <w:tcPr>
            <w:tcW w:w="7938" w:type="dxa"/>
            <w:shd w:val="clear" w:color="auto" w:fill="auto"/>
            <w:vAlign w:val="bottom"/>
          </w:tcPr>
          <w:p w14:paraId="3A344CE6" w14:textId="77777777" w:rsidR="002A4F0C" w:rsidRPr="002A4F0C" w:rsidRDefault="002A4F0C" w:rsidP="002A4F0C">
            <w:pPr>
              <w:spacing w:line="240" w:lineRule="auto"/>
              <w:rPr>
                <w:rFonts w:ascii="Arial" w:hAnsi="Arial"/>
                <w:szCs w:val="22"/>
              </w:rPr>
            </w:pPr>
            <w:r w:rsidRPr="002A4F0C">
              <w:rPr>
                <w:rFonts w:ascii="Arial" w:hAnsi="Arial"/>
                <w:szCs w:val="22"/>
              </w:rPr>
              <w:t>Rivera-Zayas J, Arroyo M, Mejias E (2001). Evaluation of Persian Gulf veterans with symptoms of peripheral neuropathy. Military Medicine, 166(5) pp 449-451.</w:t>
            </w:r>
          </w:p>
        </w:tc>
      </w:tr>
      <w:tr w:rsidR="002A4F0C" w:rsidRPr="002A4F0C" w14:paraId="3B8E3931" w14:textId="77777777" w:rsidTr="002A4F0C">
        <w:trPr>
          <w:cantSplit/>
        </w:trPr>
        <w:tc>
          <w:tcPr>
            <w:tcW w:w="1575" w:type="dxa"/>
            <w:shd w:val="clear" w:color="auto" w:fill="auto"/>
            <w:noWrap/>
            <w:vAlign w:val="center"/>
          </w:tcPr>
          <w:p w14:paraId="05E568AA"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27544</w:t>
            </w:r>
          </w:p>
        </w:tc>
        <w:tc>
          <w:tcPr>
            <w:tcW w:w="7938" w:type="dxa"/>
            <w:shd w:val="clear" w:color="auto" w:fill="auto"/>
            <w:vAlign w:val="bottom"/>
          </w:tcPr>
          <w:p w14:paraId="4CED02B8" w14:textId="77777777" w:rsidR="002A4F0C" w:rsidRPr="002A4F0C" w:rsidRDefault="002A4F0C" w:rsidP="002A4F0C">
            <w:pPr>
              <w:spacing w:line="240" w:lineRule="auto"/>
              <w:rPr>
                <w:rFonts w:ascii="Arial" w:hAnsi="Arial"/>
                <w:szCs w:val="22"/>
              </w:rPr>
            </w:pPr>
            <w:r w:rsidRPr="002A4F0C">
              <w:rPr>
                <w:rFonts w:ascii="Arial" w:hAnsi="Arial"/>
                <w:szCs w:val="22"/>
              </w:rPr>
              <w:t>Baker DG, McQuarrie IG, Murray MG, Lund LM, et al (2001). Diagnostic status and treatment recommendations for Persian Gulf War Veterans with multiple nonspecific symptoms. Military Medicine, 166(11) pp 972-81.</w:t>
            </w:r>
          </w:p>
        </w:tc>
      </w:tr>
      <w:tr w:rsidR="002A4F0C" w:rsidRPr="002A4F0C" w14:paraId="530B171A" w14:textId="77777777" w:rsidTr="002A4F0C">
        <w:trPr>
          <w:cantSplit/>
        </w:trPr>
        <w:tc>
          <w:tcPr>
            <w:tcW w:w="1575" w:type="dxa"/>
            <w:shd w:val="clear" w:color="auto" w:fill="auto"/>
            <w:noWrap/>
            <w:vAlign w:val="center"/>
          </w:tcPr>
          <w:p w14:paraId="5A34D94D"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27545</w:t>
            </w:r>
          </w:p>
        </w:tc>
        <w:tc>
          <w:tcPr>
            <w:tcW w:w="7938" w:type="dxa"/>
            <w:shd w:val="clear" w:color="auto" w:fill="auto"/>
            <w:vAlign w:val="bottom"/>
          </w:tcPr>
          <w:p w14:paraId="38814A45" w14:textId="77777777" w:rsidR="002A4F0C" w:rsidRPr="002A4F0C" w:rsidRDefault="002A4F0C" w:rsidP="002A4F0C">
            <w:pPr>
              <w:spacing w:line="240" w:lineRule="auto"/>
              <w:rPr>
                <w:rFonts w:ascii="Arial" w:hAnsi="Arial"/>
                <w:szCs w:val="22"/>
              </w:rPr>
            </w:pPr>
            <w:r w:rsidRPr="002A4F0C">
              <w:rPr>
                <w:rFonts w:ascii="Arial" w:hAnsi="Arial"/>
                <w:szCs w:val="22"/>
              </w:rPr>
              <w:t>Stuart JA, Murray KM, Ursano RJ, Wright KM (2002). The Department of Defense's Persian Gulf War registry year 2000: an examination of veterans' health status. Military Medicine, 167(2) pp 121-8.</w:t>
            </w:r>
          </w:p>
        </w:tc>
      </w:tr>
      <w:tr w:rsidR="002A4F0C" w:rsidRPr="002A4F0C" w14:paraId="4A136590" w14:textId="77777777" w:rsidTr="002A4F0C">
        <w:trPr>
          <w:cantSplit/>
        </w:trPr>
        <w:tc>
          <w:tcPr>
            <w:tcW w:w="1575" w:type="dxa"/>
            <w:shd w:val="clear" w:color="auto" w:fill="auto"/>
            <w:noWrap/>
            <w:vAlign w:val="center"/>
          </w:tcPr>
          <w:p w14:paraId="6B8218B5"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27547</w:t>
            </w:r>
          </w:p>
        </w:tc>
        <w:tc>
          <w:tcPr>
            <w:tcW w:w="7938" w:type="dxa"/>
            <w:shd w:val="clear" w:color="auto" w:fill="auto"/>
            <w:vAlign w:val="bottom"/>
          </w:tcPr>
          <w:p w14:paraId="78FAD6E7" w14:textId="77777777" w:rsidR="002A4F0C" w:rsidRPr="002A4F0C" w:rsidRDefault="002A4F0C" w:rsidP="002A4F0C">
            <w:pPr>
              <w:spacing w:line="240" w:lineRule="auto"/>
              <w:rPr>
                <w:rFonts w:ascii="Arial" w:hAnsi="Arial"/>
                <w:szCs w:val="22"/>
              </w:rPr>
            </w:pPr>
            <w:r w:rsidRPr="002A4F0C">
              <w:rPr>
                <w:rFonts w:ascii="Arial" w:hAnsi="Arial"/>
                <w:szCs w:val="22"/>
              </w:rPr>
              <w:t>Joellenbeck LM, Hernandez LM (2002). The Institute of Medicine's independent scientific assessment of Gulf War health issues. Military Medicine, 167(3) pp 186-90.</w:t>
            </w:r>
          </w:p>
        </w:tc>
      </w:tr>
      <w:tr w:rsidR="002A4F0C" w:rsidRPr="002A4F0C" w14:paraId="57E923A5" w14:textId="77777777" w:rsidTr="002A4F0C">
        <w:trPr>
          <w:cantSplit/>
        </w:trPr>
        <w:tc>
          <w:tcPr>
            <w:tcW w:w="1575" w:type="dxa"/>
            <w:shd w:val="clear" w:color="auto" w:fill="auto"/>
            <w:noWrap/>
            <w:vAlign w:val="center"/>
          </w:tcPr>
          <w:p w14:paraId="652C12B6"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27548</w:t>
            </w:r>
          </w:p>
        </w:tc>
        <w:tc>
          <w:tcPr>
            <w:tcW w:w="7938" w:type="dxa"/>
            <w:shd w:val="clear" w:color="auto" w:fill="auto"/>
            <w:vAlign w:val="bottom"/>
          </w:tcPr>
          <w:p w14:paraId="66D6C24E" w14:textId="77777777" w:rsidR="002A4F0C" w:rsidRPr="002A4F0C" w:rsidRDefault="002A4F0C" w:rsidP="002A4F0C">
            <w:pPr>
              <w:spacing w:line="240" w:lineRule="auto"/>
              <w:rPr>
                <w:rFonts w:ascii="Arial" w:hAnsi="Arial"/>
                <w:szCs w:val="22"/>
              </w:rPr>
            </w:pPr>
            <w:r w:rsidRPr="002A4F0C">
              <w:rPr>
                <w:rFonts w:ascii="Arial" w:hAnsi="Arial"/>
                <w:szCs w:val="22"/>
              </w:rPr>
              <w:t>Brown MA, Murphy FM, Mather SH (2002). Innovation in veterans' health care and assistance: the Department of Veterans Affairs 10 years after the Gulf War. Military Medicine, 167(3) pp 191-5.</w:t>
            </w:r>
          </w:p>
        </w:tc>
      </w:tr>
      <w:tr w:rsidR="002A4F0C" w:rsidRPr="002A4F0C" w14:paraId="0F480DA5" w14:textId="77777777" w:rsidTr="002A4F0C">
        <w:trPr>
          <w:cantSplit/>
        </w:trPr>
        <w:tc>
          <w:tcPr>
            <w:tcW w:w="1575" w:type="dxa"/>
            <w:shd w:val="clear" w:color="auto" w:fill="auto"/>
            <w:noWrap/>
            <w:vAlign w:val="center"/>
          </w:tcPr>
          <w:p w14:paraId="26094DB4"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27549</w:t>
            </w:r>
          </w:p>
        </w:tc>
        <w:tc>
          <w:tcPr>
            <w:tcW w:w="7938" w:type="dxa"/>
            <w:shd w:val="clear" w:color="auto" w:fill="auto"/>
            <w:vAlign w:val="bottom"/>
          </w:tcPr>
          <w:p w14:paraId="4DF6C749" w14:textId="77777777" w:rsidR="002A4F0C" w:rsidRPr="002A4F0C" w:rsidRDefault="002A4F0C" w:rsidP="002A4F0C">
            <w:pPr>
              <w:spacing w:line="240" w:lineRule="auto"/>
              <w:rPr>
                <w:rFonts w:ascii="Arial" w:hAnsi="Arial"/>
                <w:szCs w:val="22"/>
              </w:rPr>
            </w:pPr>
            <w:r w:rsidRPr="002A4F0C">
              <w:rPr>
                <w:rFonts w:ascii="Arial" w:hAnsi="Arial"/>
                <w:szCs w:val="22"/>
              </w:rPr>
              <w:t>Hunt SC, Richardson RD, Engel CC Jr (2002). Clinical management of Gulf War veterans with medically unexplained physical symptoms. Military Medicine, 167(5) pp 414-20.</w:t>
            </w:r>
          </w:p>
        </w:tc>
      </w:tr>
      <w:tr w:rsidR="002A4F0C" w:rsidRPr="002A4F0C" w14:paraId="0A654184" w14:textId="77777777" w:rsidTr="002A4F0C">
        <w:trPr>
          <w:cantSplit/>
        </w:trPr>
        <w:tc>
          <w:tcPr>
            <w:tcW w:w="1575" w:type="dxa"/>
            <w:shd w:val="clear" w:color="auto" w:fill="auto"/>
            <w:noWrap/>
            <w:vAlign w:val="center"/>
          </w:tcPr>
          <w:p w14:paraId="5A40296A"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27550</w:t>
            </w:r>
          </w:p>
        </w:tc>
        <w:tc>
          <w:tcPr>
            <w:tcW w:w="7938" w:type="dxa"/>
            <w:shd w:val="clear" w:color="auto" w:fill="auto"/>
            <w:vAlign w:val="bottom"/>
          </w:tcPr>
          <w:p w14:paraId="6A81A35E" w14:textId="77777777" w:rsidR="002A4F0C" w:rsidRPr="002A4F0C" w:rsidRDefault="002A4F0C" w:rsidP="002A4F0C">
            <w:pPr>
              <w:spacing w:line="240" w:lineRule="auto"/>
              <w:rPr>
                <w:rFonts w:ascii="Arial" w:hAnsi="Arial"/>
                <w:szCs w:val="22"/>
              </w:rPr>
            </w:pPr>
            <w:r w:rsidRPr="002A4F0C">
              <w:rPr>
                <w:rFonts w:ascii="Arial" w:hAnsi="Arial"/>
                <w:szCs w:val="22"/>
              </w:rPr>
              <w:t>Ferguson E, Cassaday HJ (2001/2002). Theoretical accounts of Gulf War Syndrome: from environmental toxins to psychoneuroimmunology and neurodegeneration. Behavioural Neurology, 13(3-4): 133-47.</w:t>
            </w:r>
          </w:p>
        </w:tc>
      </w:tr>
      <w:tr w:rsidR="002A4F0C" w:rsidRPr="002A4F0C" w14:paraId="1EAA8E53" w14:textId="77777777" w:rsidTr="002A4F0C">
        <w:trPr>
          <w:cantSplit/>
        </w:trPr>
        <w:tc>
          <w:tcPr>
            <w:tcW w:w="1575" w:type="dxa"/>
            <w:shd w:val="clear" w:color="auto" w:fill="auto"/>
            <w:noWrap/>
            <w:vAlign w:val="center"/>
          </w:tcPr>
          <w:p w14:paraId="698F1BCC"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27551</w:t>
            </w:r>
          </w:p>
        </w:tc>
        <w:tc>
          <w:tcPr>
            <w:tcW w:w="7938" w:type="dxa"/>
            <w:shd w:val="clear" w:color="auto" w:fill="auto"/>
            <w:vAlign w:val="bottom"/>
          </w:tcPr>
          <w:p w14:paraId="322A5FD0" w14:textId="77777777" w:rsidR="002A4F0C" w:rsidRPr="002A4F0C" w:rsidRDefault="002A4F0C" w:rsidP="002A4F0C">
            <w:pPr>
              <w:spacing w:line="240" w:lineRule="auto"/>
              <w:rPr>
                <w:rFonts w:ascii="Arial" w:hAnsi="Arial"/>
                <w:szCs w:val="22"/>
              </w:rPr>
            </w:pPr>
            <w:r w:rsidRPr="002A4F0C">
              <w:rPr>
                <w:rFonts w:ascii="Arial" w:hAnsi="Arial"/>
                <w:szCs w:val="22"/>
              </w:rPr>
              <w:t>Hull L, David AS, Hyams KC, Unwin C, Wessely SC, Hotopf M (2002). Self-reported health of Persian Gulf War veterans: a comparison of help-seeking and randomly ascertained cases. Military Medicine, 167(9) pp 747-52.</w:t>
            </w:r>
          </w:p>
        </w:tc>
      </w:tr>
      <w:tr w:rsidR="002A4F0C" w:rsidRPr="002A4F0C" w14:paraId="6F841DA1" w14:textId="77777777" w:rsidTr="002A4F0C">
        <w:trPr>
          <w:cantSplit/>
        </w:trPr>
        <w:tc>
          <w:tcPr>
            <w:tcW w:w="1575" w:type="dxa"/>
            <w:shd w:val="clear" w:color="auto" w:fill="auto"/>
            <w:noWrap/>
            <w:vAlign w:val="center"/>
          </w:tcPr>
          <w:p w14:paraId="1022BEE0"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27552</w:t>
            </w:r>
          </w:p>
        </w:tc>
        <w:tc>
          <w:tcPr>
            <w:tcW w:w="7938" w:type="dxa"/>
            <w:shd w:val="clear" w:color="auto" w:fill="auto"/>
            <w:vAlign w:val="bottom"/>
          </w:tcPr>
          <w:p w14:paraId="20015E1C" w14:textId="77777777" w:rsidR="002A4F0C" w:rsidRPr="002A4F0C" w:rsidRDefault="002A4F0C" w:rsidP="002A4F0C">
            <w:pPr>
              <w:spacing w:line="240" w:lineRule="auto"/>
              <w:rPr>
                <w:rFonts w:ascii="Arial" w:hAnsi="Arial"/>
                <w:szCs w:val="22"/>
              </w:rPr>
            </w:pPr>
            <w:r w:rsidRPr="002A4F0C">
              <w:rPr>
                <w:rFonts w:ascii="Arial" w:hAnsi="Arial"/>
                <w:szCs w:val="22"/>
              </w:rPr>
              <w:t>Hitt E (2002). New investigations into Gulf War syndrome. Nature Medicine, 8(3) p 198.</w:t>
            </w:r>
          </w:p>
        </w:tc>
      </w:tr>
      <w:tr w:rsidR="002A4F0C" w:rsidRPr="002A4F0C" w14:paraId="263E1640" w14:textId="77777777" w:rsidTr="002A4F0C">
        <w:trPr>
          <w:cantSplit/>
        </w:trPr>
        <w:tc>
          <w:tcPr>
            <w:tcW w:w="1575" w:type="dxa"/>
            <w:shd w:val="clear" w:color="auto" w:fill="auto"/>
            <w:noWrap/>
            <w:vAlign w:val="center"/>
          </w:tcPr>
          <w:p w14:paraId="3A7191F0"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27553</w:t>
            </w:r>
          </w:p>
        </w:tc>
        <w:tc>
          <w:tcPr>
            <w:tcW w:w="7938" w:type="dxa"/>
            <w:shd w:val="clear" w:color="auto" w:fill="auto"/>
            <w:vAlign w:val="bottom"/>
          </w:tcPr>
          <w:p w14:paraId="31F8861F" w14:textId="77777777" w:rsidR="002A4F0C" w:rsidRPr="002A4F0C" w:rsidRDefault="002A4F0C" w:rsidP="002A4F0C">
            <w:pPr>
              <w:spacing w:line="240" w:lineRule="auto"/>
              <w:rPr>
                <w:rFonts w:ascii="Arial" w:hAnsi="Arial"/>
                <w:szCs w:val="22"/>
              </w:rPr>
            </w:pPr>
            <w:r w:rsidRPr="002A4F0C">
              <w:rPr>
                <w:rFonts w:ascii="Arial" w:hAnsi="Arial"/>
                <w:szCs w:val="22"/>
              </w:rPr>
              <w:t>Schmidt CW (2002). Soldiers and oil well smoke. Respiratory connection remains hazy. Environmental Health Perspectives, 110(11) pp A690.</w:t>
            </w:r>
          </w:p>
        </w:tc>
      </w:tr>
      <w:tr w:rsidR="002A4F0C" w:rsidRPr="002A4F0C" w14:paraId="1F22DF44" w14:textId="77777777" w:rsidTr="002A4F0C">
        <w:trPr>
          <w:cantSplit/>
        </w:trPr>
        <w:tc>
          <w:tcPr>
            <w:tcW w:w="1575" w:type="dxa"/>
            <w:shd w:val="clear" w:color="auto" w:fill="auto"/>
            <w:noWrap/>
            <w:vAlign w:val="center"/>
          </w:tcPr>
          <w:p w14:paraId="36E85790"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27554</w:t>
            </w:r>
          </w:p>
        </w:tc>
        <w:tc>
          <w:tcPr>
            <w:tcW w:w="7938" w:type="dxa"/>
            <w:shd w:val="clear" w:color="auto" w:fill="auto"/>
            <w:vAlign w:val="bottom"/>
          </w:tcPr>
          <w:p w14:paraId="0A73FFA4" w14:textId="77777777" w:rsidR="002A4F0C" w:rsidRPr="002A4F0C" w:rsidRDefault="002A4F0C" w:rsidP="002A4F0C">
            <w:pPr>
              <w:spacing w:line="240" w:lineRule="auto"/>
              <w:rPr>
                <w:rFonts w:ascii="Arial" w:hAnsi="Arial"/>
                <w:szCs w:val="22"/>
              </w:rPr>
            </w:pPr>
            <w:r w:rsidRPr="002A4F0C">
              <w:rPr>
                <w:rFonts w:ascii="Arial" w:hAnsi="Arial"/>
                <w:szCs w:val="22"/>
              </w:rPr>
              <w:t>Kipen HM, Fiedler N (2002). Environmental factors in medically unexplained symptoms and related syndromes: the evidence and the challenge. Environmental Health Perspectives, 110(Suppl 4) pp 597-9.</w:t>
            </w:r>
          </w:p>
        </w:tc>
      </w:tr>
      <w:tr w:rsidR="002A4F0C" w:rsidRPr="002A4F0C" w14:paraId="6F53A0AC" w14:textId="77777777" w:rsidTr="002A4F0C">
        <w:trPr>
          <w:cantSplit/>
        </w:trPr>
        <w:tc>
          <w:tcPr>
            <w:tcW w:w="1575" w:type="dxa"/>
            <w:shd w:val="clear" w:color="auto" w:fill="auto"/>
            <w:noWrap/>
            <w:vAlign w:val="center"/>
          </w:tcPr>
          <w:p w14:paraId="17DBFF62"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27555</w:t>
            </w:r>
          </w:p>
        </w:tc>
        <w:tc>
          <w:tcPr>
            <w:tcW w:w="7938" w:type="dxa"/>
            <w:shd w:val="clear" w:color="auto" w:fill="auto"/>
            <w:vAlign w:val="bottom"/>
          </w:tcPr>
          <w:p w14:paraId="6DE1179C" w14:textId="77777777" w:rsidR="002A4F0C" w:rsidRPr="002A4F0C" w:rsidRDefault="002A4F0C" w:rsidP="002A4F0C">
            <w:pPr>
              <w:spacing w:line="240" w:lineRule="auto"/>
              <w:rPr>
                <w:rFonts w:ascii="Arial" w:hAnsi="Arial"/>
                <w:szCs w:val="22"/>
              </w:rPr>
            </w:pPr>
            <w:r w:rsidRPr="002A4F0C">
              <w:rPr>
                <w:rFonts w:ascii="Arial" w:hAnsi="Arial"/>
                <w:szCs w:val="22"/>
              </w:rPr>
              <w:t>Kipen HM, Fiedler N (2002). The role of environmental factors in medically unexplained symptoms and related syndromes: conference summary and recommendations. Environ Health Perspect, 110(Suppl 4): 591-5.</w:t>
            </w:r>
          </w:p>
        </w:tc>
      </w:tr>
      <w:tr w:rsidR="002A4F0C" w:rsidRPr="002A4F0C" w14:paraId="1A040D52" w14:textId="77777777" w:rsidTr="002A4F0C">
        <w:trPr>
          <w:cantSplit/>
        </w:trPr>
        <w:tc>
          <w:tcPr>
            <w:tcW w:w="1575" w:type="dxa"/>
            <w:shd w:val="clear" w:color="auto" w:fill="auto"/>
            <w:noWrap/>
            <w:vAlign w:val="center"/>
          </w:tcPr>
          <w:p w14:paraId="7647E0FD"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27556</w:t>
            </w:r>
          </w:p>
        </w:tc>
        <w:tc>
          <w:tcPr>
            <w:tcW w:w="7938" w:type="dxa"/>
            <w:shd w:val="clear" w:color="auto" w:fill="auto"/>
            <w:vAlign w:val="bottom"/>
          </w:tcPr>
          <w:p w14:paraId="3E8F4983" w14:textId="77777777" w:rsidR="002A4F0C" w:rsidRPr="002A4F0C" w:rsidRDefault="002A4F0C" w:rsidP="002A4F0C">
            <w:pPr>
              <w:spacing w:line="240" w:lineRule="auto"/>
              <w:rPr>
                <w:rFonts w:ascii="Arial" w:hAnsi="Arial"/>
                <w:szCs w:val="22"/>
              </w:rPr>
            </w:pPr>
            <w:r w:rsidRPr="002A4F0C">
              <w:rPr>
                <w:rFonts w:ascii="Arial" w:hAnsi="Arial"/>
                <w:szCs w:val="22"/>
              </w:rPr>
              <w:t>Lange JL, Schwartz DA, Doebbeling BN, Heller JM, Thorne PS (2002). Exposures to the Kuwait oil fires and their association with asthma and bronchitis among gulf war veterans. Environmental Health Perspectives, 110(11) pp 1141-6.</w:t>
            </w:r>
          </w:p>
        </w:tc>
      </w:tr>
      <w:tr w:rsidR="002A4F0C" w:rsidRPr="002A4F0C" w14:paraId="328710A0" w14:textId="77777777" w:rsidTr="002A4F0C">
        <w:trPr>
          <w:cantSplit/>
        </w:trPr>
        <w:tc>
          <w:tcPr>
            <w:tcW w:w="1575" w:type="dxa"/>
            <w:shd w:val="clear" w:color="auto" w:fill="auto"/>
            <w:noWrap/>
            <w:vAlign w:val="center"/>
          </w:tcPr>
          <w:p w14:paraId="287FB764"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27557</w:t>
            </w:r>
          </w:p>
        </w:tc>
        <w:tc>
          <w:tcPr>
            <w:tcW w:w="7938" w:type="dxa"/>
            <w:shd w:val="clear" w:color="auto" w:fill="auto"/>
            <w:vAlign w:val="bottom"/>
          </w:tcPr>
          <w:p w14:paraId="46AB3E6F" w14:textId="77777777" w:rsidR="002A4F0C" w:rsidRPr="002A4F0C" w:rsidRDefault="002A4F0C" w:rsidP="002A4F0C">
            <w:pPr>
              <w:spacing w:line="240" w:lineRule="auto"/>
              <w:rPr>
                <w:rFonts w:ascii="Arial" w:hAnsi="Arial"/>
                <w:szCs w:val="22"/>
              </w:rPr>
            </w:pPr>
            <w:r w:rsidRPr="002A4F0C">
              <w:rPr>
                <w:rFonts w:ascii="Arial" w:hAnsi="Arial"/>
                <w:szCs w:val="22"/>
              </w:rPr>
              <w:t>Beck KD, Zhu G, Beldowicz D, Brennan FX, et al (2001). Central nervous system effects from a peripherally acting cholinesterase inhibiting agent: interaction with stress or genetics. Annals of the New York Academy of Sciences, Vol 933 pp 310-4.</w:t>
            </w:r>
          </w:p>
        </w:tc>
      </w:tr>
      <w:tr w:rsidR="002A4F0C" w:rsidRPr="002A4F0C" w14:paraId="09A78D8F" w14:textId="77777777" w:rsidTr="002A4F0C">
        <w:trPr>
          <w:cantSplit/>
        </w:trPr>
        <w:tc>
          <w:tcPr>
            <w:tcW w:w="1575" w:type="dxa"/>
            <w:shd w:val="clear" w:color="auto" w:fill="auto"/>
            <w:noWrap/>
            <w:vAlign w:val="center"/>
          </w:tcPr>
          <w:p w14:paraId="02959DF9"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27558</w:t>
            </w:r>
          </w:p>
        </w:tc>
        <w:tc>
          <w:tcPr>
            <w:tcW w:w="7938" w:type="dxa"/>
            <w:shd w:val="clear" w:color="auto" w:fill="auto"/>
            <w:vAlign w:val="bottom"/>
          </w:tcPr>
          <w:p w14:paraId="40DA16C0" w14:textId="77777777" w:rsidR="002A4F0C" w:rsidRPr="002A4F0C" w:rsidRDefault="002A4F0C" w:rsidP="002A4F0C">
            <w:pPr>
              <w:spacing w:line="240" w:lineRule="auto"/>
              <w:rPr>
                <w:rFonts w:ascii="Arial" w:hAnsi="Arial"/>
                <w:szCs w:val="22"/>
              </w:rPr>
            </w:pPr>
            <w:r w:rsidRPr="002A4F0C">
              <w:rPr>
                <w:rFonts w:ascii="Arial" w:hAnsi="Arial"/>
                <w:szCs w:val="22"/>
              </w:rPr>
              <w:t>Fiedler N, Kipen HM (2001). Controlled exposures to volatile organic compounds in sensitive groups. Annals of the New York Academy of Sciences, Vol 933 pp 24-37.</w:t>
            </w:r>
          </w:p>
        </w:tc>
      </w:tr>
      <w:tr w:rsidR="002A4F0C" w:rsidRPr="002A4F0C" w14:paraId="6DAC38BD" w14:textId="77777777" w:rsidTr="002A4F0C">
        <w:trPr>
          <w:cantSplit/>
        </w:trPr>
        <w:tc>
          <w:tcPr>
            <w:tcW w:w="1575" w:type="dxa"/>
            <w:shd w:val="clear" w:color="auto" w:fill="auto"/>
            <w:noWrap/>
            <w:vAlign w:val="center"/>
          </w:tcPr>
          <w:p w14:paraId="7BEE6E34"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27559</w:t>
            </w:r>
          </w:p>
        </w:tc>
        <w:tc>
          <w:tcPr>
            <w:tcW w:w="7938" w:type="dxa"/>
            <w:shd w:val="clear" w:color="auto" w:fill="auto"/>
            <w:vAlign w:val="bottom"/>
          </w:tcPr>
          <w:p w14:paraId="0506B722" w14:textId="77777777" w:rsidR="002A4F0C" w:rsidRPr="002A4F0C" w:rsidRDefault="002A4F0C" w:rsidP="002A4F0C">
            <w:pPr>
              <w:spacing w:line="240" w:lineRule="auto"/>
              <w:rPr>
                <w:rFonts w:ascii="Arial" w:hAnsi="Arial"/>
                <w:szCs w:val="22"/>
              </w:rPr>
            </w:pPr>
            <w:r w:rsidRPr="002A4F0C">
              <w:rPr>
                <w:rFonts w:ascii="Arial" w:hAnsi="Arial"/>
                <w:szCs w:val="22"/>
              </w:rPr>
              <w:t>Patarca R (2001). Cytokines and chronic fatigue syndrome. Annals of the New York Academy of Sciences, Vol 933 pp 185-200.</w:t>
            </w:r>
          </w:p>
        </w:tc>
      </w:tr>
      <w:tr w:rsidR="002A4F0C" w:rsidRPr="002A4F0C" w14:paraId="7697175D" w14:textId="77777777" w:rsidTr="002A4F0C">
        <w:trPr>
          <w:cantSplit/>
        </w:trPr>
        <w:tc>
          <w:tcPr>
            <w:tcW w:w="1575" w:type="dxa"/>
            <w:shd w:val="clear" w:color="auto" w:fill="auto"/>
            <w:noWrap/>
            <w:vAlign w:val="center"/>
          </w:tcPr>
          <w:p w14:paraId="03099D01"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27560</w:t>
            </w:r>
          </w:p>
        </w:tc>
        <w:tc>
          <w:tcPr>
            <w:tcW w:w="7938" w:type="dxa"/>
            <w:shd w:val="clear" w:color="auto" w:fill="auto"/>
            <w:vAlign w:val="bottom"/>
          </w:tcPr>
          <w:p w14:paraId="22D8EA09" w14:textId="77777777" w:rsidR="002A4F0C" w:rsidRPr="002A4F0C" w:rsidRDefault="002A4F0C" w:rsidP="002A4F0C">
            <w:pPr>
              <w:spacing w:line="240" w:lineRule="auto"/>
              <w:rPr>
                <w:rFonts w:ascii="Arial" w:hAnsi="Arial"/>
                <w:szCs w:val="22"/>
              </w:rPr>
            </w:pPr>
            <w:r w:rsidRPr="002A4F0C">
              <w:rPr>
                <w:rFonts w:ascii="Arial" w:hAnsi="Arial"/>
                <w:szCs w:val="22"/>
              </w:rPr>
              <w:t>Miller CS (2001). The compelling anomaly of chemical intolerance. Annals of the New York Academy of Sciences, Vol 933 pp 1-23.</w:t>
            </w:r>
          </w:p>
        </w:tc>
      </w:tr>
      <w:tr w:rsidR="002A4F0C" w:rsidRPr="002A4F0C" w14:paraId="7FCBC114" w14:textId="77777777" w:rsidTr="002A4F0C">
        <w:trPr>
          <w:cantSplit/>
        </w:trPr>
        <w:tc>
          <w:tcPr>
            <w:tcW w:w="1575" w:type="dxa"/>
            <w:shd w:val="clear" w:color="auto" w:fill="auto"/>
            <w:noWrap/>
            <w:vAlign w:val="center"/>
          </w:tcPr>
          <w:p w14:paraId="1D682F31"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27561</w:t>
            </w:r>
          </w:p>
        </w:tc>
        <w:tc>
          <w:tcPr>
            <w:tcW w:w="7938" w:type="dxa"/>
            <w:shd w:val="clear" w:color="auto" w:fill="auto"/>
            <w:vAlign w:val="bottom"/>
          </w:tcPr>
          <w:p w14:paraId="40E72D90" w14:textId="77777777" w:rsidR="002A4F0C" w:rsidRPr="002A4F0C" w:rsidRDefault="002A4F0C" w:rsidP="002A4F0C">
            <w:pPr>
              <w:spacing w:line="240" w:lineRule="auto"/>
              <w:rPr>
                <w:rFonts w:ascii="Arial" w:hAnsi="Arial"/>
                <w:szCs w:val="22"/>
              </w:rPr>
            </w:pPr>
            <w:r w:rsidRPr="002A4F0C">
              <w:rPr>
                <w:rFonts w:ascii="Arial" w:hAnsi="Arial"/>
                <w:szCs w:val="22"/>
              </w:rPr>
              <w:t>Everson MP, Shi K, Aldridge P, Bartolucci AA, Blackburn WD (2002). Immunological responses are not abnormal in symptomatic Gulf War veterans. Annals of the New York Academy of Sciences, Vol 966 pp 327-42.</w:t>
            </w:r>
          </w:p>
        </w:tc>
      </w:tr>
      <w:tr w:rsidR="002A4F0C" w:rsidRPr="002A4F0C" w14:paraId="76C116CE" w14:textId="77777777" w:rsidTr="002A4F0C">
        <w:trPr>
          <w:cantSplit/>
        </w:trPr>
        <w:tc>
          <w:tcPr>
            <w:tcW w:w="1575" w:type="dxa"/>
            <w:shd w:val="clear" w:color="auto" w:fill="auto"/>
            <w:noWrap/>
            <w:vAlign w:val="center"/>
          </w:tcPr>
          <w:p w14:paraId="46BB1F51"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27562</w:t>
            </w:r>
          </w:p>
        </w:tc>
        <w:tc>
          <w:tcPr>
            <w:tcW w:w="7938" w:type="dxa"/>
            <w:shd w:val="clear" w:color="auto" w:fill="auto"/>
            <w:vAlign w:val="bottom"/>
          </w:tcPr>
          <w:p w14:paraId="13AD346E" w14:textId="77777777" w:rsidR="002A4F0C" w:rsidRPr="002A4F0C" w:rsidRDefault="002A4F0C" w:rsidP="002A4F0C">
            <w:pPr>
              <w:spacing w:line="240" w:lineRule="auto"/>
              <w:rPr>
                <w:rFonts w:ascii="Arial" w:hAnsi="Arial"/>
                <w:szCs w:val="22"/>
              </w:rPr>
            </w:pPr>
            <w:r w:rsidRPr="002A4F0C">
              <w:rPr>
                <w:rFonts w:ascii="Arial" w:hAnsi="Arial"/>
                <w:szCs w:val="22"/>
              </w:rPr>
              <w:t>Collins JF, Donta ST, Engel CC Jr, Baseman JB, et al (2002). The antibiotic treatment trial of Gulf war veterans' illnesses: issues, design, screening, and baseline characteristics. Controlled Clinical Trials, 23(3) pp 333-53.</w:t>
            </w:r>
          </w:p>
        </w:tc>
      </w:tr>
      <w:tr w:rsidR="002A4F0C" w:rsidRPr="002A4F0C" w14:paraId="58DF15C8" w14:textId="77777777" w:rsidTr="002A4F0C">
        <w:trPr>
          <w:cantSplit/>
        </w:trPr>
        <w:tc>
          <w:tcPr>
            <w:tcW w:w="1575" w:type="dxa"/>
            <w:shd w:val="clear" w:color="auto" w:fill="auto"/>
            <w:noWrap/>
            <w:vAlign w:val="center"/>
          </w:tcPr>
          <w:p w14:paraId="6894DB8A"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27563</w:t>
            </w:r>
          </w:p>
        </w:tc>
        <w:tc>
          <w:tcPr>
            <w:tcW w:w="7938" w:type="dxa"/>
            <w:shd w:val="clear" w:color="auto" w:fill="auto"/>
            <w:vAlign w:val="bottom"/>
          </w:tcPr>
          <w:p w14:paraId="31B71CF8" w14:textId="77777777" w:rsidR="002A4F0C" w:rsidRPr="002A4F0C" w:rsidRDefault="002A4F0C" w:rsidP="002A4F0C">
            <w:pPr>
              <w:spacing w:line="240" w:lineRule="auto"/>
              <w:rPr>
                <w:rFonts w:ascii="Arial" w:hAnsi="Arial"/>
                <w:szCs w:val="22"/>
              </w:rPr>
            </w:pPr>
            <w:r w:rsidRPr="002A4F0C">
              <w:rPr>
                <w:rFonts w:ascii="Arial" w:hAnsi="Arial"/>
                <w:szCs w:val="22"/>
              </w:rPr>
              <w:t>Guarino P, Peduzzi P, Donta ST, Engel CC, et al (2001). A multicenter two by two factorial trial of cognitive behavioral therapy and aerobic exercise for Gulf War veterans' illnesses: design of a veterans affairs cooperative study (CSP #470). Controlled Clinical Trials, 22(3) pp 310-32.</w:t>
            </w:r>
          </w:p>
        </w:tc>
      </w:tr>
      <w:tr w:rsidR="002A4F0C" w:rsidRPr="002A4F0C" w14:paraId="26EF8C81" w14:textId="77777777" w:rsidTr="002A4F0C">
        <w:trPr>
          <w:cantSplit/>
        </w:trPr>
        <w:tc>
          <w:tcPr>
            <w:tcW w:w="1575" w:type="dxa"/>
            <w:shd w:val="clear" w:color="auto" w:fill="auto"/>
            <w:noWrap/>
            <w:vAlign w:val="center"/>
          </w:tcPr>
          <w:p w14:paraId="015382A3" w14:textId="77777777" w:rsidR="002A4F0C" w:rsidRPr="002A4F0C" w:rsidRDefault="002A4F0C" w:rsidP="002A4F0C">
            <w:pPr>
              <w:spacing w:line="240" w:lineRule="auto"/>
              <w:jc w:val="center"/>
              <w:rPr>
                <w:rFonts w:ascii="Arial" w:hAnsi="Arial"/>
                <w:szCs w:val="22"/>
              </w:rPr>
            </w:pPr>
            <w:r w:rsidRPr="002A4F0C">
              <w:rPr>
                <w:rFonts w:ascii="Arial" w:hAnsi="Arial"/>
                <w:szCs w:val="22"/>
              </w:rPr>
              <w:t>27564</w:t>
            </w:r>
          </w:p>
        </w:tc>
        <w:tc>
          <w:tcPr>
            <w:tcW w:w="7938" w:type="dxa"/>
            <w:shd w:val="clear" w:color="auto" w:fill="auto"/>
            <w:vAlign w:val="bottom"/>
          </w:tcPr>
          <w:p w14:paraId="7BC746AE" w14:textId="77777777" w:rsidR="002A4F0C" w:rsidRPr="002A4F0C" w:rsidRDefault="002A4F0C" w:rsidP="002A4F0C">
            <w:pPr>
              <w:spacing w:line="240" w:lineRule="auto"/>
              <w:rPr>
                <w:rFonts w:ascii="Arial" w:hAnsi="Arial"/>
                <w:szCs w:val="22"/>
              </w:rPr>
            </w:pPr>
            <w:r w:rsidRPr="002A4F0C">
              <w:rPr>
                <w:rFonts w:ascii="Arial" w:hAnsi="Arial"/>
                <w:szCs w:val="22"/>
              </w:rPr>
              <w:t>Bolton JP, Foster CR (2002). Battlefield use of depleted uranium and the health of veterans. J R Army Med Corps, 148(3) pp 221-9.</w:t>
            </w:r>
          </w:p>
        </w:tc>
      </w:tr>
      <w:tr w:rsidR="002A4F0C" w:rsidRPr="002A4F0C" w14:paraId="05140DBD" w14:textId="77777777" w:rsidTr="002A4F0C">
        <w:trPr>
          <w:cantSplit/>
        </w:trPr>
        <w:tc>
          <w:tcPr>
            <w:tcW w:w="1575" w:type="dxa"/>
            <w:shd w:val="clear" w:color="auto" w:fill="auto"/>
            <w:noWrap/>
            <w:vAlign w:val="center"/>
          </w:tcPr>
          <w:p w14:paraId="4EEE09A7" w14:textId="77777777" w:rsidR="002A4F0C" w:rsidRPr="002A4F0C" w:rsidRDefault="002A4F0C" w:rsidP="002A4F0C">
            <w:pPr>
              <w:spacing w:line="240" w:lineRule="auto"/>
              <w:jc w:val="center"/>
              <w:rPr>
                <w:rFonts w:ascii="Arial" w:hAnsi="Arial"/>
                <w:szCs w:val="22"/>
              </w:rPr>
            </w:pPr>
            <w:r w:rsidRPr="002A4F0C">
              <w:rPr>
                <w:rFonts w:ascii="Arial" w:hAnsi="Arial"/>
                <w:szCs w:val="22"/>
              </w:rPr>
              <w:t>27709</w:t>
            </w:r>
          </w:p>
        </w:tc>
        <w:tc>
          <w:tcPr>
            <w:tcW w:w="7938" w:type="dxa"/>
            <w:shd w:val="clear" w:color="auto" w:fill="auto"/>
            <w:vAlign w:val="bottom"/>
          </w:tcPr>
          <w:p w14:paraId="1CF52EE0" w14:textId="77777777" w:rsidR="002A4F0C" w:rsidRPr="002A4F0C" w:rsidRDefault="002A4F0C" w:rsidP="002A4F0C">
            <w:pPr>
              <w:spacing w:line="240" w:lineRule="auto"/>
              <w:rPr>
                <w:rFonts w:ascii="Arial" w:hAnsi="Arial"/>
                <w:szCs w:val="22"/>
              </w:rPr>
            </w:pPr>
            <w:r w:rsidRPr="002A4F0C">
              <w:rPr>
                <w:rFonts w:ascii="Arial" w:hAnsi="Arial"/>
                <w:szCs w:val="22"/>
              </w:rPr>
              <w:t>Lang S. From Gulf War Syndrome to Balkan War Syndrome. Croat Med J. 2001 Apr;42(2):205-9.</w:t>
            </w:r>
          </w:p>
        </w:tc>
      </w:tr>
      <w:tr w:rsidR="002A4F0C" w:rsidRPr="002A4F0C" w14:paraId="44586508" w14:textId="77777777" w:rsidTr="002A4F0C">
        <w:trPr>
          <w:cantSplit/>
        </w:trPr>
        <w:tc>
          <w:tcPr>
            <w:tcW w:w="1575" w:type="dxa"/>
            <w:shd w:val="clear" w:color="auto" w:fill="auto"/>
            <w:noWrap/>
            <w:vAlign w:val="center"/>
          </w:tcPr>
          <w:p w14:paraId="6D5FAE46" w14:textId="77777777" w:rsidR="002A4F0C" w:rsidRPr="002A4F0C" w:rsidRDefault="002A4F0C" w:rsidP="002A4F0C">
            <w:pPr>
              <w:spacing w:line="240" w:lineRule="auto"/>
              <w:jc w:val="center"/>
              <w:rPr>
                <w:rFonts w:ascii="Arial" w:hAnsi="Arial"/>
                <w:szCs w:val="22"/>
              </w:rPr>
            </w:pPr>
            <w:r w:rsidRPr="002A4F0C">
              <w:rPr>
                <w:rFonts w:ascii="Arial" w:hAnsi="Arial"/>
                <w:szCs w:val="22"/>
              </w:rPr>
              <w:t>27710</w:t>
            </w:r>
          </w:p>
        </w:tc>
        <w:tc>
          <w:tcPr>
            <w:tcW w:w="7938" w:type="dxa"/>
            <w:shd w:val="clear" w:color="auto" w:fill="auto"/>
            <w:vAlign w:val="bottom"/>
          </w:tcPr>
          <w:p w14:paraId="0AADB07D" w14:textId="77777777" w:rsidR="002A4F0C" w:rsidRPr="002A4F0C" w:rsidRDefault="002A4F0C" w:rsidP="002A4F0C">
            <w:pPr>
              <w:spacing w:line="240" w:lineRule="auto"/>
              <w:rPr>
                <w:rFonts w:ascii="Arial" w:hAnsi="Arial"/>
                <w:szCs w:val="22"/>
              </w:rPr>
            </w:pPr>
            <w:r w:rsidRPr="002A4F0C">
              <w:rPr>
                <w:rFonts w:ascii="Arial" w:hAnsi="Arial"/>
                <w:szCs w:val="22"/>
              </w:rPr>
              <w:t>Durakovic A (2001). On depleted uranium:gulf war and Balkan syndrome. Croat Med J, 42(2) pp 130-134.</w:t>
            </w:r>
          </w:p>
        </w:tc>
      </w:tr>
      <w:tr w:rsidR="002A4F0C" w:rsidRPr="002A4F0C" w14:paraId="1D931EAA" w14:textId="77777777" w:rsidTr="002A4F0C">
        <w:trPr>
          <w:cantSplit/>
        </w:trPr>
        <w:tc>
          <w:tcPr>
            <w:tcW w:w="1575" w:type="dxa"/>
            <w:shd w:val="clear" w:color="auto" w:fill="auto"/>
            <w:noWrap/>
            <w:vAlign w:val="center"/>
          </w:tcPr>
          <w:p w14:paraId="0E28B189" w14:textId="77777777" w:rsidR="002A4F0C" w:rsidRPr="002A4F0C" w:rsidRDefault="002A4F0C" w:rsidP="002A4F0C">
            <w:pPr>
              <w:spacing w:line="240" w:lineRule="auto"/>
              <w:jc w:val="center"/>
              <w:rPr>
                <w:rFonts w:ascii="Arial" w:hAnsi="Arial"/>
                <w:szCs w:val="22"/>
              </w:rPr>
            </w:pPr>
            <w:r w:rsidRPr="002A4F0C">
              <w:rPr>
                <w:rFonts w:ascii="Arial" w:hAnsi="Arial"/>
                <w:szCs w:val="22"/>
              </w:rPr>
              <w:t>27711</w:t>
            </w:r>
          </w:p>
        </w:tc>
        <w:tc>
          <w:tcPr>
            <w:tcW w:w="7938" w:type="dxa"/>
            <w:shd w:val="clear" w:color="auto" w:fill="auto"/>
            <w:vAlign w:val="bottom"/>
          </w:tcPr>
          <w:p w14:paraId="4A2F8F23" w14:textId="77777777" w:rsidR="002A4F0C" w:rsidRPr="002A4F0C" w:rsidRDefault="002A4F0C" w:rsidP="002A4F0C">
            <w:pPr>
              <w:spacing w:line="240" w:lineRule="auto"/>
              <w:rPr>
                <w:rFonts w:ascii="Arial" w:hAnsi="Arial"/>
                <w:szCs w:val="22"/>
              </w:rPr>
            </w:pPr>
            <w:r w:rsidRPr="002A4F0C">
              <w:rPr>
                <w:rFonts w:ascii="Arial" w:hAnsi="Arial"/>
                <w:szCs w:val="22"/>
              </w:rPr>
              <w:t>Racciatti D, Vecchiet J, Ceccomancini A, Ricci F, Pizzigallo E. Chronic fatigue syndrome following a toxic exposure. Sci Total Environ. 2001 Apr 10;270(1-3):27-31.</w:t>
            </w:r>
          </w:p>
        </w:tc>
      </w:tr>
      <w:tr w:rsidR="002A4F0C" w:rsidRPr="002A4F0C" w14:paraId="42214914" w14:textId="77777777" w:rsidTr="002A4F0C">
        <w:trPr>
          <w:cantSplit/>
        </w:trPr>
        <w:tc>
          <w:tcPr>
            <w:tcW w:w="1575" w:type="dxa"/>
            <w:shd w:val="clear" w:color="auto" w:fill="auto"/>
            <w:noWrap/>
            <w:vAlign w:val="center"/>
          </w:tcPr>
          <w:p w14:paraId="300C1748" w14:textId="77777777" w:rsidR="002A4F0C" w:rsidRPr="002A4F0C" w:rsidRDefault="002A4F0C" w:rsidP="002A4F0C">
            <w:pPr>
              <w:spacing w:line="240" w:lineRule="auto"/>
              <w:jc w:val="center"/>
              <w:rPr>
                <w:rFonts w:ascii="Arial" w:hAnsi="Arial"/>
                <w:szCs w:val="22"/>
              </w:rPr>
            </w:pPr>
            <w:r w:rsidRPr="002A4F0C">
              <w:rPr>
                <w:rFonts w:ascii="Arial" w:hAnsi="Arial"/>
                <w:szCs w:val="22"/>
              </w:rPr>
              <w:t>27722</w:t>
            </w:r>
          </w:p>
        </w:tc>
        <w:tc>
          <w:tcPr>
            <w:tcW w:w="7938" w:type="dxa"/>
            <w:shd w:val="clear" w:color="auto" w:fill="auto"/>
            <w:vAlign w:val="bottom"/>
          </w:tcPr>
          <w:p w14:paraId="5AE5EF7C" w14:textId="77777777" w:rsidR="002A4F0C" w:rsidRPr="002A4F0C" w:rsidRDefault="002A4F0C" w:rsidP="002A4F0C">
            <w:pPr>
              <w:spacing w:line="240" w:lineRule="auto"/>
              <w:rPr>
                <w:rFonts w:ascii="Arial" w:hAnsi="Arial"/>
                <w:szCs w:val="22"/>
              </w:rPr>
            </w:pPr>
            <w:r w:rsidRPr="002A4F0C">
              <w:rPr>
                <w:rFonts w:ascii="Arial" w:hAnsi="Arial"/>
                <w:szCs w:val="22"/>
              </w:rPr>
              <w:t>Kilpatrick ME (2000)[LETTER]. Al Eskan disease and "dirty dust". Military Medicine, Vol 165 p iii.</w:t>
            </w:r>
          </w:p>
        </w:tc>
      </w:tr>
      <w:tr w:rsidR="002A4F0C" w:rsidRPr="002A4F0C" w14:paraId="4B03F080" w14:textId="77777777" w:rsidTr="002A4F0C">
        <w:trPr>
          <w:cantSplit/>
        </w:trPr>
        <w:tc>
          <w:tcPr>
            <w:tcW w:w="1575" w:type="dxa"/>
            <w:shd w:val="clear" w:color="auto" w:fill="auto"/>
            <w:noWrap/>
            <w:vAlign w:val="center"/>
          </w:tcPr>
          <w:p w14:paraId="11FD66B9" w14:textId="77777777" w:rsidR="002A4F0C" w:rsidRPr="002A4F0C" w:rsidRDefault="002A4F0C" w:rsidP="002A4F0C">
            <w:pPr>
              <w:spacing w:line="240" w:lineRule="auto"/>
              <w:jc w:val="center"/>
              <w:rPr>
                <w:rFonts w:ascii="Arial" w:hAnsi="Arial"/>
                <w:szCs w:val="22"/>
              </w:rPr>
            </w:pPr>
            <w:r w:rsidRPr="002A4F0C">
              <w:rPr>
                <w:rFonts w:ascii="Arial" w:hAnsi="Arial"/>
                <w:szCs w:val="22"/>
              </w:rPr>
              <w:t>27764</w:t>
            </w:r>
          </w:p>
        </w:tc>
        <w:tc>
          <w:tcPr>
            <w:tcW w:w="7938" w:type="dxa"/>
            <w:shd w:val="clear" w:color="auto" w:fill="auto"/>
            <w:vAlign w:val="bottom"/>
          </w:tcPr>
          <w:p w14:paraId="415A949C" w14:textId="77777777" w:rsidR="002A4F0C" w:rsidRPr="002A4F0C" w:rsidRDefault="002A4F0C" w:rsidP="002A4F0C">
            <w:pPr>
              <w:spacing w:line="240" w:lineRule="auto"/>
              <w:rPr>
                <w:rFonts w:ascii="Arial" w:hAnsi="Arial"/>
                <w:szCs w:val="22"/>
              </w:rPr>
            </w:pPr>
            <w:r w:rsidRPr="002A4F0C">
              <w:rPr>
                <w:rFonts w:ascii="Arial" w:hAnsi="Arial"/>
                <w:szCs w:val="22"/>
              </w:rPr>
              <w:t>Lo SC, Levin L, Ribas J, Chung R, et al (2000). Lack of serological evidence for Mycoplasma fermentans infection in army Gulf War veterans: a large scale case-control study. Epidemiol Infect, 125(3): 609-16.</w:t>
            </w:r>
          </w:p>
        </w:tc>
      </w:tr>
      <w:tr w:rsidR="002A4F0C" w:rsidRPr="002A4F0C" w14:paraId="6D51F664" w14:textId="77777777" w:rsidTr="002A4F0C">
        <w:trPr>
          <w:cantSplit/>
        </w:trPr>
        <w:tc>
          <w:tcPr>
            <w:tcW w:w="1575" w:type="dxa"/>
            <w:shd w:val="clear" w:color="auto" w:fill="auto"/>
            <w:noWrap/>
            <w:vAlign w:val="center"/>
          </w:tcPr>
          <w:p w14:paraId="712E3171" w14:textId="77777777" w:rsidR="002A4F0C" w:rsidRPr="002A4F0C" w:rsidRDefault="002A4F0C" w:rsidP="002A4F0C">
            <w:pPr>
              <w:spacing w:line="240" w:lineRule="auto"/>
              <w:jc w:val="center"/>
              <w:rPr>
                <w:rFonts w:ascii="Arial" w:hAnsi="Arial"/>
                <w:szCs w:val="22"/>
              </w:rPr>
            </w:pPr>
            <w:r w:rsidRPr="002A4F0C">
              <w:rPr>
                <w:rFonts w:ascii="Arial" w:hAnsi="Arial"/>
                <w:szCs w:val="22"/>
              </w:rPr>
              <w:t>27765</w:t>
            </w:r>
          </w:p>
        </w:tc>
        <w:tc>
          <w:tcPr>
            <w:tcW w:w="7938" w:type="dxa"/>
            <w:shd w:val="clear" w:color="auto" w:fill="auto"/>
            <w:vAlign w:val="bottom"/>
          </w:tcPr>
          <w:p w14:paraId="142BBF2E" w14:textId="77777777" w:rsidR="002A4F0C" w:rsidRPr="002A4F0C" w:rsidRDefault="002A4F0C" w:rsidP="002A4F0C">
            <w:pPr>
              <w:spacing w:line="240" w:lineRule="auto"/>
              <w:rPr>
                <w:rFonts w:ascii="Arial" w:hAnsi="Arial"/>
                <w:szCs w:val="22"/>
              </w:rPr>
            </w:pPr>
            <w:r w:rsidRPr="002A4F0C">
              <w:rPr>
                <w:rFonts w:ascii="Arial" w:hAnsi="Arial"/>
                <w:szCs w:val="22"/>
              </w:rPr>
              <w:t>Mazzuchi JF, Claypool RG, Hyams KC, Trump D, et al (2000). Protecting the health of US military forces: a national obligation. Aviation, Space &amp; Environmental Medicine, 71(3) pp 260-5.</w:t>
            </w:r>
          </w:p>
        </w:tc>
      </w:tr>
      <w:tr w:rsidR="002A4F0C" w:rsidRPr="002A4F0C" w14:paraId="7A865660" w14:textId="77777777" w:rsidTr="002A4F0C">
        <w:trPr>
          <w:cantSplit/>
        </w:trPr>
        <w:tc>
          <w:tcPr>
            <w:tcW w:w="1575" w:type="dxa"/>
            <w:shd w:val="clear" w:color="auto" w:fill="auto"/>
            <w:noWrap/>
            <w:vAlign w:val="center"/>
          </w:tcPr>
          <w:p w14:paraId="7C663A62" w14:textId="77777777" w:rsidR="002A4F0C" w:rsidRPr="002A4F0C" w:rsidRDefault="002A4F0C" w:rsidP="002A4F0C">
            <w:pPr>
              <w:spacing w:line="240" w:lineRule="auto"/>
              <w:jc w:val="center"/>
              <w:rPr>
                <w:rFonts w:ascii="Arial" w:hAnsi="Arial"/>
                <w:szCs w:val="22"/>
              </w:rPr>
            </w:pPr>
            <w:r w:rsidRPr="002A4F0C">
              <w:rPr>
                <w:rFonts w:ascii="Arial" w:hAnsi="Arial"/>
                <w:szCs w:val="22"/>
              </w:rPr>
              <w:t>27837</w:t>
            </w:r>
          </w:p>
        </w:tc>
        <w:tc>
          <w:tcPr>
            <w:tcW w:w="7938" w:type="dxa"/>
            <w:shd w:val="clear" w:color="auto" w:fill="auto"/>
            <w:vAlign w:val="bottom"/>
          </w:tcPr>
          <w:p w14:paraId="78DABCB5" w14:textId="77777777" w:rsidR="002A4F0C" w:rsidRPr="002A4F0C" w:rsidRDefault="002A4F0C" w:rsidP="002A4F0C">
            <w:pPr>
              <w:spacing w:line="240" w:lineRule="auto"/>
              <w:rPr>
                <w:rFonts w:ascii="Arial" w:hAnsi="Arial"/>
                <w:szCs w:val="22"/>
              </w:rPr>
            </w:pPr>
            <w:r w:rsidRPr="002A4F0C">
              <w:rPr>
                <w:rFonts w:ascii="Arial" w:hAnsi="Arial"/>
                <w:szCs w:val="22"/>
              </w:rPr>
              <w:t>Mahoney DB. A normative construction of Gulf War syndrome. Perspect Biol Med.2001 Fall;44(4):575-83.</w:t>
            </w:r>
          </w:p>
        </w:tc>
      </w:tr>
      <w:tr w:rsidR="002A4F0C" w:rsidRPr="002A4F0C" w14:paraId="6E82CEBF" w14:textId="77777777" w:rsidTr="002A4F0C">
        <w:trPr>
          <w:cantSplit/>
        </w:trPr>
        <w:tc>
          <w:tcPr>
            <w:tcW w:w="1575" w:type="dxa"/>
            <w:shd w:val="clear" w:color="auto" w:fill="auto"/>
            <w:noWrap/>
            <w:vAlign w:val="center"/>
          </w:tcPr>
          <w:p w14:paraId="0EAC8D00" w14:textId="77777777" w:rsidR="002A4F0C" w:rsidRPr="002A4F0C" w:rsidRDefault="002A4F0C" w:rsidP="002A4F0C">
            <w:pPr>
              <w:spacing w:line="240" w:lineRule="auto"/>
              <w:jc w:val="center"/>
              <w:rPr>
                <w:rFonts w:ascii="Arial" w:hAnsi="Arial"/>
                <w:szCs w:val="22"/>
              </w:rPr>
            </w:pPr>
            <w:r w:rsidRPr="002A4F0C">
              <w:rPr>
                <w:rFonts w:ascii="Arial" w:hAnsi="Arial"/>
                <w:szCs w:val="22"/>
              </w:rPr>
              <w:t>27948</w:t>
            </w:r>
          </w:p>
        </w:tc>
        <w:tc>
          <w:tcPr>
            <w:tcW w:w="7938" w:type="dxa"/>
            <w:shd w:val="clear" w:color="auto" w:fill="auto"/>
            <w:vAlign w:val="bottom"/>
          </w:tcPr>
          <w:p w14:paraId="0CA9F0AD" w14:textId="77777777" w:rsidR="002A4F0C" w:rsidRPr="002A4F0C" w:rsidRDefault="002A4F0C" w:rsidP="002A4F0C">
            <w:pPr>
              <w:spacing w:line="240" w:lineRule="auto"/>
              <w:rPr>
                <w:rFonts w:ascii="Arial" w:hAnsi="Arial"/>
                <w:szCs w:val="22"/>
              </w:rPr>
            </w:pPr>
            <w:r w:rsidRPr="002A4F0C">
              <w:rPr>
                <w:rFonts w:ascii="Arial" w:hAnsi="Arial"/>
                <w:szCs w:val="22"/>
              </w:rPr>
              <w:t>Wessely S &amp; the King's College Gulf War Research Unit (2001). Ten years on: what do we know about the Gulf War syndrome? Clinical Medicine, 1(1) pp 28-37.</w:t>
            </w:r>
          </w:p>
        </w:tc>
      </w:tr>
      <w:tr w:rsidR="002A4F0C" w:rsidRPr="002A4F0C" w14:paraId="04A570D6" w14:textId="77777777" w:rsidTr="002A4F0C">
        <w:trPr>
          <w:cantSplit/>
        </w:trPr>
        <w:tc>
          <w:tcPr>
            <w:tcW w:w="1575" w:type="dxa"/>
            <w:shd w:val="clear" w:color="auto" w:fill="auto"/>
            <w:noWrap/>
            <w:vAlign w:val="center"/>
          </w:tcPr>
          <w:p w14:paraId="2B42748B" w14:textId="77777777" w:rsidR="002A4F0C" w:rsidRPr="002A4F0C" w:rsidRDefault="002A4F0C" w:rsidP="002A4F0C">
            <w:pPr>
              <w:spacing w:line="240" w:lineRule="auto"/>
              <w:jc w:val="center"/>
              <w:rPr>
                <w:rFonts w:ascii="Arial" w:hAnsi="Arial"/>
                <w:szCs w:val="22"/>
              </w:rPr>
            </w:pPr>
            <w:r w:rsidRPr="002A4F0C">
              <w:rPr>
                <w:rFonts w:ascii="Arial" w:hAnsi="Arial"/>
                <w:szCs w:val="22"/>
              </w:rPr>
              <w:t>28274</w:t>
            </w:r>
          </w:p>
        </w:tc>
        <w:tc>
          <w:tcPr>
            <w:tcW w:w="7938" w:type="dxa"/>
            <w:shd w:val="clear" w:color="auto" w:fill="auto"/>
            <w:vAlign w:val="bottom"/>
          </w:tcPr>
          <w:p w14:paraId="2F7DB56A" w14:textId="77777777" w:rsidR="002A4F0C" w:rsidRPr="002A4F0C" w:rsidRDefault="002A4F0C" w:rsidP="002A4F0C">
            <w:pPr>
              <w:spacing w:line="240" w:lineRule="auto"/>
              <w:rPr>
                <w:rFonts w:ascii="Arial" w:hAnsi="Arial"/>
                <w:szCs w:val="22"/>
              </w:rPr>
            </w:pPr>
            <w:r w:rsidRPr="002A4F0C">
              <w:rPr>
                <w:rFonts w:ascii="Arial" w:hAnsi="Arial"/>
                <w:szCs w:val="22"/>
              </w:rPr>
              <w:t>Schoenig GP; Abou-Donia MB, Goldstein LB &amp; Khan WA (2002)[LETTERS]. "Locomotor and Sensorimotor Performance Deficit in Rats following Exposure to Pyridostigmine Bromide, DEET, and permethrin, Alone and in Combination". Toxicological Sciences, Vol 68 pp 516-519.</w:t>
            </w:r>
          </w:p>
        </w:tc>
      </w:tr>
      <w:tr w:rsidR="002A4F0C" w:rsidRPr="002A4F0C" w14:paraId="0CE8E47B" w14:textId="77777777" w:rsidTr="002A4F0C">
        <w:trPr>
          <w:cantSplit/>
        </w:trPr>
        <w:tc>
          <w:tcPr>
            <w:tcW w:w="1575" w:type="dxa"/>
            <w:shd w:val="clear" w:color="auto" w:fill="auto"/>
            <w:noWrap/>
            <w:vAlign w:val="center"/>
          </w:tcPr>
          <w:p w14:paraId="59E6869A" w14:textId="77777777" w:rsidR="002A4F0C" w:rsidRPr="002A4F0C" w:rsidRDefault="002A4F0C" w:rsidP="002A4F0C">
            <w:pPr>
              <w:spacing w:line="240" w:lineRule="auto"/>
              <w:jc w:val="center"/>
              <w:rPr>
                <w:rFonts w:ascii="Arial" w:hAnsi="Arial"/>
                <w:szCs w:val="22"/>
              </w:rPr>
            </w:pPr>
            <w:r w:rsidRPr="002A4F0C">
              <w:rPr>
                <w:rFonts w:ascii="Arial" w:hAnsi="Arial"/>
                <w:szCs w:val="22"/>
              </w:rPr>
              <w:t>28275</w:t>
            </w:r>
          </w:p>
        </w:tc>
        <w:tc>
          <w:tcPr>
            <w:tcW w:w="7938" w:type="dxa"/>
            <w:shd w:val="clear" w:color="auto" w:fill="auto"/>
            <w:vAlign w:val="bottom"/>
          </w:tcPr>
          <w:p w14:paraId="7BC69902" w14:textId="77777777" w:rsidR="002A4F0C" w:rsidRPr="002A4F0C" w:rsidRDefault="002A4F0C" w:rsidP="002A4F0C">
            <w:pPr>
              <w:spacing w:line="240" w:lineRule="auto"/>
              <w:rPr>
                <w:rFonts w:ascii="Arial" w:hAnsi="Arial"/>
                <w:szCs w:val="22"/>
              </w:rPr>
            </w:pPr>
            <w:r w:rsidRPr="002A4F0C">
              <w:rPr>
                <w:rFonts w:ascii="Arial" w:hAnsi="Arial"/>
                <w:szCs w:val="22"/>
              </w:rPr>
              <w:t>Abou-Donia MB , Goldstein LB, Jones KH, Abdel-Rahman AA, et al (2001). Locomotor and Sensorimotor Performance Deficit in Rats following Exposure to Pyridostigmine Bromide, DEET, and Permethrin, Alone and in Combination. Toxicological Sciences, Vol 60 pp 305-314.</w:t>
            </w:r>
          </w:p>
        </w:tc>
      </w:tr>
      <w:tr w:rsidR="002A4F0C" w:rsidRPr="002A4F0C" w14:paraId="44CEA609" w14:textId="77777777" w:rsidTr="002A4F0C">
        <w:trPr>
          <w:cantSplit/>
        </w:trPr>
        <w:tc>
          <w:tcPr>
            <w:tcW w:w="1575" w:type="dxa"/>
            <w:shd w:val="clear" w:color="auto" w:fill="auto"/>
            <w:noWrap/>
            <w:vAlign w:val="center"/>
          </w:tcPr>
          <w:p w14:paraId="5D91F4CF" w14:textId="77777777" w:rsidR="002A4F0C" w:rsidRPr="002A4F0C" w:rsidRDefault="002A4F0C" w:rsidP="002A4F0C">
            <w:pPr>
              <w:spacing w:line="240" w:lineRule="auto"/>
              <w:jc w:val="center"/>
              <w:rPr>
                <w:rFonts w:ascii="Arial" w:hAnsi="Arial"/>
                <w:szCs w:val="22"/>
              </w:rPr>
            </w:pPr>
            <w:r w:rsidRPr="002A4F0C">
              <w:rPr>
                <w:rFonts w:ascii="Arial" w:hAnsi="Arial"/>
                <w:szCs w:val="22"/>
              </w:rPr>
              <w:t>28338</w:t>
            </w:r>
          </w:p>
        </w:tc>
        <w:tc>
          <w:tcPr>
            <w:tcW w:w="7938" w:type="dxa"/>
            <w:shd w:val="clear" w:color="auto" w:fill="auto"/>
            <w:vAlign w:val="bottom"/>
          </w:tcPr>
          <w:p w14:paraId="436996E5" w14:textId="77777777" w:rsidR="002A4F0C" w:rsidRPr="002A4F0C" w:rsidRDefault="002A4F0C" w:rsidP="002A4F0C">
            <w:pPr>
              <w:spacing w:line="240" w:lineRule="auto"/>
              <w:rPr>
                <w:rFonts w:ascii="Arial" w:hAnsi="Arial"/>
                <w:szCs w:val="22"/>
              </w:rPr>
            </w:pPr>
            <w:r w:rsidRPr="002A4F0C">
              <w:rPr>
                <w:rFonts w:ascii="Arial" w:hAnsi="Arial"/>
                <w:szCs w:val="22"/>
              </w:rPr>
              <w:t>Sim M, Abramson M, Forbes A, Ikin J, et al (2003). Australian Gulf War Veterans' Health Study,  Vol 1. Commonwealth of Australia.</w:t>
            </w:r>
          </w:p>
        </w:tc>
      </w:tr>
      <w:tr w:rsidR="002A4F0C" w:rsidRPr="002A4F0C" w14:paraId="4FF040A5" w14:textId="77777777" w:rsidTr="002A4F0C">
        <w:trPr>
          <w:cantSplit/>
        </w:trPr>
        <w:tc>
          <w:tcPr>
            <w:tcW w:w="1575" w:type="dxa"/>
            <w:shd w:val="clear" w:color="auto" w:fill="auto"/>
            <w:noWrap/>
            <w:vAlign w:val="center"/>
          </w:tcPr>
          <w:p w14:paraId="46C46EC0" w14:textId="77777777" w:rsidR="002A4F0C" w:rsidRPr="002A4F0C" w:rsidRDefault="002A4F0C" w:rsidP="002A4F0C">
            <w:pPr>
              <w:spacing w:line="240" w:lineRule="auto"/>
              <w:jc w:val="center"/>
              <w:rPr>
                <w:rFonts w:ascii="Arial" w:hAnsi="Arial"/>
                <w:szCs w:val="22"/>
              </w:rPr>
            </w:pPr>
            <w:r w:rsidRPr="002A4F0C">
              <w:rPr>
                <w:rFonts w:ascii="Arial" w:hAnsi="Arial"/>
                <w:szCs w:val="22"/>
              </w:rPr>
              <w:t>28339</w:t>
            </w:r>
          </w:p>
        </w:tc>
        <w:tc>
          <w:tcPr>
            <w:tcW w:w="7938" w:type="dxa"/>
            <w:shd w:val="clear" w:color="auto" w:fill="auto"/>
            <w:vAlign w:val="bottom"/>
          </w:tcPr>
          <w:p w14:paraId="78D9A087" w14:textId="77777777" w:rsidR="002A4F0C" w:rsidRPr="002A4F0C" w:rsidRDefault="002A4F0C" w:rsidP="002A4F0C">
            <w:pPr>
              <w:spacing w:line="240" w:lineRule="auto"/>
              <w:rPr>
                <w:rFonts w:ascii="Arial" w:hAnsi="Arial"/>
                <w:szCs w:val="22"/>
              </w:rPr>
            </w:pPr>
            <w:r w:rsidRPr="002A4F0C">
              <w:rPr>
                <w:rFonts w:ascii="Arial" w:hAnsi="Arial"/>
                <w:szCs w:val="22"/>
              </w:rPr>
              <w:t>Sim M, Abramson M, Forbes A, Ikin J, et al (2003). Australian Gulf War Veterans’ Health Study,  Vol 2. Commonwealth of Australia.</w:t>
            </w:r>
          </w:p>
        </w:tc>
      </w:tr>
      <w:tr w:rsidR="002A4F0C" w:rsidRPr="002A4F0C" w14:paraId="434203D9" w14:textId="77777777" w:rsidTr="002A4F0C">
        <w:trPr>
          <w:cantSplit/>
        </w:trPr>
        <w:tc>
          <w:tcPr>
            <w:tcW w:w="1575" w:type="dxa"/>
            <w:shd w:val="clear" w:color="auto" w:fill="auto"/>
            <w:noWrap/>
            <w:vAlign w:val="center"/>
          </w:tcPr>
          <w:p w14:paraId="4EECDF78" w14:textId="77777777" w:rsidR="002A4F0C" w:rsidRPr="002A4F0C" w:rsidRDefault="002A4F0C" w:rsidP="002A4F0C">
            <w:pPr>
              <w:spacing w:line="240" w:lineRule="auto"/>
              <w:jc w:val="center"/>
              <w:rPr>
                <w:rFonts w:ascii="Arial" w:hAnsi="Arial"/>
                <w:szCs w:val="22"/>
              </w:rPr>
            </w:pPr>
            <w:r w:rsidRPr="002A4F0C">
              <w:rPr>
                <w:rFonts w:ascii="Arial" w:hAnsi="Arial"/>
                <w:szCs w:val="22"/>
              </w:rPr>
              <w:t>28340</w:t>
            </w:r>
          </w:p>
        </w:tc>
        <w:tc>
          <w:tcPr>
            <w:tcW w:w="7938" w:type="dxa"/>
            <w:shd w:val="clear" w:color="auto" w:fill="auto"/>
            <w:vAlign w:val="bottom"/>
          </w:tcPr>
          <w:p w14:paraId="7045DD27" w14:textId="77777777" w:rsidR="002A4F0C" w:rsidRPr="002A4F0C" w:rsidRDefault="002A4F0C" w:rsidP="002A4F0C">
            <w:pPr>
              <w:spacing w:line="240" w:lineRule="auto"/>
              <w:rPr>
                <w:rFonts w:ascii="Arial" w:hAnsi="Arial"/>
                <w:szCs w:val="22"/>
              </w:rPr>
            </w:pPr>
            <w:r w:rsidRPr="002A4F0C">
              <w:rPr>
                <w:rFonts w:ascii="Arial" w:hAnsi="Arial"/>
                <w:szCs w:val="22"/>
              </w:rPr>
              <w:t>Sim M, Abramson M, Forbes A, Ikin J, Ittak P, et al (2003). Australian Gulf War Veterans’ Health Study,  Vol 3. Monash University and Health Services Australia.</w:t>
            </w:r>
          </w:p>
        </w:tc>
      </w:tr>
      <w:tr w:rsidR="002A4F0C" w:rsidRPr="002A4F0C" w14:paraId="20AA1475" w14:textId="77777777" w:rsidTr="002A4F0C">
        <w:trPr>
          <w:cantSplit/>
        </w:trPr>
        <w:tc>
          <w:tcPr>
            <w:tcW w:w="1575" w:type="dxa"/>
            <w:shd w:val="clear" w:color="auto" w:fill="auto"/>
            <w:noWrap/>
            <w:vAlign w:val="center"/>
          </w:tcPr>
          <w:p w14:paraId="569A7E36" w14:textId="77777777" w:rsidR="002A4F0C" w:rsidRPr="002A4F0C" w:rsidRDefault="002A4F0C" w:rsidP="002A4F0C">
            <w:pPr>
              <w:spacing w:line="240" w:lineRule="auto"/>
              <w:jc w:val="center"/>
              <w:rPr>
                <w:rFonts w:ascii="Arial" w:hAnsi="Arial"/>
                <w:szCs w:val="22"/>
              </w:rPr>
            </w:pPr>
            <w:r w:rsidRPr="002A4F0C">
              <w:rPr>
                <w:rFonts w:ascii="Arial" w:hAnsi="Arial"/>
                <w:szCs w:val="22"/>
              </w:rPr>
              <w:t>28681</w:t>
            </w:r>
          </w:p>
        </w:tc>
        <w:tc>
          <w:tcPr>
            <w:tcW w:w="7938" w:type="dxa"/>
            <w:shd w:val="clear" w:color="auto" w:fill="auto"/>
            <w:vAlign w:val="bottom"/>
          </w:tcPr>
          <w:p w14:paraId="7FE8CA69" w14:textId="77777777" w:rsidR="002A4F0C" w:rsidRPr="002A4F0C" w:rsidRDefault="002A4F0C" w:rsidP="002A4F0C">
            <w:pPr>
              <w:spacing w:line="240" w:lineRule="auto"/>
              <w:rPr>
                <w:rFonts w:ascii="Arial" w:hAnsi="Arial"/>
                <w:szCs w:val="22"/>
              </w:rPr>
            </w:pPr>
            <w:r w:rsidRPr="002A4F0C">
              <w:rPr>
                <w:rFonts w:ascii="Arial" w:hAnsi="Arial"/>
                <w:szCs w:val="22"/>
              </w:rPr>
              <w:t>Kang HK, Mahan CM, Lee KY, Magee CA, Murphy FM (2000). Illnesses among United States Veterans of the Gulf War: a population-based survey of 30,000 veterans. JOEM, 42(5) pp 491-501.</w:t>
            </w:r>
          </w:p>
        </w:tc>
      </w:tr>
      <w:tr w:rsidR="002A4F0C" w:rsidRPr="002A4F0C" w14:paraId="4B7D6A77" w14:textId="77777777" w:rsidTr="002A4F0C">
        <w:trPr>
          <w:cantSplit/>
        </w:trPr>
        <w:tc>
          <w:tcPr>
            <w:tcW w:w="1575" w:type="dxa"/>
            <w:shd w:val="clear" w:color="auto" w:fill="auto"/>
            <w:noWrap/>
            <w:vAlign w:val="center"/>
          </w:tcPr>
          <w:p w14:paraId="37DF9F27" w14:textId="77777777" w:rsidR="002A4F0C" w:rsidRPr="002A4F0C" w:rsidRDefault="002A4F0C" w:rsidP="002A4F0C">
            <w:pPr>
              <w:spacing w:line="240" w:lineRule="auto"/>
              <w:jc w:val="center"/>
              <w:rPr>
                <w:rFonts w:ascii="Arial" w:hAnsi="Arial"/>
                <w:szCs w:val="22"/>
              </w:rPr>
            </w:pPr>
            <w:r w:rsidRPr="002A4F0C">
              <w:rPr>
                <w:rFonts w:ascii="Arial" w:hAnsi="Arial"/>
                <w:szCs w:val="22"/>
              </w:rPr>
              <w:t>28860</w:t>
            </w:r>
          </w:p>
        </w:tc>
        <w:tc>
          <w:tcPr>
            <w:tcW w:w="7938" w:type="dxa"/>
            <w:shd w:val="clear" w:color="auto" w:fill="auto"/>
            <w:vAlign w:val="bottom"/>
          </w:tcPr>
          <w:p w14:paraId="18E95C0F" w14:textId="77777777" w:rsidR="002A4F0C" w:rsidRPr="002A4F0C" w:rsidRDefault="002A4F0C" w:rsidP="002A4F0C">
            <w:pPr>
              <w:spacing w:line="240" w:lineRule="auto"/>
              <w:rPr>
                <w:rFonts w:ascii="Arial" w:hAnsi="Arial"/>
                <w:szCs w:val="22"/>
              </w:rPr>
            </w:pPr>
            <w:r w:rsidRPr="002A4F0C">
              <w:rPr>
                <w:rFonts w:ascii="Arial" w:hAnsi="Arial"/>
                <w:szCs w:val="22"/>
              </w:rPr>
              <w:t>Haley RW (2003). Excess incidence of ALS in young Gulf War veterans. Neurology, 61: 750-6.</w:t>
            </w:r>
          </w:p>
        </w:tc>
      </w:tr>
      <w:tr w:rsidR="002A4F0C" w:rsidRPr="002A4F0C" w14:paraId="17087D75" w14:textId="77777777" w:rsidTr="002A4F0C">
        <w:trPr>
          <w:cantSplit/>
        </w:trPr>
        <w:tc>
          <w:tcPr>
            <w:tcW w:w="1575" w:type="dxa"/>
            <w:shd w:val="clear" w:color="auto" w:fill="auto"/>
            <w:noWrap/>
            <w:vAlign w:val="center"/>
          </w:tcPr>
          <w:p w14:paraId="256A27DB" w14:textId="77777777" w:rsidR="002A4F0C" w:rsidRPr="002A4F0C" w:rsidRDefault="002A4F0C" w:rsidP="002A4F0C">
            <w:pPr>
              <w:spacing w:line="240" w:lineRule="auto"/>
              <w:jc w:val="center"/>
              <w:rPr>
                <w:rFonts w:ascii="Arial" w:hAnsi="Arial"/>
                <w:szCs w:val="22"/>
              </w:rPr>
            </w:pPr>
            <w:r w:rsidRPr="002A4F0C">
              <w:rPr>
                <w:rFonts w:ascii="Arial" w:hAnsi="Arial"/>
                <w:szCs w:val="22"/>
              </w:rPr>
              <w:t>28873</w:t>
            </w:r>
          </w:p>
        </w:tc>
        <w:tc>
          <w:tcPr>
            <w:tcW w:w="7938" w:type="dxa"/>
            <w:shd w:val="clear" w:color="auto" w:fill="auto"/>
            <w:vAlign w:val="bottom"/>
          </w:tcPr>
          <w:p w14:paraId="7487C11D" w14:textId="77777777" w:rsidR="002A4F0C" w:rsidRPr="002A4F0C" w:rsidRDefault="002A4F0C" w:rsidP="002A4F0C">
            <w:pPr>
              <w:spacing w:line="240" w:lineRule="auto"/>
              <w:rPr>
                <w:rFonts w:ascii="Arial" w:hAnsi="Arial"/>
                <w:szCs w:val="22"/>
              </w:rPr>
            </w:pPr>
            <w:r w:rsidRPr="002A4F0C">
              <w:rPr>
                <w:rFonts w:ascii="Arial" w:hAnsi="Arial"/>
                <w:szCs w:val="22"/>
              </w:rPr>
              <w:t>Rose MR. (2003). Gulf war service is an uncertain trigger for ALS. Neurology Vol 61 pp 730-1</w:t>
            </w:r>
          </w:p>
        </w:tc>
      </w:tr>
      <w:tr w:rsidR="002A4F0C" w:rsidRPr="002A4F0C" w14:paraId="7C5B48F4" w14:textId="77777777" w:rsidTr="002A4F0C">
        <w:trPr>
          <w:cantSplit/>
        </w:trPr>
        <w:tc>
          <w:tcPr>
            <w:tcW w:w="1575" w:type="dxa"/>
            <w:shd w:val="clear" w:color="auto" w:fill="auto"/>
            <w:noWrap/>
            <w:vAlign w:val="center"/>
          </w:tcPr>
          <w:p w14:paraId="3BC1B829" w14:textId="77777777" w:rsidR="002A4F0C" w:rsidRPr="002A4F0C" w:rsidRDefault="002A4F0C" w:rsidP="002A4F0C">
            <w:pPr>
              <w:spacing w:line="240" w:lineRule="auto"/>
              <w:jc w:val="center"/>
              <w:rPr>
                <w:rFonts w:ascii="Arial" w:hAnsi="Arial"/>
                <w:szCs w:val="22"/>
              </w:rPr>
            </w:pPr>
            <w:r w:rsidRPr="002A4F0C">
              <w:rPr>
                <w:rFonts w:ascii="Arial" w:hAnsi="Arial"/>
                <w:szCs w:val="22"/>
              </w:rPr>
              <w:t>28874</w:t>
            </w:r>
          </w:p>
        </w:tc>
        <w:tc>
          <w:tcPr>
            <w:tcW w:w="7938" w:type="dxa"/>
            <w:shd w:val="clear" w:color="auto" w:fill="auto"/>
            <w:vAlign w:val="bottom"/>
          </w:tcPr>
          <w:p w14:paraId="11C2E1C0" w14:textId="77777777" w:rsidR="002A4F0C" w:rsidRPr="002A4F0C" w:rsidRDefault="002A4F0C" w:rsidP="002A4F0C">
            <w:pPr>
              <w:spacing w:line="240" w:lineRule="auto"/>
              <w:rPr>
                <w:rFonts w:ascii="Arial" w:hAnsi="Arial"/>
                <w:szCs w:val="22"/>
              </w:rPr>
            </w:pPr>
            <w:r w:rsidRPr="002A4F0C">
              <w:rPr>
                <w:rFonts w:ascii="Arial" w:hAnsi="Arial"/>
                <w:szCs w:val="22"/>
              </w:rPr>
              <w:t>Horner RD, Kamins KG, Feussner JR, Grambow SC, et al (2003). Occurrence of amyotrophic lateral sclerosis among Gulf War veterans. Neurology, 61: 742-9.</w:t>
            </w:r>
          </w:p>
        </w:tc>
      </w:tr>
      <w:tr w:rsidR="002A4F0C" w:rsidRPr="002A4F0C" w14:paraId="28A6ED6D" w14:textId="77777777" w:rsidTr="002A4F0C">
        <w:trPr>
          <w:cantSplit/>
        </w:trPr>
        <w:tc>
          <w:tcPr>
            <w:tcW w:w="1575" w:type="dxa"/>
            <w:shd w:val="clear" w:color="auto" w:fill="auto"/>
            <w:noWrap/>
            <w:vAlign w:val="center"/>
          </w:tcPr>
          <w:p w14:paraId="550AC069" w14:textId="77777777" w:rsidR="002A4F0C" w:rsidRPr="002A4F0C" w:rsidRDefault="002A4F0C" w:rsidP="002A4F0C">
            <w:pPr>
              <w:spacing w:line="240" w:lineRule="auto"/>
              <w:jc w:val="center"/>
              <w:rPr>
                <w:rFonts w:ascii="Arial" w:hAnsi="Arial"/>
                <w:szCs w:val="22"/>
              </w:rPr>
            </w:pPr>
            <w:r w:rsidRPr="002A4F0C">
              <w:rPr>
                <w:rFonts w:ascii="Arial" w:hAnsi="Arial"/>
                <w:szCs w:val="22"/>
              </w:rPr>
              <w:t>29155</w:t>
            </w:r>
          </w:p>
        </w:tc>
        <w:tc>
          <w:tcPr>
            <w:tcW w:w="7938" w:type="dxa"/>
            <w:shd w:val="clear" w:color="auto" w:fill="auto"/>
            <w:vAlign w:val="bottom"/>
          </w:tcPr>
          <w:p w14:paraId="18845B15" w14:textId="77777777" w:rsidR="002A4F0C" w:rsidRPr="002A4F0C" w:rsidRDefault="002A4F0C" w:rsidP="002A4F0C">
            <w:pPr>
              <w:spacing w:line="240" w:lineRule="auto"/>
              <w:rPr>
                <w:rFonts w:ascii="Arial" w:hAnsi="Arial"/>
                <w:szCs w:val="22"/>
              </w:rPr>
            </w:pPr>
            <w:r w:rsidRPr="002A4F0C">
              <w:rPr>
                <w:rFonts w:ascii="Arial" w:hAnsi="Arial"/>
                <w:szCs w:val="22"/>
              </w:rPr>
              <w:t>Barrett DH, Gray GC, Doebbling BN, Clauw &amp; Reeves WC (2002). Prevalence of symptoms and symptom-based conditions among Gulf War Veterans: current status of research findings. Epidemiologic Reviews; 24: 218-227.</w:t>
            </w:r>
          </w:p>
        </w:tc>
      </w:tr>
      <w:tr w:rsidR="002A4F0C" w:rsidRPr="002A4F0C" w14:paraId="03301A87" w14:textId="77777777" w:rsidTr="002A4F0C">
        <w:trPr>
          <w:cantSplit/>
        </w:trPr>
        <w:tc>
          <w:tcPr>
            <w:tcW w:w="1575" w:type="dxa"/>
            <w:shd w:val="clear" w:color="auto" w:fill="auto"/>
            <w:noWrap/>
            <w:vAlign w:val="center"/>
          </w:tcPr>
          <w:p w14:paraId="26EF3C4D" w14:textId="77777777" w:rsidR="002A4F0C" w:rsidRPr="002A4F0C" w:rsidRDefault="002A4F0C" w:rsidP="002A4F0C">
            <w:pPr>
              <w:spacing w:line="240" w:lineRule="auto"/>
              <w:jc w:val="center"/>
              <w:rPr>
                <w:rFonts w:ascii="Arial" w:hAnsi="Arial"/>
                <w:szCs w:val="22"/>
              </w:rPr>
            </w:pPr>
            <w:r w:rsidRPr="002A4F0C">
              <w:rPr>
                <w:rFonts w:ascii="Arial" w:hAnsi="Arial"/>
                <w:szCs w:val="22"/>
              </w:rPr>
              <w:t>29578</w:t>
            </w:r>
          </w:p>
        </w:tc>
        <w:tc>
          <w:tcPr>
            <w:tcW w:w="7938" w:type="dxa"/>
            <w:shd w:val="clear" w:color="auto" w:fill="auto"/>
            <w:vAlign w:val="bottom"/>
          </w:tcPr>
          <w:p w14:paraId="42E9174F" w14:textId="77777777" w:rsidR="002A4F0C" w:rsidRPr="002A4F0C" w:rsidRDefault="002A4F0C" w:rsidP="002A4F0C">
            <w:pPr>
              <w:spacing w:line="240" w:lineRule="auto"/>
              <w:rPr>
                <w:rFonts w:ascii="Arial" w:hAnsi="Arial"/>
                <w:szCs w:val="22"/>
              </w:rPr>
            </w:pPr>
            <w:r w:rsidRPr="002A4F0C">
              <w:rPr>
                <w:rFonts w:ascii="Arial" w:hAnsi="Arial"/>
                <w:szCs w:val="22"/>
              </w:rPr>
              <w:t>Bates MN, Fawcett J, Garrett N, et al (2001). Is testicular cancer an occupational disease of fire fighters? American Journal of Industrial Medicine, 40(3): 263-70.</w:t>
            </w:r>
          </w:p>
        </w:tc>
      </w:tr>
      <w:tr w:rsidR="002A4F0C" w:rsidRPr="002A4F0C" w14:paraId="7D7E04D9" w14:textId="77777777" w:rsidTr="002A4F0C">
        <w:trPr>
          <w:cantSplit/>
        </w:trPr>
        <w:tc>
          <w:tcPr>
            <w:tcW w:w="1575" w:type="dxa"/>
            <w:shd w:val="clear" w:color="auto" w:fill="auto"/>
            <w:noWrap/>
            <w:vAlign w:val="center"/>
          </w:tcPr>
          <w:p w14:paraId="677664F0" w14:textId="77777777" w:rsidR="002A4F0C" w:rsidRPr="002A4F0C" w:rsidRDefault="002A4F0C" w:rsidP="002A4F0C">
            <w:pPr>
              <w:spacing w:line="240" w:lineRule="auto"/>
              <w:jc w:val="center"/>
              <w:rPr>
                <w:rFonts w:ascii="Arial" w:hAnsi="Arial"/>
                <w:szCs w:val="22"/>
              </w:rPr>
            </w:pPr>
            <w:r w:rsidRPr="002A4F0C">
              <w:rPr>
                <w:rFonts w:ascii="Arial" w:hAnsi="Arial"/>
                <w:szCs w:val="22"/>
              </w:rPr>
              <w:t>29806</w:t>
            </w:r>
          </w:p>
        </w:tc>
        <w:tc>
          <w:tcPr>
            <w:tcW w:w="7938" w:type="dxa"/>
            <w:shd w:val="clear" w:color="auto" w:fill="auto"/>
            <w:vAlign w:val="bottom"/>
          </w:tcPr>
          <w:p w14:paraId="440B385C" w14:textId="77777777" w:rsidR="002A4F0C" w:rsidRPr="002A4F0C" w:rsidRDefault="002A4F0C" w:rsidP="002A4F0C">
            <w:pPr>
              <w:spacing w:line="240" w:lineRule="auto"/>
              <w:rPr>
                <w:rFonts w:ascii="Arial" w:hAnsi="Arial"/>
                <w:szCs w:val="22"/>
              </w:rPr>
            </w:pPr>
            <w:r w:rsidRPr="002A4F0C">
              <w:rPr>
                <w:rFonts w:ascii="Arial" w:hAnsi="Arial"/>
                <w:szCs w:val="22"/>
              </w:rPr>
              <w:t>Wessely S, Unwin C, Hotopf M, Hull L, Ismail K, et a l (2003). Stability of recall of military hazards over time. Evidence from the Persian Gulf War of 1991. Br J Psych, 183: 314-22.</w:t>
            </w:r>
          </w:p>
        </w:tc>
      </w:tr>
      <w:tr w:rsidR="002A4F0C" w:rsidRPr="002A4F0C" w14:paraId="1856559B" w14:textId="77777777" w:rsidTr="002A4F0C">
        <w:trPr>
          <w:cantSplit/>
        </w:trPr>
        <w:tc>
          <w:tcPr>
            <w:tcW w:w="1575" w:type="dxa"/>
            <w:shd w:val="clear" w:color="auto" w:fill="auto"/>
            <w:noWrap/>
            <w:vAlign w:val="center"/>
          </w:tcPr>
          <w:p w14:paraId="668CFA75" w14:textId="77777777" w:rsidR="002A4F0C" w:rsidRPr="002A4F0C" w:rsidRDefault="002A4F0C" w:rsidP="002A4F0C">
            <w:pPr>
              <w:spacing w:line="240" w:lineRule="auto"/>
              <w:jc w:val="center"/>
              <w:rPr>
                <w:rFonts w:ascii="Arial" w:hAnsi="Arial"/>
                <w:szCs w:val="22"/>
              </w:rPr>
            </w:pPr>
            <w:r w:rsidRPr="002A4F0C">
              <w:rPr>
                <w:rFonts w:ascii="Arial" w:hAnsi="Arial"/>
                <w:szCs w:val="22"/>
              </w:rPr>
              <w:t>30074</w:t>
            </w:r>
          </w:p>
        </w:tc>
        <w:tc>
          <w:tcPr>
            <w:tcW w:w="7938" w:type="dxa"/>
            <w:shd w:val="clear" w:color="auto" w:fill="auto"/>
            <w:vAlign w:val="bottom"/>
          </w:tcPr>
          <w:p w14:paraId="49713DA2" w14:textId="77777777" w:rsidR="002A4F0C" w:rsidRPr="002A4F0C" w:rsidRDefault="002A4F0C" w:rsidP="002A4F0C">
            <w:pPr>
              <w:spacing w:line="240" w:lineRule="auto"/>
              <w:rPr>
                <w:rFonts w:ascii="Arial" w:hAnsi="Arial"/>
                <w:szCs w:val="22"/>
              </w:rPr>
            </w:pPr>
            <w:r w:rsidRPr="002A4F0C">
              <w:rPr>
                <w:rFonts w:ascii="Arial" w:hAnsi="Arial"/>
                <w:szCs w:val="22"/>
              </w:rPr>
              <w:t>Idler EL, Benyamini Y (1997) Self-rated health and mortality: a review of twenty-seven community studies. Journal of Health &amp; Social Behavior Vol 38(1) pp 21-37</w:t>
            </w:r>
          </w:p>
        </w:tc>
      </w:tr>
      <w:tr w:rsidR="002A4F0C" w:rsidRPr="002A4F0C" w14:paraId="4EB7C44C" w14:textId="77777777" w:rsidTr="002A4F0C">
        <w:trPr>
          <w:cantSplit/>
        </w:trPr>
        <w:tc>
          <w:tcPr>
            <w:tcW w:w="1575" w:type="dxa"/>
            <w:shd w:val="clear" w:color="auto" w:fill="auto"/>
            <w:noWrap/>
            <w:vAlign w:val="center"/>
          </w:tcPr>
          <w:p w14:paraId="431EE869" w14:textId="77777777" w:rsidR="002A4F0C" w:rsidRPr="002A4F0C" w:rsidRDefault="002A4F0C" w:rsidP="002A4F0C">
            <w:pPr>
              <w:spacing w:line="240" w:lineRule="auto"/>
              <w:jc w:val="center"/>
              <w:rPr>
                <w:rFonts w:ascii="Arial" w:hAnsi="Arial"/>
                <w:szCs w:val="22"/>
              </w:rPr>
            </w:pPr>
            <w:r w:rsidRPr="002A4F0C">
              <w:rPr>
                <w:rFonts w:ascii="Arial" w:hAnsi="Arial"/>
                <w:szCs w:val="22"/>
              </w:rPr>
              <w:t>30075</w:t>
            </w:r>
          </w:p>
        </w:tc>
        <w:tc>
          <w:tcPr>
            <w:tcW w:w="7938" w:type="dxa"/>
            <w:shd w:val="clear" w:color="auto" w:fill="auto"/>
            <w:vAlign w:val="bottom"/>
          </w:tcPr>
          <w:p w14:paraId="13C6DA77" w14:textId="77777777" w:rsidR="002A4F0C" w:rsidRPr="002A4F0C" w:rsidRDefault="002A4F0C" w:rsidP="002A4F0C">
            <w:pPr>
              <w:spacing w:line="240" w:lineRule="auto"/>
              <w:rPr>
                <w:rFonts w:ascii="Arial" w:hAnsi="Arial"/>
                <w:szCs w:val="22"/>
              </w:rPr>
            </w:pPr>
            <w:r w:rsidRPr="002A4F0C">
              <w:rPr>
                <w:rFonts w:ascii="Arial" w:hAnsi="Arial"/>
                <w:szCs w:val="22"/>
              </w:rPr>
              <w:t>Miilunpalo S, Vuori I, Oja P, Pasanen M, &amp; Urponen H. (1997) Self-rated health status as a health measure: the predictive value of self-reported health status on the use of physician services and on mortality in the Working-Age population. J Clin Epidemiology Vol 50(5) pp 517-528</w:t>
            </w:r>
          </w:p>
        </w:tc>
      </w:tr>
      <w:tr w:rsidR="002A4F0C" w:rsidRPr="002A4F0C" w14:paraId="6EF86329" w14:textId="77777777" w:rsidTr="002A4F0C">
        <w:trPr>
          <w:cantSplit/>
        </w:trPr>
        <w:tc>
          <w:tcPr>
            <w:tcW w:w="1575" w:type="dxa"/>
            <w:shd w:val="clear" w:color="auto" w:fill="auto"/>
            <w:noWrap/>
            <w:vAlign w:val="center"/>
          </w:tcPr>
          <w:p w14:paraId="7AF272DE" w14:textId="77777777" w:rsidR="002A4F0C" w:rsidRPr="002A4F0C" w:rsidRDefault="002A4F0C" w:rsidP="002A4F0C">
            <w:pPr>
              <w:spacing w:line="240" w:lineRule="auto"/>
              <w:jc w:val="center"/>
              <w:rPr>
                <w:rFonts w:ascii="Arial" w:hAnsi="Arial"/>
                <w:szCs w:val="22"/>
              </w:rPr>
            </w:pPr>
            <w:r w:rsidRPr="002A4F0C">
              <w:rPr>
                <w:rFonts w:ascii="Arial" w:hAnsi="Arial"/>
                <w:szCs w:val="22"/>
              </w:rPr>
              <w:t>30331</w:t>
            </w:r>
          </w:p>
        </w:tc>
        <w:tc>
          <w:tcPr>
            <w:tcW w:w="7938" w:type="dxa"/>
            <w:shd w:val="clear" w:color="auto" w:fill="auto"/>
            <w:vAlign w:val="bottom"/>
          </w:tcPr>
          <w:p w14:paraId="422DB7FE" w14:textId="77777777" w:rsidR="002A4F0C" w:rsidRPr="002A4F0C" w:rsidRDefault="002A4F0C" w:rsidP="002A4F0C">
            <w:pPr>
              <w:spacing w:line="240" w:lineRule="auto"/>
              <w:rPr>
                <w:rFonts w:ascii="Arial" w:hAnsi="Arial"/>
                <w:szCs w:val="22"/>
              </w:rPr>
            </w:pPr>
            <w:r w:rsidRPr="002A4F0C">
              <w:rPr>
                <w:rFonts w:ascii="Arial" w:hAnsi="Arial"/>
                <w:szCs w:val="22"/>
              </w:rPr>
              <w:t>Clauw DJ, Engel CC Jr, Aronowitz R, Jones E, Kroenke K, Ratzan S, Sharpe M, Wessely S (2003) Unexplained symptoms after terrorism and war: an expert consensus statement. Journal of Occupational Environmental Medicine Vol 45(10) pp 1040-8</w:t>
            </w:r>
          </w:p>
        </w:tc>
      </w:tr>
      <w:tr w:rsidR="002A4F0C" w:rsidRPr="002A4F0C" w14:paraId="6D2CB7E4" w14:textId="77777777" w:rsidTr="002A4F0C">
        <w:trPr>
          <w:cantSplit/>
        </w:trPr>
        <w:tc>
          <w:tcPr>
            <w:tcW w:w="1575" w:type="dxa"/>
            <w:shd w:val="clear" w:color="auto" w:fill="auto"/>
            <w:noWrap/>
            <w:vAlign w:val="center"/>
          </w:tcPr>
          <w:p w14:paraId="4A011E92" w14:textId="77777777" w:rsidR="002A4F0C" w:rsidRPr="002A4F0C" w:rsidRDefault="002A4F0C" w:rsidP="002A4F0C">
            <w:pPr>
              <w:spacing w:line="240" w:lineRule="auto"/>
              <w:jc w:val="center"/>
              <w:rPr>
                <w:rFonts w:ascii="Arial" w:hAnsi="Arial"/>
                <w:szCs w:val="22"/>
              </w:rPr>
            </w:pPr>
            <w:r w:rsidRPr="002A4F0C">
              <w:rPr>
                <w:rFonts w:ascii="Arial" w:hAnsi="Arial"/>
                <w:szCs w:val="22"/>
              </w:rPr>
              <w:t>30345</w:t>
            </w:r>
          </w:p>
        </w:tc>
        <w:tc>
          <w:tcPr>
            <w:tcW w:w="7938" w:type="dxa"/>
            <w:shd w:val="clear" w:color="auto" w:fill="auto"/>
            <w:vAlign w:val="bottom"/>
          </w:tcPr>
          <w:p w14:paraId="27FE987D" w14:textId="77777777" w:rsidR="002A4F0C" w:rsidRPr="002A4F0C" w:rsidRDefault="002A4F0C" w:rsidP="002A4F0C">
            <w:pPr>
              <w:spacing w:line="240" w:lineRule="auto"/>
              <w:rPr>
                <w:rFonts w:ascii="Arial" w:hAnsi="Arial"/>
                <w:szCs w:val="22"/>
              </w:rPr>
            </w:pPr>
            <w:r w:rsidRPr="002A4F0C">
              <w:rPr>
                <w:rFonts w:ascii="Arial" w:hAnsi="Arial"/>
                <w:szCs w:val="22"/>
              </w:rPr>
              <w:t>Jones E, Hodgins-Vermaas R, McCartney H, Everitt B, Beech C, Poynter D, Palmer I, Hyams K, Wessely S (2002). Post-combat syndromes from the Boer war to the Gulf war: a cluster analysis of their nature and attribution. BMJ Vol 324 pp 1-7.</w:t>
            </w:r>
          </w:p>
        </w:tc>
      </w:tr>
      <w:tr w:rsidR="002A4F0C" w:rsidRPr="002A4F0C" w14:paraId="7834D3EE" w14:textId="77777777" w:rsidTr="002A4F0C">
        <w:trPr>
          <w:cantSplit/>
        </w:trPr>
        <w:tc>
          <w:tcPr>
            <w:tcW w:w="1575" w:type="dxa"/>
            <w:shd w:val="clear" w:color="auto" w:fill="auto"/>
            <w:noWrap/>
            <w:vAlign w:val="center"/>
          </w:tcPr>
          <w:p w14:paraId="6797A6C7" w14:textId="77777777" w:rsidR="002A4F0C" w:rsidRPr="002A4F0C" w:rsidRDefault="002A4F0C" w:rsidP="002A4F0C">
            <w:pPr>
              <w:spacing w:line="240" w:lineRule="auto"/>
              <w:jc w:val="center"/>
              <w:rPr>
                <w:rFonts w:ascii="Arial" w:hAnsi="Arial"/>
                <w:szCs w:val="22"/>
              </w:rPr>
            </w:pPr>
            <w:r w:rsidRPr="002A4F0C">
              <w:rPr>
                <w:rFonts w:ascii="Arial" w:hAnsi="Arial"/>
                <w:szCs w:val="22"/>
              </w:rPr>
              <w:t>31027</w:t>
            </w:r>
          </w:p>
        </w:tc>
        <w:tc>
          <w:tcPr>
            <w:tcW w:w="7938" w:type="dxa"/>
            <w:shd w:val="clear" w:color="auto" w:fill="auto"/>
            <w:vAlign w:val="bottom"/>
          </w:tcPr>
          <w:p w14:paraId="3FE6115C" w14:textId="77777777" w:rsidR="002A4F0C" w:rsidRPr="002A4F0C" w:rsidRDefault="002A4F0C" w:rsidP="002A4F0C">
            <w:pPr>
              <w:spacing w:line="240" w:lineRule="auto"/>
              <w:rPr>
                <w:rFonts w:ascii="Arial" w:hAnsi="Arial"/>
                <w:szCs w:val="22"/>
              </w:rPr>
            </w:pPr>
            <w:r w:rsidRPr="002A4F0C">
              <w:rPr>
                <w:rFonts w:ascii="Arial" w:hAnsi="Arial"/>
                <w:szCs w:val="22"/>
              </w:rPr>
              <w:t>Institute of Medicine (IOM) (2003). Insecticides and solvents. Gulf war and health,  Vol 2. National Academies Press - Washington, DC.</w:t>
            </w:r>
          </w:p>
        </w:tc>
      </w:tr>
      <w:tr w:rsidR="002A4F0C" w:rsidRPr="002A4F0C" w14:paraId="5EC0DEB7" w14:textId="77777777" w:rsidTr="002A4F0C">
        <w:trPr>
          <w:cantSplit/>
        </w:trPr>
        <w:tc>
          <w:tcPr>
            <w:tcW w:w="1575" w:type="dxa"/>
            <w:shd w:val="clear" w:color="auto" w:fill="auto"/>
            <w:noWrap/>
            <w:vAlign w:val="center"/>
          </w:tcPr>
          <w:p w14:paraId="1DB345AD" w14:textId="77777777" w:rsidR="002A4F0C" w:rsidRPr="002A4F0C" w:rsidRDefault="002A4F0C" w:rsidP="002A4F0C">
            <w:pPr>
              <w:spacing w:line="240" w:lineRule="auto"/>
              <w:jc w:val="center"/>
              <w:rPr>
                <w:rFonts w:ascii="Arial" w:hAnsi="Arial"/>
                <w:szCs w:val="22"/>
              </w:rPr>
            </w:pPr>
            <w:r w:rsidRPr="002A4F0C">
              <w:rPr>
                <w:rFonts w:ascii="Arial" w:hAnsi="Arial"/>
                <w:szCs w:val="22"/>
              </w:rPr>
              <w:t>31447</w:t>
            </w:r>
          </w:p>
        </w:tc>
        <w:tc>
          <w:tcPr>
            <w:tcW w:w="7938" w:type="dxa"/>
            <w:shd w:val="clear" w:color="auto" w:fill="auto"/>
            <w:vAlign w:val="bottom"/>
          </w:tcPr>
          <w:p w14:paraId="0184CD33" w14:textId="77777777" w:rsidR="002A4F0C" w:rsidRPr="002A4F0C" w:rsidRDefault="002A4F0C" w:rsidP="002A4F0C">
            <w:pPr>
              <w:spacing w:line="240" w:lineRule="auto"/>
              <w:rPr>
                <w:rFonts w:ascii="Arial" w:hAnsi="Arial"/>
                <w:szCs w:val="22"/>
              </w:rPr>
            </w:pPr>
            <w:r w:rsidRPr="002A4F0C">
              <w:rPr>
                <w:rFonts w:ascii="Arial" w:hAnsi="Arial"/>
                <w:szCs w:val="22"/>
              </w:rPr>
              <w:t>Borner N, Muhlberger N, Jelinek T (2003). Tolerability of multiple vaccinations in travel medicine. Journal of Travel Medicine, Vol 10 pp 112-116.</w:t>
            </w:r>
          </w:p>
        </w:tc>
      </w:tr>
      <w:tr w:rsidR="002A4F0C" w:rsidRPr="002A4F0C" w14:paraId="005239F1" w14:textId="77777777" w:rsidTr="002A4F0C">
        <w:trPr>
          <w:cantSplit/>
        </w:trPr>
        <w:tc>
          <w:tcPr>
            <w:tcW w:w="1575" w:type="dxa"/>
            <w:shd w:val="clear" w:color="auto" w:fill="auto"/>
            <w:noWrap/>
            <w:vAlign w:val="center"/>
          </w:tcPr>
          <w:p w14:paraId="282CED5F" w14:textId="77777777" w:rsidR="002A4F0C" w:rsidRPr="002A4F0C" w:rsidRDefault="002A4F0C" w:rsidP="002A4F0C">
            <w:pPr>
              <w:spacing w:line="240" w:lineRule="auto"/>
              <w:jc w:val="center"/>
              <w:rPr>
                <w:rFonts w:ascii="Arial" w:hAnsi="Arial"/>
                <w:szCs w:val="22"/>
              </w:rPr>
            </w:pPr>
            <w:r w:rsidRPr="002A4F0C">
              <w:rPr>
                <w:rFonts w:ascii="Arial" w:hAnsi="Arial"/>
                <w:szCs w:val="22"/>
              </w:rPr>
              <w:t>31753</w:t>
            </w:r>
          </w:p>
        </w:tc>
        <w:tc>
          <w:tcPr>
            <w:tcW w:w="7938" w:type="dxa"/>
            <w:shd w:val="clear" w:color="auto" w:fill="auto"/>
            <w:vAlign w:val="bottom"/>
          </w:tcPr>
          <w:p w14:paraId="5E9B211D" w14:textId="77777777" w:rsidR="002A4F0C" w:rsidRPr="002A4F0C" w:rsidRDefault="002A4F0C" w:rsidP="002A4F0C">
            <w:pPr>
              <w:spacing w:line="240" w:lineRule="auto"/>
              <w:rPr>
                <w:rFonts w:ascii="Arial" w:hAnsi="Arial"/>
                <w:szCs w:val="22"/>
              </w:rPr>
            </w:pPr>
            <w:r w:rsidRPr="002A4F0C">
              <w:rPr>
                <w:rFonts w:ascii="Arial" w:hAnsi="Arial"/>
                <w:szCs w:val="22"/>
              </w:rPr>
              <w:t>Simmons RK, Maconochie N, Doyle P (2004). Self-reported ill health in male UK Gulf War veterans: a retrospective cohort study. BMC Public Health, 4: 27.</w:t>
            </w:r>
          </w:p>
        </w:tc>
      </w:tr>
      <w:tr w:rsidR="002A4F0C" w:rsidRPr="002A4F0C" w14:paraId="69F36373" w14:textId="77777777" w:rsidTr="002A4F0C">
        <w:trPr>
          <w:cantSplit/>
        </w:trPr>
        <w:tc>
          <w:tcPr>
            <w:tcW w:w="1575" w:type="dxa"/>
            <w:shd w:val="clear" w:color="auto" w:fill="auto"/>
            <w:noWrap/>
            <w:vAlign w:val="center"/>
          </w:tcPr>
          <w:p w14:paraId="6D85954F" w14:textId="77777777" w:rsidR="002A4F0C" w:rsidRPr="002A4F0C" w:rsidRDefault="002A4F0C" w:rsidP="002A4F0C">
            <w:pPr>
              <w:spacing w:line="240" w:lineRule="auto"/>
              <w:jc w:val="center"/>
              <w:rPr>
                <w:rFonts w:ascii="Arial" w:hAnsi="Arial"/>
                <w:szCs w:val="22"/>
              </w:rPr>
            </w:pPr>
            <w:r w:rsidRPr="002A4F0C">
              <w:rPr>
                <w:rFonts w:ascii="Arial" w:hAnsi="Arial"/>
                <w:szCs w:val="22"/>
              </w:rPr>
              <w:t>31758</w:t>
            </w:r>
          </w:p>
        </w:tc>
        <w:tc>
          <w:tcPr>
            <w:tcW w:w="7938" w:type="dxa"/>
            <w:shd w:val="clear" w:color="auto" w:fill="auto"/>
            <w:vAlign w:val="bottom"/>
          </w:tcPr>
          <w:p w14:paraId="38BDF1D6" w14:textId="77777777" w:rsidR="002A4F0C" w:rsidRPr="002A4F0C" w:rsidRDefault="002A4F0C" w:rsidP="002A4F0C">
            <w:pPr>
              <w:spacing w:line="240" w:lineRule="auto"/>
              <w:rPr>
                <w:rFonts w:ascii="Arial" w:hAnsi="Arial"/>
                <w:szCs w:val="22"/>
              </w:rPr>
            </w:pPr>
            <w:r w:rsidRPr="002A4F0C">
              <w:rPr>
                <w:rFonts w:ascii="Arial" w:hAnsi="Arial"/>
                <w:szCs w:val="22"/>
              </w:rPr>
              <w:t>King DW, King LA, Erickson DJ, Huang MT, et al (2000). Posttraumatic stress disorder and retrospectively reported stressor exposure: a longitudinal prediction model. Journal of Abnormal Psychology, 109:624-33.</w:t>
            </w:r>
          </w:p>
        </w:tc>
      </w:tr>
      <w:tr w:rsidR="002A4F0C" w:rsidRPr="002A4F0C" w14:paraId="5AE1A554" w14:textId="77777777" w:rsidTr="002A4F0C">
        <w:trPr>
          <w:cantSplit/>
        </w:trPr>
        <w:tc>
          <w:tcPr>
            <w:tcW w:w="1575" w:type="dxa"/>
            <w:shd w:val="clear" w:color="auto" w:fill="auto"/>
            <w:noWrap/>
            <w:vAlign w:val="center"/>
          </w:tcPr>
          <w:p w14:paraId="393B2245" w14:textId="77777777" w:rsidR="002A4F0C" w:rsidRPr="002A4F0C" w:rsidRDefault="002A4F0C" w:rsidP="002A4F0C">
            <w:pPr>
              <w:spacing w:line="240" w:lineRule="auto"/>
              <w:jc w:val="center"/>
              <w:rPr>
                <w:rFonts w:ascii="Arial" w:hAnsi="Arial"/>
                <w:szCs w:val="22"/>
              </w:rPr>
            </w:pPr>
            <w:r w:rsidRPr="002A4F0C">
              <w:rPr>
                <w:rFonts w:ascii="Arial" w:hAnsi="Arial"/>
                <w:szCs w:val="22"/>
              </w:rPr>
              <w:t>32636</w:t>
            </w:r>
          </w:p>
        </w:tc>
        <w:tc>
          <w:tcPr>
            <w:tcW w:w="7938" w:type="dxa"/>
            <w:shd w:val="clear" w:color="auto" w:fill="auto"/>
            <w:vAlign w:val="bottom"/>
          </w:tcPr>
          <w:p w14:paraId="2C9E95B2" w14:textId="77777777" w:rsidR="002A4F0C" w:rsidRPr="002A4F0C" w:rsidRDefault="002A4F0C" w:rsidP="002A4F0C">
            <w:pPr>
              <w:spacing w:line="240" w:lineRule="auto"/>
              <w:rPr>
                <w:rFonts w:ascii="Arial" w:hAnsi="Arial"/>
                <w:szCs w:val="22"/>
              </w:rPr>
            </w:pPr>
            <w:r w:rsidRPr="002A4F0C">
              <w:rPr>
                <w:rFonts w:ascii="Arial" w:hAnsi="Arial"/>
                <w:szCs w:val="22"/>
              </w:rPr>
              <w:t>Sulsky SI, Grabenstein JD &amp; Delbos RG. (2004). Disability among US Army Personnel vaccinated against anthrax. JOEM 46:1065-75.</w:t>
            </w:r>
          </w:p>
        </w:tc>
      </w:tr>
      <w:tr w:rsidR="002A4F0C" w:rsidRPr="002A4F0C" w14:paraId="2320333E" w14:textId="77777777" w:rsidTr="002A4F0C">
        <w:trPr>
          <w:cantSplit/>
        </w:trPr>
        <w:tc>
          <w:tcPr>
            <w:tcW w:w="1575" w:type="dxa"/>
            <w:shd w:val="clear" w:color="auto" w:fill="auto"/>
            <w:noWrap/>
            <w:vAlign w:val="center"/>
          </w:tcPr>
          <w:p w14:paraId="1D90754A" w14:textId="77777777" w:rsidR="002A4F0C" w:rsidRPr="002A4F0C" w:rsidRDefault="002A4F0C" w:rsidP="002A4F0C">
            <w:pPr>
              <w:spacing w:line="240" w:lineRule="auto"/>
              <w:jc w:val="center"/>
              <w:rPr>
                <w:rFonts w:ascii="Arial" w:hAnsi="Arial"/>
                <w:szCs w:val="22"/>
              </w:rPr>
            </w:pPr>
            <w:r w:rsidRPr="002A4F0C">
              <w:rPr>
                <w:rFonts w:ascii="Arial" w:hAnsi="Arial"/>
                <w:szCs w:val="22"/>
              </w:rPr>
              <w:t>32719</w:t>
            </w:r>
          </w:p>
        </w:tc>
        <w:tc>
          <w:tcPr>
            <w:tcW w:w="7938" w:type="dxa"/>
            <w:shd w:val="clear" w:color="auto" w:fill="auto"/>
            <w:vAlign w:val="bottom"/>
          </w:tcPr>
          <w:p w14:paraId="49F04F54" w14:textId="77777777" w:rsidR="002A4F0C" w:rsidRPr="002A4F0C" w:rsidRDefault="002A4F0C" w:rsidP="002A4F0C">
            <w:pPr>
              <w:spacing w:line="240" w:lineRule="auto"/>
              <w:rPr>
                <w:rFonts w:ascii="Arial" w:hAnsi="Arial"/>
                <w:szCs w:val="22"/>
              </w:rPr>
            </w:pPr>
            <w:r w:rsidRPr="002A4F0C">
              <w:rPr>
                <w:rFonts w:ascii="Arial" w:hAnsi="Arial"/>
                <w:szCs w:val="22"/>
              </w:rPr>
              <w:t>ABC News Online. (18/11/04). Inquiry urges recognition of Gulf War syndrome.</w:t>
            </w:r>
          </w:p>
        </w:tc>
      </w:tr>
      <w:tr w:rsidR="002A4F0C" w:rsidRPr="002A4F0C" w14:paraId="44A06F5D" w14:textId="77777777" w:rsidTr="002A4F0C">
        <w:trPr>
          <w:cantSplit/>
        </w:trPr>
        <w:tc>
          <w:tcPr>
            <w:tcW w:w="1575" w:type="dxa"/>
            <w:shd w:val="clear" w:color="auto" w:fill="auto"/>
            <w:noWrap/>
            <w:vAlign w:val="center"/>
          </w:tcPr>
          <w:p w14:paraId="255A9051" w14:textId="77777777" w:rsidR="002A4F0C" w:rsidRPr="002A4F0C" w:rsidRDefault="002A4F0C" w:rsidP="002A4F0C">
            <w:pPr>
              <w:spacing w:line="240" w:lineRule="auto"/>
              <w:jc w:val="center"/>
              <w:rPr>
                <w:rFonts w:ascii="Arial" w:hAnsi="Arial"/>
                <w:szCs w:val="22"/>
              </w:rPr>
            </w:pPr>
            <w:r w:rsidRPr="002A4F0C">
              <w:rPr>
                <w:rFonts w:ascii="Arial" w:hAnsi="Arial"/>
                <w:szCs w:val="22"/>
              </w:rPr>
              <w:t>32984</w:t>
            </w:r>
          </w:p>
        </w:tc>
        <w:tc>
          <w:tcPr>
            <w:tcW w:w="7938" w:type="dxa"/>
            <w:shd w:val="clear" w:color="auto" w:fill="auto"/>
            <w:vAlign w:val="bottom"/>
          </w:tcPr>
          <w:p w14:paraId="1E5F2F25" w14:textId="77777777" w:rsidR="002A4F0C" w:rsidRPr="002A4F0C" w:rsidRDefault="002A4F0C" w:rsidP="002A4F0C">
            <w:pPr>
              <w:spacing w:line="240" w:lineRule="auto"/>
              <w:rPr>
                <w:rFonts w:ascii="Arial" w:hAnsi="Arial"/>
                <w:szCs w:val="22"/>
              </w:rPr>
            </w:pPr>
            <w:r w:rsidRPr="002A4F0C">
              <w:rPr>
                <w:rFonts w:ascii="Arial" w:hAnsi="Arial"/>
                <w:szCs w:val="22"/>
              </w:rPr>
              <w:t>Ikin JF, Sim MR, Creamer MC, Forbes AB, et al (2004). War-related psychological stressors and risk of psychological disorders in Australian veterans of the 1991 Gulf War. British Journal of Psychiatry, Vol 185 pp 116-26.</w:t>
            </w:r>
          </w:p>
        </w:tc>
      </w:tr>
      <w:tr w:rsidR="002A4F0C" w:rsidRPr="002A4F0C" w14:paraId="06268CE2" w14:textId="77777777" w:rsidTr="002A4F0C">
        <w:trPr>
          <w:cantSplit/>
        </w:trPr>
        <w:tc>
          <w:tcPr>
            <w:tcW w:w="1575" w:type="dxa"/>
            <w:shd w:val="clear" w:color="auto" w:fill="auto"/>
            <w:noWrap/>
            <w:vAlign w:val="center"/>
          </w:tcPr>
          <w:p w14:paraId="59DD2337" w14:textId="77777777" w:rsidR="002A4F0C" w:rsidRPr="002A4F0C" w:rsidRDefault="002A4F0C" w:rsidP="002A4F0C">
            <w:pPr>
              <w:spacing w:line="240" w:lineRule="auto"/>
              <w:jc w:val="center"/>
              <w:rPr>
                <w:rFonts w:ascii="Arial" w:hAnsi="Arial"/>
                <w:szCs w:val="22"/>
              </w:rPr>
            </w:pPr>
            <w:r w:rsidRPr="002A4F0C">
              <w:rPr>
                <w:rFonts w:ascii="Arial" w:hAnsi="Arial"/>
                <w:szCs w:val="22"/>
              </w:rPr>
              <w:t>33800</w:t>
            </w:r>
          </w:p>
        </w:tc>
        <w:tc>
          <w:tcPr>
            <w:tcW w:w="7938" w:type="dxa"/>
            <w:shd w:val="clear" w:color="auto" w:fill="auto"/>
            <w:vAlign w:val="bottom"/>
          </w:tcPr>
          <w:p w14:paraId="139CEC6B" w14:textId="77777777" w:rsidR="002A4F0C" w:rsidRPr="002A4F0C" w:rsidRDefault="002A4F0C" w:rsidP="002A4F0C">
            <w:pPr>
              <w:spacing w:line="240" w:lineRule="auto"/>
              <w:rPr>
                <w:rFonts w:ascii="Arial" w:hAnsi="Arial"/>
                <w:szCs w:val="22"/>
              </w:rPr>
            </w:pPr>
            <w:r w:rsidRPr="002A4F0C">
              <w:rPr>
                <w:rFonts w:ascii="Arial" w:hAnsi="Arial"/>
                <w:szCs w:val="22"/>
              </w:rPr>
              <w:t>Baldi I, Lebailly P, Mohammed-Brahim B, et al (2003). Neurodegenerative diseases and exposure to pesticides in the elderly. Am J Epidemiol, 157(5): 409-14.</w:t>
            </w:r>
          </w:p>
        </w:tc>
      </w:tr>
      <w:tr w:rsidR="002A4F0C" w:rsidRPr="002A4F0C" w14:paraId="67FBF4E5" w14:textId="77777777" w:rsidTr="002A4F0C">
        <w:trPr>
          <w:cantSplit/>
        </w:trPr>
        <w:tc>
          <w:tcPr>
            <w:tcW w:w="1575" w:type="dxa"/>
            <w:shd w:val="clear" w:color="auto" w:fill="auto"/>
            <w:noWrap/>
            <w:vAlign w:val="center"/>
          </w:tcPr>
          <w:p w14:paraId="0FF75C92" w14:textId="77777777" w:rsidR="002A4F0C" w:rsidRPr="002A4F0C" w:rsidRDefault="002A4F0C" w:rsidP="002A4F0C">
            <w:pPr>
              <w:spacing w:line="240" w:lineRule="auto"/>
              <w:jc w:val="center"/>
              <w:rPr>
                <w:rFonts w:ascii="Arial" w:hAnsi="Arial"/>
                <w:szCs w:val="22"/>
              </w:rPr>
            </w:pPr>
            <w:r w:rsidRPr="002A4F0C">
              <w:rPr>
                <w:rFonts w:ascii="Arial" w:hAnsi="Arial"/>
                <w:szCs w:val="22"/>
              </w:rPr>
              <w:t>33971</w:t>
            </w:r>
          </w:p>
        </w:tc>
        <w:tc>
          <w:tcPr>
            <w:tcW w:w="7938" w:type="dxa"/>
            <w:shd w:val="clear" w:color="auto" w:fill="auto"/>
            <w:vAlign w:val="bottom"/>
          </w:tcPr>
          <w:p w14:paraId="1FA715CC" w14:textId="77777777" w:rsidR="002A4F0C" w:rsidRPr="002A4F0C" w:rsidRDefault="002A4F0C" w:rsidP="002A4F0C">
            <w:pPr>
              <w:spacing w:line="240" w:lineRule="auto"/>
              <w:rPr>
                <w:rFonts w:ascii="Arial" w:hAnsi="Arial"/>
                <w:szCs w:val="22"/>
              </w:rPr>
            </w:pPr>
            <w:r w:rsidRPr="002A4F0C">
              <w:rPr>
                <w:rFonts w:ascii="Arial" w:hAnsi="Arial"/>
                <w:szCs w:val="22"/>
              </w:rPr>
              <w:t>Ikin JF, McKenzie DP, Creamer MC, McFarlane AC, et al (2005). War zone stress without direct combat: the Australian Naval Experience of the Gulf War. Journal of Traumatic Stress, 18(3) pp 193-204.</w:t>
            </w:r>
          </w:p>
        </w:tc>
      </w:tr>
      <w:tr w:rsidR="002A4F0C" w:rsidRPr="002A4F0C" w14:paraId="35CFC342" w14:textId="77777777" w:rsidTr="002A4F0C">
        <w:trPr>
          <w:cantSplit/>
        </w:trPr>
        <w:tc>
          <w:tcPr>
            <w:tcW w:w="1575" w:type="dxa"/>
            <w:shd w:val="clear" w:color="auto" w:fill="auto"/>
            <w:noWrap/>
            <w:vAlign w:val="center"/>
          </w:tcPr>
          <w:p w14:paraId="47EEE176" w14:textId="77777777" w:rsidR="002A4F0C" w:rsidRPr="002A4F0C" w:rsidRDefault="002A4F0C" w:rsidP="002A4F0C">
            <w:pPr>
              <w:spacing w:line="240" w:lineRule="auto"/>
              <w:jc w:val="center"/>
              <w:rPr>
                <w:rFonts w:ascii="Arial" w:hAnsi="Arial"/>
                <w:szCs w:val="22"/>
              </w:rPr>
            </w:pPr>
            <w:r w:rsidRPr="002A4F0C">
              <w:rPr>
                <w:rFonts w:ascii="Arial" w:hAnsi="Arial"/>
                <w:szCs w:val="22"/>
              </w:rPr>
              <w:t>34975</w:t>
            </w:r>
          </w:p>
        </w:tc>
        <w:tc>
          <w:tcPr>
            <w:tcW w:w="7938" w:type="dxa"/>
            <w:shd w:val="clear" w:color="auto" w:fill="auto"/>
            <w:vAlign w:val="bottom"/>
          </w:tcPr>
          <w:p w14:paraId="324C57C4" w14:textId="77777777" w:rsidR="002A4F0C" w:rsidRPr="002A4F0C" w:rsidRDefault="002A4F0C" w:rsidP="002A4F0C">
            <w:pPr>
              <w:spacing w:line="240" w:lineRule="auto"/>
              <w:rPr>
                <w:rFonts w:ascii="Arial" w:hAnsi="Arial"/>
                <w:szCs w:val="22"/>
              </w:rPr>
            </w:pPr>
            <w:r w:rsidRPr="002A4F0C">
              <w:rPr>
                <w:rFonts w:ascii="Arial" w:hAnsi="Arial"/>
                <w:szCs w:val="22"/>
              </w:rPr>
              <w:t>Hotopf M, David AS, Hull L et al (2003). Gulf war illness - better, worse, or just the same? A cohort study. BMJ, 327(7428): 1370.</w:t>
            </w:r>
          </w:p>
        </w:tc>
      </w:tr>
      <w:tr w:rsidR="002A4F0C" w:rsidRPr="002A4F0C" w14:paraId="272FCA79" w14:textId="77777777" w:rsidTr="002A4F0C">
        <w:trPr>
          <w:cantSplit/>
        </w:trPr>
        <w:tc>
          <w:tcPr>
            <w:tcW w:w="1575" w:type="dxa"/>
            <w:shd w:val="clear" w:color="auto" w:fill="auto"/>
            <w:noWrap/>
            <w:vAlign w:val="center"/>
          </w:tcPr>
          <w:p w14:paraId="7E8298A2" w14:textId="77777777" w:rsidR="002A4F0C" w:rsidRPr="002A4F0C" w:rsidRDefault="002A4F0C" w:rsidP="002A4F0C">
            <w:pPr>
              <w:spacing w:line="240" w:lineRule="auto"/>
              <w:jc w:val="center"/>
              <w:rPr>
                <w:rFonts w:ascii="Arial" w:hAnsi="Arial"/>
                <w:szCs w:val="22"/>
              </w:rPr>
            </w:pPr>
            <w:r w:rsidRPr="002A4F0C">
              <w:rPr>
                <w:rFonts w:ascii="Arial" w:hAnsi="Arial"/>
                <w:szCs w:val="22"/>
              </w:rPr>
              <w:t>34991</w:t>
            </w:r>
          </w:p>
        </w:tc>
        <w:tc>
          <w:tcPr>
            <w:tcW w:w="7938" w:type="dxa"/>
            <w:shd w:val="clear" w:color="auto" w:fill="auto"/>
            <w:vAlign w:val="bottom"/>
          </w:tcPr>
          <w:p w14:paraId="73268100" w14:textId="77777777" w:rsidR="002A4F0C" w:rsidRPr="002A4F0C" w:rsidRDefault="002A4F0C" w:rsidP="002A4F0C">
            <w:pPr>
              <w:spacing w:line="240" w:lineRule="auto"/>
              <w:rPr>
                <w:rFonts w:ascii="Arial" w:hAnsi="Arial"/>
                <w:szCs w:val="22"/>
              </w:rPr>
            </w:pPr>
            <w:r w:rsidRPr="002A4F0C">
              <w:rPr>
                <w:rFonts w:ascii="Arial" w:hAnsi="Arial"/>
                <w:szCs w:val="22"/>
              </w:rPr>
              <w:t>Hotopf M, David A, Hull L, Nikalaou V, Unwin C &amp; Wessely S. Risk factors for continued illness among Gulf War veterans: a cohort study. Psychological Medicine 34:747-54.</w:t>
            </w:r>
          </w:p>
        </w:tc>
      </w:tr>
      <w:tr w:rsidR="002A4F0C" w:rsidRPr="002A4F0C" w14:paraId="768944D0" w14:textId="77777777" w:rsidTr="002A4F0C">
        <w:trPr>
          <w:cantSplit/>
        </w:trPr>
        <w:tc>
          <w:tcPr>
            <w:tcW w:w="1575" w:type="dxa"/>
            <w:shd w:val="clear" w:color="auto" w:fill="auto"/>
            <w:noWrap/>
            <w:vAlign w:val="center"/>
          </w:tcPr>
          <w:p w14:paraId="6F7745F7" w14:textId="77777777" w:rsidR="002A4F0C" w:rsidRPr="002A4F0C" w:rsidRDefault="002A4F0C" w:rsidP="002A4F0C">
            <w:pPr>
              <w:spacing w:line="240" w:lineRule="auto"/>
              <w:jc w:val="center"/>
              <w:rPr>
                <w:rFonts w:ascii="Arial" w:hAnsi="Arial"/>
                <w:szCs w:val="22"/>
              </w:rPr>
            </w:pPr>
            <w:r w:rsidRPr="002A4F0C">
              <w:rPr>
                <w:rFonts w:ascii="Arial" w:hAnsi="Arial"/>
                <w:szCs w:val="22"/>
              </w:rPr>
              <w:t>35265</w:t>
            </w:r>
          </w:p>
        </w:tc>
        <w:tc>
          <w:tcPr>
            <w:tcW w:w="7938" w:type="dxa"/>
            <w:shd w:val="clear" w:color="auto" w:fill="auto"/>
            <w:vAlign w:val="bottom"/>
          </w:tcPr>
          <w:p w14:paraId="4DC415E8" w14:textId="77777777" w:rsidR="002A4F0C" w:rsidRPr="002A4F0C" w:rsidRDefault="002A4F0C" w:rsidP="002A4F0C">
            <w:pPr>
              <w:spacing w:line="240" w:lineRule="auto"/>
              <w:rPr>
                <w:rFonts w:ascii="Arial" w:hAnsi="Arial"/>
                <w:szCs w:val="22"/>
              </w:rPr>
            </w:pPr>
            <w:r w:rsidRPr="002A4F0C">
              <w:rPr>
                <w:rFonts w:ascii="Arial" w:hAnsi="Arial"/>
                <w:szCs w:val="22"/>
              </w:rPr>
              <w:t>Macfarlane GJ, Biggs AM, Maconochie N, et al (2003). Incidence of cancer among UK Gulf war veterans: cohort study. BMJ, 327(7428): 1373.</w:t>
            </w:r>
          </w:p>
        </w:tc>
      </w:tr>
      <w:tr w:rsidR="002A4F0C" w:rsidRPr="002A4F0C" w14:paraId="55663E5B" w14:textId="77777777" w:rsidTr="002A4F0C">
        <w:trPr>
          <w:cantSplit/>
        </w:trPr>
        <w:tc>
          <w:tcPr>
            <w:tcW w:w="1575" w:type="dxa"/>
            <w:shd w:val="clear" w:color="auto" w:fill="auto"/>
            <w:noWrap/>
            <w:vAlign w:val="center"/>
          </w:tcPr>
          <w:p w14:paraId="0B21D01C" w14:textId="77777777" w:rsidR="002A4F0C" w:rsidRPr="002A4F0C" w:rsidRDefault="002A4F0C" w:rsidP="002A4F0C">
            <w:pPr>
              <w:spacing w:line="240" w:lineRule="auto"/>
              <w:jc w:val="center"/>
              <w:rPr>
                <w:rFonts w:ascii="Arial" w:hAnsi="Arial"/>
                <w:szCs w:val="22"/>
              </w:rPr>
            </w:pPr>
            <w:r w:rsidRPr="002A4F0C">
              <w:rPr>
                <w:rFonts w:ascii="Arial" w:hAnsi="Arial"/>
                <w:szCs w:val="22"/>
              </w:rPr>
              <w:t>35500</w:t>
            </w:r>
          </w:p>
        </w:tc>
        <w:tc>
          <w:tcPr>
            <w:tcW w:w="7938" w:type="dxa"/>
            <w:shd w:val="clear" w:color="auto" w:fill="auto"/>
            <w:vAlign w:val="bottom"/>
          </w:tcPr>
          <w:p w14:paraId="2B396F0E" w14:textId="77777777" w:rsidR="002A4F0C" w:rsidRPr="002A4F0C" w:rsidRDefault="002A4F0C" w:rsidP="002A4F0C">
            <w:pPr>
              <w:spacing w:line="240" w:lineRule="auto"/>
              <w:rPr>
                <w:rFonts w:ascii="Arial" w:hAnsi="Arial"/>
                <w:szCs w:val="22"/>
              </w:rPr>
            </w:pPr>
            <w:r w:rsidRPr="002A4F0C">
              <w:rPr>
                <w:rFonts w:ascii="Arial" w:hAnsi="Arial"/>
                <w:szCs w:val="22"/>
              </w:rPr>
              <w:t>Kelsall H, Macdonell R, Sim M, Forbes A, et al (2005). Neurological status of Australian veterans of the 1991 Gulf War and the effect of medical and chemical exposures. Int J Epidemiol, 34: 810-9.</w:t>
            </w:r>
          </w:p>
        </w:tc>
      </w:tr>
      <w:tr w:rsidR="002A4F0C" w:rsidRPr="002A4F0C" w14:paraId="59091CC0" w14:textId="77777777" w:rsidTr="002A4F0C">
        <w:trPr>
          <w:cantSplit/>
        </w:trPr>
        <w:tc>
          <w:tcPr>
            <w:tcW w:w="1575" w:type="dxa"/>
            <w:shd w:val="clear" w:color="auto" w:fill="auto"/>
            <w:noWrap/>
            <w:vAlign w:val="center"/>
          </w:tcPr>
          <w:p w14:paraId="4E7313D5" w14:textId="77777777" w:rsidR="002A4F0C" w:rsidRPr="002A4F0C" w:rsidRDefault="002A4F0C" w:rsidP="002A4F0C">
            <w:pPr>
              <w:spacing w:line="240" w:lineRule="auto"/>
              <w:jc w:val="center"/>
              <w:rPr>
                <w:rFonts w:ascii="Arial" w:hAnsi="Arial"/>
                <w:szCs w:val="22"/>
              </w:rPr>
            </w:pPr>
            <w:r w:rsidRPr="002A4F0C">
              <w:rPr>
                <w:rFonts w:ascii="Arial" w:hAnsi="Arial"/>
                <w:szCs w:val="22"/>
              </w:rPr>
              <w:t>36637</w:t>
            </w:r>
          </w:p>
        </w:tc>
        <w:tc>
          <w:tcPr>
            <w:tcW w:w="7938" w:type="dxa"/>
            <w:shd w:val="clear" w:color="auto" w:fill="auto"/>
            <w:vAlign w:val="bottom"/>
          </w:tcPr>
          <w:p w14:paraId="2FCCA600" w14:textId="77777777" w:rsidR="002A4F0C" w:rsidRPr="002A4F0C" w:rsidRDefault="002A4F0C" w:rsidP="002A4F0C">
            <w:pPr>
              <w:spacing w:line="240" w:lineRule="auto"/>
              <w:rPr>
                <w:rFonts w:ascii="Arial" w:hAnsi="Arial"/>
                <w:szCs w:val="22"/>
              </w:rPr>
            </w:pPr>
            <w:r w:rsidRPr="002A4F0C">
              <w:rPr>
                <w:rFonts w:ascii="Arial" w:hAnsi="Arial"/>
                <w:szCs w:val="22"/>
              </w:rPr>
              <w:t>Donta ST, Engel Jr CC, Collins JF, et al (2004). Benefits and harms of doxycycline treatment for Gulf War veterans' illnesses. Annals of Internal Medicine, 141: 85-94.</w:t>
            </w:r>
          </w:p>
        </w:tc>
      </w:tr>
      <w:tr w:rsidR="002A4F0C" w:rsidRPr="002A4F0C" w14:paraId="3C919CCA" w14:textId="77777777" w:rsidTr="002A4F0C">
        <w:trPr>
          <w:cantSplit/>
        </w:trPr>
        <w:tc>
          <w:tcPr>
            <w:tcW w:w="1575" w:type="dxa"/>
            <w:shd w:val="clear" w:color="auto" w:fill="auto"/>
            <w:noWrap/>
            <w:vAlign w:val="center"/>
          </w:tcPr>
          <w:p w14:paraId="4DA0C7EB" w14:textId="77777777" w:rsidR="002A4F0C" w:rsidRPr="002A4F0C" w:rsidRDefault="002A4F0C" w:rsidP="002A4F0C">
            <w:pPr>
              <w:spacing w:line="240" w:lineRule="auto"/>
              <w:jc w:val="center"/>
              <w:rPr>
                <w:rFonts w:ascii="Arial" w:hAnsi="Arial"/>
                <w:szCs w:val="22"/>
              </w:rPr>
            </w:pPr>
            <w:r w:rsidRPr="002A4F0C">
              <w:rPr>
                <w:rFonts w:ascii="Arial" w:hAnsi="Arial"/>
                <w:szCs w:val="22"/>
              </w:rPr>
              <w:t>36647</w:t>
            </w:r>
          </w:p>
        </w:tc>
        <w:tc>
          <w:tcPr>
            <w:tcW w:w="7938" w:type="dxa"/>
            <w:shd w:val="clear" w:color="auto" w:fill="auto"/>
            <w:vAlign w:val="bottom"/>
          </w:tcPr>
          <w:p w14:paraId="2C2257DE" w14:textId="77777777" w:rsidR="002A4F0C" w:rsidRPr="002A4F0C" w:rsidRDefault="002A4F0C" w:rsidP="002A4F0C">
            <w:pPr>
              <w:spacing w:line="240" w:lineRule="auto"/>
              <w:rPr>
                <w:rFonts w:ascii="Arial" w:hAnsi="Arial"/>
                <w:szCs w:val="22"/>
              </w:rPr>
            </w:pPr>
            <w:r w:rsidRPr="002A4F0C">
              <w:rPr>
                <w:rFonts w:ascii="Arial" w:hAnsi="Arial"/>
                <w:szCs w:val="22"/>
              </w:rPr>
              <w:t>Wasserman GM, Grabenstein JD, Pittman PR, Rubertone MV, Gibbs PP, Wang LZ, Golder LG (2003). Analysis of adverse Events after Anthrax Immunization in US Army Medical Personnel. J Occup Environ Med, 45: 222-33.</w:t>
            </w:r>
          </w:p>
        </w:tc>
      </w:tr>
      <w:tr w:rsidR="002A4F0C" w:rsidRPr="002A4F0C" w14:paraId="2CCA8562" w14:textId="77777777" w:rsidTr="002A4F0C">
        <w:trPr>
          <w:cantSplit/>
        </w:trPr>
        <w:tc>
          <w:tcPr>
            <w:tcW w:w="1575" w:type="dxa"/>
            <w:shd w:val="clear" w:color="auto" w:fill="auto"/>
            <w:noWrap/>
            <w:vAlign w:val="center"/>
          </w:tcPr>
          <w:p w14:paraId="3938D39D" w14:textId="77777777" w:rsidR="002A4F0C" w:rsidRPr="002A4F0C" w:rsidRDefault="002A4F0C" w:rsidP="002A4F0C">
            <w:pPr>
              <w:spacing w:line="240" w:lineRule="auto"/>
              <w:jc w:val="center"/>
              <w:rPr>
                <w:rFonts w:ascii="Arial" w:hAnsi="Arial"/>
                <w:szCs w:val="22"/>
              </w:rPr>
            </w:pPr>
            <w:r w:rsidRPr="002A4F0C">
              <w:rPr>
                <w:rFonts w:ascii="Arial" w:hAnsi="Arial"/>
                <w:szCs w:val="22"/>
              </w:rPr>
              <w:t>36656</w:t>
            </w:r>
          </w:p>
        </w:tc>
        <w:tc>
          <w:tcPr>
            <w:tcW w:w="7938" w:type="dxa"/>
            <w:shd w:val="clear" w:color="auto" w:fill="auto"/>
            <w:vAlign w:val="bottom"/>
          </w:tcPr>
          <w:p w14:paraId="541B0CE5" w14:textId="77777777" w:rsidR="002A4F0C" w:rsidRPr="002A4F0C" w:rsidRDefault="002A4F0C" w:rsidP="002A4F0C">
            <w:pPr>
              <w:spacing w:line="240" w:lineRule="auto"/>
              <w:rPr>
                <w:rFonts w:ascii="Arial" w:hAnsi="Arial"/>
                <w:szCs w:val="22"/>
              </w:rPr>
            </w:pPr>
            <w:r w:rsidRPr="002A4F0C">
              <w:rPr>
                <w:rFonts w:ascii="Arial" w:hAnsi="Arial"/>
                <w:szCs w:val="22"/>
              </w:rPr>
              <w:t>McCauley LA, Joos SK, Spencer SK, et al (1999). Strategies to assess validity of self-reported exposures during the Persian Gulf War. Environmental Research Section A, 81: 195-205.</w:t>
            </w:r>
          </w:p>
        </w:tc>
      </w:tr>
      <w:tr w:rsidR="002A4F0C" w:rsidRPr="002A4F0C" w14:paraId="52A93A5F" w14:textId="77777777" w:rsidTr="002A4F0C">
        <w:trPr>
          <w:cantSplit/>
        </w:trPr>
        <w:tc>
          <w:tcPr>
            <w:tcW w:w="1575" w:type="dxa"/>
            <w:shd w:val="clear" w:color="auto" w:fill="auto"/>
            <w:noWrap/>
            <w:vAlign w:val="center"/>
          </w:tcPr>
          <w:p w14:paraId="706BD26C" w14:textId="77777777" w:rsidR="002A4F0C" w:rsidRPr="002A4F0C" w:rsidRDefault="002A4F0C" w:rsidP="002A4F0C">
            <w:pPr>
              <w:spacing w:line="240" w:lineRule="auto"/>
              <w:jc w:val="center"/>
              <w:rPr>
                <w:rFonts w:ascii="Arial" w:hAnsi="Arial"/>
                <w:szCs w:val="22"/>
              </w:rPr>
            </w:pPr>
            <w:r w:rsidRPr="002A4F0C">
              <w:rPr>
                <w:rFonts w:ascii="Arial" w:hAnsi="Arial"/>
                <w:szCs w:val="22"/>
              </w:rPr>
              <w:t>37036</w:t>
            </w:r>
          </w:p>
        </w:tc>
        <w:tc>
          <w:tcPr>
            <w:tcW w:w="7938" w:type="dxa"/>
            <w:shd w:val="clear" w:color="auto" w:fill="auto"/>
            <w:vAlign w:val="bottom"/>
          </w:tcPr>
          <w:p w14:paraId="7374608F" w14:textId="77777777" w:rsidR="002A4F0C" w:rsidRPr="002A4F0C" w:rsidRDefault="002A4F0C" w:rsidP="002A4F0C">
            <w:pPr>
              <w:spacing w:line="240" w:lineRule="auto"/>
              <w:rPr>
                <w:rFonts w:ascii="Arial" w:hAnsi="Arial"/>
                <w:szCs w:val="22"/>
              </w:rPr>
            </w:pPr>
            <w:r w:rsidRPr="002A4F0C">
              <w:rPr>
                <w:rFonts w:ascii="Arial" w:hAnsi="Arial"/>
                <w:szCs w:val="22"/>
              </w:rPr>
              <w:t>Davies D, et al (1999) Chronic organophosphate induced neuropsychiatric disorder (COPIND): Journal of Nutritional &amp; Environmental Medicine; 9(2):123-34.</w:t>
            </w:r>
          </w:p>
        </w:tc>
      </w:tr>
      <w:tr w:rsidR="002A4F0C" w:rsidRPr="002A4F0C" w14:paraId="7E42EEB8" w14:textId="77777777" w:rsidTr="002A4F0C">
        <w:trPr>
          <w:cantSplit/>
        </w:trPr>
        <w:tc>
          <w:tcPr>
            <w:tcW w:w="1575" w:type="dxa"/>
            <w:shd w:val="clear" w:color="auto" w:fill="auto"/>
            <w:noWrap/>
            <w:vAlign w:val="center"/>
          </w:tcPr>
          <w:p w14:paraId="4131220F" w14:textId="77777777" w:rsidR="002A4F0C" w:rsidRPr="002A4F0C" w:rsidRDefault="002A4F0C" w:rsidP="002A4F0C">
            <w:pPr>
              <w:spacing w:line="240" w:lineRule="auto"/>
              <w:jc w:val="center"/>
              <w:rPr>
                <w:rFonts w:ascii="Arial" w:hAnsi="Arial"/>
                <w:szCs w:val="22"/>
              </w:rPr>
            </w:pPr>
            <w:r w:rsidRPr="002A4F0C">
              <w:rPr>
                <w:rFonts w:ascii="Arial" w:hAnsi="Arial"/>
                <w:szCs w:val="22"/>
              </w:rPr>
              <w:t>37113</w:t>
            </w:r>
          </w:p>
        </w:tc>
        <w:tc>
          <w:tcPr>
            <w:tcW w:w="7938" w:type="dxa"/>
            <w:shd w:val="clear" w:color="auto" w:fill="auto"/>
            <w:vAlign w:val="bottom"/>
          </w:tcPr>
          <w:p w14:paraId="14F4613C" w14:textId="77777777" w:rsidR="002A4F0C" w:rsidRPr="002A4F0C" w:rsidRDefault="002A4F0C" w:rsidP="002A4F0C">
            <w:pPr>
              <w:spacing w:line="240" w:lineRule="auto"/>
              <w:rPr>
                <w:rFonts w:ascii="Arial" w:hAnsi="Arial"/>
                <w:szCs w:val="22"/>
              </w:rPr>
            </w:pPr>
            <w:r w:rsidRPr="002A4F0C">
              <w:rPr>
                <w:rFonts w:ascii="Arial" w:hAnsi="Arial"/>
                <w:szCs w:val="22"/>
              </w:rPr>
              <w:t>Yokoyama K, Araki S, Murata K, Nishikitani M, Okumura T, Ishimatsu S, Takasu N, White RF.(1998) Chronic neurobehavioral effects of Tokyo subway sarin poisoning in relation to posttraumatic stress disorder. Arch Environ Health. (4):249-56.</w:t>
            </w:r>
          </w:p>
        </w:tc>
      </w:tr>
      <w:tr w:rsidR="002A4F0C" w:rsidRPr="002A4F0C" w14:paraId="571E742F" w14:textId="77777777" w:rsidTr="002A4F0C">
        <w:trPr>
          <w:cantSplit/>
        </w:trPr>
        <w:tc>
          <w:tcPr>
            <w:tcW w:w="1575" w:type="dxa"/>
            <w:shd w:val="clear" w:color="auto" w:fill="auto"/>
            <w:noWrap/>
            <w:vAlign w:val="center"/>
          </w:tcPr>
          <w:p w14:paraId="68CD0453" w14:textId="77777777" w:rsidR="002A4F0C" w:rsidRPr="002A4F0C" w:rsidRDefault="002A4F0C" w:rsidP="002A4F0C">
            <w:pPr>
              <w:spacing w:line="240" w:lineRule="auto"/>
              <w:jc w:val="center"/>
              <w:rPr>
                <w:rFonts w:ascii="Arial" w:hAnsi="Arial"/>
                <w:szCs w:val="22"/>
              </w:rPr>
            </w:pPr>
            <w:r w:rsidRPr="002A4F0C">
              <w:rPr>
                <w:rFonts w:ascii="Arial" w:hAnsi="Arial"/>
                <w:szCs w:val="22"/>
              </w:rPr>
              <w:t>37570</w:t>
            </w:r>
          </w:p>
        </w:tc>
        <w:tc>
          <w:tcPr>
            <w:tcW w:w="7938" w:type="dxa"/>
            <w:shd w:val="clear" w:color="auto" w:fill="auto"/>
            <w:vAlign w:val="bottom"/>
          </w:tcPr>
          <w:p w14:paraId="1C2BCB2E" w14:textId="77777777" w:rsidR="002A4F0C" w:rsidRPr="002A4F0C" w:rsidRDefault="002A4F0C" w:rsidP="002A4F0C">
            <w:pPr>
              <w:spacing w:line="240" w:lineRule="auto"/>
              <w:rPr>
                <w:rFonts w:ascii="Arial" w:hAnsi="Arial"/>
                <w:szCs w:val="22"/>
              </w:rPr>
            </w:pPr>
            <w:r w:rsidRPr="002A4F0C">
              <w:rPr>
                <w:rFonts w:ascii="Arial" w:hAnsi="Arial"/>
                <w:szCs w:val="22"/>
              </w:rPr>
              <w:t>Institute of Medicine (US) (2005). Fuels, combustion products, and propellants. Gulf War and Health,  Vol 3. National Academies Press (Washington, DC).</w:t>
            </w:r>
          </w:p>
        </w:tc>
      </w:tr>
      <w:tr w:rsidR="002A4F0C" w:rsidRPr="002A4F0C" w14:paraId="56CFAE02" w14:textId="77777777" w:rsidTr="002A4F0C">
        <w:trPr>
          <w:cantSplit/>
        </w:trPr>
        <w:tc>
          <w:tcPr>
            <w:tcW w:w="1575" w:type="dxa"/>
            <w:shd w:val="clear" w:color="auto" w:fill="auto"/>
            <w:noWrap/>
            <w:vAlign w:val="center"/>
          </w:tcPr>
          <w:p w14:paraId="465C0C0F" w14:textId="77777777" w:rsidR="002A4F0C" w:rsidRPr="002A4F0C" w:rsidRDefault="002A4F0C" w:rsidP="002A4F0C">
            <w:pPr>
              <w:spacing w:line="240" w:lineRule="auto"/>
              <w:jc w:val="center"/>
              <w:rPr>
                <w:rFonts w:ascii="Arial" w:hAnsi="Arial"/>
                <w:szCs w:val="22"/>
              </w:rPr>
            </w:pPr>
            <w:r w:rsidRPr="002A4F0C">
              <w:rPr>
                <w:rFonts w:ascii="Arial" w:hAnsi="Arial"/>
                <w:szCs w:val="22"/>
              </w:rPr>
              <w:t>38172</w:t>
            </w:r>
          </w:p>
        </w:tc>
        <w:tc>
          <w:tcPr>
            <w:tcW w:w="7938" w:type="dxa"/>
            <w:shd w:val="clear" w:color="auto" w:fill="auto"/>
            <w:vAlign w:val="bottom"/>
          </w:tcPr>
          <w:p w14:paraId="5447853F" w14:textId="77777777" w:rsidR="002A4F0C" w:rsidRPr="002A4F0C" w:rsidRDefault="002A4F0C" w:rsidP="002A4F0C">
            <w:pPr>
              <w:spacing w:line="240" w:lineRule="auto"/>
              <w:rPr>
                <w:rFonts w:ascii="Arial" w:hAnsi="Arial"/>
                <w:szCs w:val="22"/>
              </w:rPr>
            </w:pPr>
            <w:r w:rsidRPr="002A4F0C">
              <w:rPr>
                <w:rFonts w:ascii="Arial" w:hAnsi="Arial"/>
                <w:szCs w:val="22"/>
              </w:rPr>
              <w:t>Macfarlane GJ, Hotopf M, Maconochie N, Blatchley N, Richards A, Lunt M (2005). Long-term mortality amongst Gulf War veterans: is there a relationship with experiences during deployment and subsequent morbidity? Int J Epidemiol, 34(6): 1403-8 [Epub ahead of print].</w:t>
            </w:r>
          </w:p>
        </w:tc>
      </w:tr>
      <w:tr w:rsidR="002A4F0C" w:rsidRPr="002A4F0C" w14:paraId="70EF07C8" w14:textId="77777777" w:rsidTr="002A4F0C">
        <w:trPr>
          <w:cantSplit/>
        </w:trPr>
        <w:tc>
          <w:tcPr>
            <w:tcW w:w="1575" w:type="dxa"/>
            <w:shd w:val="clear" w:color="auto" w:fill="auto"/>
            <w:noWrap/>
            <w:vAlign w:val="center"/>
          </w:tcPr>
          <w:p w14:paraId="785360AF" w14:textId="77777777" w:rsidR="002A4F0C" w:rsidRPr="002A4F0C" w:rsidRDefault="002A4F0C" w:rsidP="002A4F0C">
            <w:pPr>
              <w:spacing w:line="240" w:lineRule="auto"/>
              <w:jc w:val="center"/>
              <w:rPr>
                <w:rFonts w:ascii="Arial" w:hAnsi="Arial"/>
                <w:szCs w:val="22"/>
              </w:rPr>
            </w:pPr>
            <w:r w:rsidRPr="002A4F0C">
              <w:rPr>
                <w:rFonts w:ascii="Arial" w:hAnsi="Arial"/>
                <w:szCs w:val="22"/>
              </w:rPr>
              <w:t>38176</w:t>
            </w:r>
          </w:p>
        </w:tc>
        <w:tc>
          <w:tcPr>
            <w:tcW w:w="7938" w:type="dxa"/>
            <w:shd w:val="clear" w:color="auto" w:fill="auto"/>
            <w:vAlign w:val="bottom"/>
          </w:tcPr>
          <w:p w14:paraId="31B1113C" w14:textId="77777777" w:rsidR="002A4F0C" w:rsidRPr="002A4F0C" w:rsidRDefault="002A4F0C" w:rsidP="002A4F0C">
            <w:pPr>
              <w:spacing w:line="240" w:lineRule="auto"/>
              <w:rPr>
                <w:rFonts w:ascii="Arial" w:hAnsi="Arial"/>
                <w:szCs w:val="22"/>
              </w:rPr>
            </w:pPr>
            <w:r w:rsidRPr="002A4F0C">
              <w:rPr>
                <w:rFonts w:ascii="Arial" w:hAnsi="Arial"/>
                <w:szCs w:val="22"/>
              </w:rPr>
              <w:t>Hotopf M, Wessely S (2005). Can epidemiology clear the fog of war? Lessons from the 1990-91 Gulf War. Int J Epidemiology, 34: 791-800.</w:t>
            </w:r>
          </w:p>
        </w:tc>
      </w:tr>
      <w:tr w:rsidR="002A4F0C" w:rsidRPr="002A4F0C" w14:paraId="4755D34D" w14:textId="77777777" w:rsidTr="002A4F0C">
        <w:trPr>
          <w:cantSplit/>
        </w:trPr>
        <w:tc>
          <w:tcPr>
            <w:tcW w:w="1575" w:type="dxa"/>
            <w:shd w:val="clear" w:color="auto" w:fill="auto"/>
            <w:noWrap/>
            <w:vAlign w:val="center"/>
          </w:tcPr>
          <w:p w14:paraId="1D0A6D75" w14:textId="77777777" w:rsidR="002A4F0C" w:rsidRPr="002A4F0C" w:rsidRDefault="002A4F0C" w:rsidP="002A4F0C">
            <w:pPr>
              <w:spacing w:line="240" w:lineRule="auto"/>
              <w:jc w:val="center"/>
              <w:rPr>
                <w:rFonts w:ascii="Arial" w:hAnsi="Arial"/>
                <w:szCs w:val="22"/>
              </w:rPr>
            </w:pPr>
            <w:r w:rsidRPr="002A4F0C">
              <w:rPr>
                <w:rFonts w:ascii="Arial" w:hAnsi="Arial"/>
                <w:szCs w:val="22"/>
              </w:rPr>
              <w:t>38177</w:t>
            </w:r>
          </w:p>
        </w:tc>
        <w:tc>
          <w:tcPr>
            <w:tcW w:w="7938" w:type="dxa"/>
            <w:shd w:val="clear" w:color="auto" w:fill="auto"/>
            <w:vAlign w:val="bottom"/>
          </w:tcPr>
          <w:p w14:paraId="3415E743" w14:textId="77777777" w:rsidR="002A4F0C" w:rsidRPr="002A4F0C" w:rsidRDefault="002A4F0C" w:rsidP="002A4F0C">
            <w:pPr>
              <w:spacing w:line="240" w:lineRule="auto"/>
              <w:rPr>
                <w:rFonts w:ascii="Arial" w:hAnsi="Arial"/>
                <w:szCs w:val="22"/>
              </w:rPr>
            </w:pPr>
            <w:r w:rsidRPr="002A4F0C">
              <w:rPr>
                <w:rFonts w:ascii="Arial" w:hAnsi="Arial"/>
                <w:szCs w:val="22"/>
              </w:rPr>
              <w:t>Weisskopf MG, O'Reilly EJ, McCullough ML, Calle EE, et al (2005). Prospective study of military service and mortality from ALS. Neurology, 64(1): 32-7.</w:t>
            </w:r>
          </w:p>
        </w:tc>
      </w:tr>
      <w:tr w:rsidR="002A4F0C" w:rsidRPr="002A4F0C" w14:paraId="650572A6" w14:textId="77777777" w:rsidTr="002A4F0C">
        <w:trPr>
          <w:cantSplit/>
        </w:trPr>
        <w:tc>
          <w:tcPr>
            <w:tcW w:w="1575" w:type="dxa"/>
            <w:shd w:val="clear" w:color="auto" w:fill="auto"/>
            <w:noWrap/>
            <w:vAlign w:val="center"/>
          </w:tcPr>
          <w:p w14:paraId="42980245" w14:textId="77777777" w:rsidR="002A4F0C" w:rsidRPr="002A4F0C" w:rsidRDefault="002A4F0C" w:rsidP="002A4F0C">
            <w:pPr>
              <w:spacing w:line="240" w:lineRule="auto"/>
              <w:jc w:val="center"/>
              <w:rPr>
                <w:rFonts w:ascii="Arial" w:hAnsi="Arial"/>
                <w:szCs w:val="22"/>
              </w:rPr>
            </w:pPr>
            <w:r w:rsidRPr="002A4F0C">
              <w:rPr>
                <w:rFonts w:ascii="Arial" w:hAnsi="Arial"/>
                <w:szCs w:val="22"/>
              </w:rPr>
              <w:t>38180</w:t>
            </w:r>
          </w:p>
        </w:tc>
        <w:tc>
          <w:tcPr>
            <w:tcW w:w="7938" w:type="dxa"/>
            <w:shd w:val="clear" w:color="auto" w:fill="auto"/>
            <w:vAlign w:val="bottom"/>
          </w:tcPr>
          <w:p w14:paraId="5C9BEDFA" w14:textId="77777777" w:rsidR="002A4F0C" w:rsidRPr="002A4F0C" w:rsidRDefault="002A4F0C" w:rsidP="002A4F0C">
            <w:pPr>
              <w:spacing w:line="240" w:lineRule="auto"/>
              <w:rPr>
                <w:rFonts w:ascii="Arial" w:hAnsi="Arial"/>
                <w:szCs w:val="22"/>
              </w:rPr>
            </w:pPr>
            <w:r w:rsidRPr="002A4F0C">
              <w:rPr>
                <w:rFonts w:ascii="Arial" w:hAnsi="Arial"/>
                <w:szCs w:val="22"/>
              </w:rPr>
              <w:t>Beghi E, Morrision KE (2005). ALS and military service. Neurology, 64(1): 6-7.</w:t>
            </w:r>
          </w:p>
        </w:tc>
      </w:tr>
      <w:tr w:rsidR="002A4F0C" w:rsidRPr="002A4F0C" w14:paraId="17E4EC3C" w14:textId="77777777" w:rsidTr="002A4F0C">
        <w:trPr>
          <w:cantSplit/>
        </w:trPr>
        <w:tc>
          <w:tcPr>
            <w:tcW w:w="1575" w:type="dxa"/>
            <w:shd w:val="clear" w:color="auto" w:fill="auto"/>
            <w:noWrap/>
            <w:vAlign w:val="center"/>
          </w:tcPr>
          <w:p w14:paraId="1D0C3A8D" w14:textId="77777777" w:rsidR="002A4F0C" w:rsidRPr="002A4F0C" w:rsidRDefault="002A4F0C" w:rsidP="002A4F0C">
            <w:pPr>
              <w:spacing w:line="240" w:lineRule="auto"/>
              <w:jc w:val="center"/>
              <w:rPr>
                <w:rFonts w:ascii="Arial" w:hAnsi="Arial"/>
                <w:szCs w:val="22"/>
              </w:rPr>
            </w:pPr>
            <w:r w:rsidRPr="002A4F0C">
              <w:rPr>
                <w:rFonts w:ascii="Arial" w:hAnsi="Arial"/>
                <w:szCs w:val="22"/>
              </w:rPr>
              <w:t>38183</w:t>
            </w:r>
          </w:p>
        </w:tc>
        <w:tc>
          <w:tcPr>
            <w:tcW w:w="7938" w:type="dxa"/>
            <w:shd w:val="clear" w:color="auto" w:fill="auto"/>
            <w:vAlign w:val="bottom"/>
          </w:tcPr>
          <w:p w14:paraId="792EEA71" w14:textId="77777777" w:rsidR="002A4F0C" w:rsidRPr="002A4F0C" w:rsidRDefault="002A4F0C" w:rsidP="002A4F0C">
            <w:pPr>
              <w:spacing w:line="240" w:lineRule="auto"/>
              <w:rPr>
                <w:rFonts w:ascii="Arial" w:hAnsi="Arial"/>
                <w:szCs w:val="22"/>
              </w:rPr>
            </w:pPr>
            <w:r w:rsidRPr="002A4F0C">
              <w:rPr>
                <w:rFonts w:ascii="Arial" w:hAnsi="Arial"/>
                <w:szCs w:val="22"/>
              </w:rPr>
              <w:t>Coffman CJ, Horner RD, Grambow SC, Lindquist J (2005). Estimating the occurrence of amyotrophic lateral sclerosis among Gulf War (1990-1991) veterans using capture-recapture methods. Neuroepidemiology, Vol 24 pp 141-150.</w:t>
            </w:r>
          </w:p>
        </w:tc>
      </w:tr>
      <w:tr w:rsidR="002A4F0C" w:rsidRPr="002A4F0C" w14:paraId="31BABC49" w14:textId="77777777" w:rsidTr="002A4F0C">
        <w:trPr>
          <w:cantSplit/>
        </w:trPr>
        <w:tc>
          <w:tcPr>
            <w:tcW w:w="1575" w:type="dxa"/>
            <w:shd w:val="clear" w:color="auto" w:fill="auto"/>
            <w:noWrap/>
            <w:vAlign w:val="center"/>
          </w:tcPr>
          <w:p w14:paraId="444784F3" w14:textId="77777777" w:rsidR="002A4F0C" w:rsidRPr="002A4F0C" w:rsidRDefault="002A4F0C" w:rsidP="002A4F0C">
            <w:pPr>
              <w:spacing w:line="240" w:lineRule="auto"/>
              <w:jc w:val="center"/>
              <w:rPr>
                <w:rFonts w:ascii="Arial" w:hAnsi="Arial"/>
                <w:szCs w:val="22"/>
              </w:rPr>
            </w:pPr>
            <w:r w:rsidRPr="002A4F0C">
              <w:rPr>
                <w:rFonts w:ascii="Arial" w:hAnsi="Arial"/>
                <w:szCs w:val="22"/>
              </w:rPr>
              <w:t>38347</w:t>
            </w:r>
          </w:p>
        </w:tc>
        <w:tc>
          <w:tcPr>
            <w:tcW w:w="7938" w:type="dxa"/>
            <w:shd w:val="clear" w:color="auto" w:fill="auto"/>
            <w:vAlign w:val="bottom"/>
          </w:tcPr>
          <w:p w14:paraId="06C43F3D" w14:textId="77777777" w:rsidR="002A4F0C" w:rsidRPr="002A4F0C" w:rsidRDefault="002A4F0C" w:rsidP="002A4F0C">
            <w:pPr>
              <w:spacing w:line="240" w:lineRule="auto"/>
              <w:rPr>
                <w:rFonts w:ascii="Arial" w:hAnsi="Arial"/>
                <w:szCs w:val="22"/>
              </w:rPr>
            </w:pPr>
            <w:r w:rsidRPr="002A4F0C">
              <w:rPr>
                <w:rFonts w:ascii="Arial" w:hAnsi="Arial"/>
                <w:szCs w:val="22"/>
              </w:rPr>
              <w:t>Philosophical Transactions of the Royal Society B (2006), [17 articles]. Vol 361 pp 531-730.</w:t>
            </w:r>
          </w:p>
        </w:tc>
      </w:tr>
      <w:tr w:rsidR="002A4F0C" w:rsidRPr="002A4F0C" w14:paraId="718A1D3E" w14:textId="77777777" w:rsidTr="002A4F0C">
        <w:trPr>
          <w:cantSplit/>
        </w:trPr>
        <w:tc>
          <w:tcPr>
            <w:tcW w:w="1575" w:type="dxa"/>
            <w:shd w:val="clear" w:color="auto" w:fill="auto"/>
            <w:noWrap/>
            <w:vAlign w:val="center"/>
          </w:tcPr>
          <w:p w14:paraId="63D60E0A" w14:textId="77777777" w:rsidR="002A4F0C" w:rsidRPr="002A4F0C" w:rsidRDefault="002A4F0C" w:rsidP="002A4F0C">
            <w:pPr>
              <w:spacing w:line="240" w:lineRule="auto"/>
              <w:jc w:val="center"/>
              <w:rPr>
                <w:rFonts w:ascii="Arial" w:hAnsi="Arial"/>
                <w:szCs w:val="22"/>
              </w:rPr>
            </w:pPr>
            <w:r w:rsidRPr="002A4F0C">
              <w:rPr>
                <w:rFonts w:ascii="Arial" w:hAnsi="Arial"/>
                <w:szCs w:val="22"/>
              </w:rPr>
              <w:t>38774</w:t>
            </w:r>
          </w:p>
        </w:tc>
        <w:tc>
          <w:tcPr>
            <w:tcW w:w="7938" w:type="dxa"/>
            <w:shd w:val="clear" w:color="auto" w:fill="auto"/>
            <w:vAlign w:val="bottom"/>
          </w:tcPr>
          <w:p w14:paraId="25E58773" w14:textId="77777777" w:rsidR="002A4F0C" w:rsidRPr="002A4F0C" w:rsidRDefault="002A4F0C" w:rsidP="002A4F0C">
            <w:pPr>
              <w:spacing w:line="240" w:lineRule="auto"/>
              <w:rPr>
                <w:rFonts w:ascii="Arial" w:hAnsi="Arial"/>
                <w:szCs w:val="22"/>
              </w:rPr>
            </w:pPr>
            <w:r w:rsidRPr="002A4F0C">
              <w:rPr>
                <w:rFonts w:ascii="Arial" w:hAnsi="Arial"/>
                <w:szCs w:val="22"/>
              </w:rPr>
              <w:t>Bullman TA, Mahan CM, Kang HK, Page WF (2005). Mortality in US Army Gulf War veterans exposed to 1991 Khamisiyah chemical munitions destruction. Am J Public Health, 95(8): 1382-8.</w:t>
            </w:r>
          </w:p>
        </w:tc>
      </w:tr>
      <w:tr w:rsidR="002A4F0C" w:rsidRPr="002A4F0C" w14:paraId="2D2E156F" w14:textId="77777777" w:rsidTr="002A4F0C">
        <w:trPr>
          <w:cantSplit/>
        </w:trPr>
        <w:tc>
          <w:tcPr>
            <w:tcW w:w="1575" w:type="dxa"/>
            <w:shd w:val="clear" w:color="auto" w:fill="auto"/>
            <w:noWrap/>
            <w:vAlign w:val="center"/>
          </w:tcPr>
          <w:p w14:paraId="5A90C4E3" w14:textId="77777777" w:rsidR="002A4F0C" w:rsidRPr="002A4F0C" w:rsidRDefault="002A4F0C" w:rsidP="002A4F0C">
            <w:pPr>
              <w:spacing w:line="240" w:lineRule="auto"/>
              <w:jc w:val="center"/>
              <w:rPr>
                <w:rFonts w:ascii="Arial" w:hAnsi="Arial"/>
                <w:szCs w:val="22"/>
              </w:rPr>
            </w:pPr>
            <w:r w:rsidRPr="002A4F0C">
              <w:rPr>
                <w:rFonts w:ascii="Arial" w:hAnsi="Arial"/>
                <w:szCs w:val="22"/>
              </w:rPr>
              <w:t>40671</w:t>
            </w:r>
          </w:p>
        </w:tc>
        <w:tc>
          <w:tcPr>
            <w:tcW w:w="7938" w:type="dxa"/>
            <w:shd w:val="clear" w:color="auto" w:fill="auto"/>
            <w:vAlign w:val="bottom"/>
          </w:tcPr>
          <w:p w14:paraId="7EDE31EC" w14:textId="77777777" w:rsidR="002A4F0C" w:rsidRPr="002A4F0C" w:rsidRDefault="002A4F0C" w:rsidP="002A4F0C">
            <w:pPr>
              <w:spacing w:line="240" w:lineRule="auto"/>
              <w:rPr>
                <w:rFonts w:ascii="Arial" w:hAnsi="Arial"/>
                <w:szCs w:val="22"/>
              </w:rPr>
            </w:pPr>
            <w:r w:rsidRPr="002A4F0C">
              <w:rPr>
                <w:rFonts w:ascii="Arial" w:hAnsi="Arial"/>
                <w:szCs w:val="22"/>
              </w:rPr>
              <w:t>Gun RT, Pratt NL, Griffith EC, Adams GG, Bisby JA, Robinson KL (2004). Update of a prospective study of mortality and cancer incidence in the Australian petroleum industry. Occup Environ Med, 61(2): 150-6.</w:t>
            </w:r>
          </w:p>
        </w:tc>
      </w:tr>
      <w:tr w:rsidR="002A4F0C" w:rsidRPr="002A4F0C" w14:paraId="3AE1A818" w14:textId="77777777" w:rsidTr="002A4F0C">
        <w:trPr>
          <w:cantSplit/>
        </w:trPr>
        <w:tc>
          <w:tcPr>
            <w:tcW w:w="1575" w:type="dxa"/>
            <w:shd w:val="clear" w:color="auto" w:fill="auto"/>
            <w:noWrap/>
            <w:vAlign w:val="center"/>
          </w:tcPr>
          <w:p w14:paraId="5BF90FF9" w14:textId="77777777" w:rsidR="002A4F0C" w:rsidRPr="002A4F0C" w:rsidRDefault="002A4F0C" w:rsidP="002A4F0C">
            <w:pPr>
              <w:spacing w:line="240" w:lineRule="auto"/>
              <w:jc w:val="center"/>
              <w:rPr>
                <w:rFonts w:ascii="Arial" w:hAnsi="Arial"/>
                <w:szCs w:val="22"/>
              </w:rPr>
            </w:pPr>
            <w:r w:rsidRPr="002A4F0C">
              <w:rPr>
                <w:rFonts w:ascii="Arial" w:hAnsi="Arial"/>
                <w:szCs w:val="22"/>
              </w:rPr>
              <w:t>40760</w:t>
            </w:r>
          </w:p>
        </w:tc>
        <w:tc>
          <w:tcPr>
            <w:tcW w:w="7938" w:type="dxa"/>
            <w:shd w:val="clear" w:color="auto" w:fill="auto"/>
            <w:vAlign w:val="bottom"/>
          </w:tcPr>
          <w:p w14:paraId="7CE6BCB0" w14:textId="77777777" w:rsidR="002A4F0C" w:rsidRPr="002A4F0C" w:rsidRDefault="002A4F0C" w:rsidP="002A4F0C">
            <w:pPr>
              <w:spacing w:line="240" w:lineRule="auto"/>
              <w:rPr>
                <w:rFonts w:ascii="Arial" w:hAnsi="Arial"/>
                <w:szCs w:val="22"/>
              </w:rPr>
            </w:pPr>
            <w:r w:rsidRPr="002A4F0C">
              <w:rPr>
                <w:rFonts w:ascii="Arial" w:hAnsi="Arial"/>
                <w:szCs w:val="22"/>
              </w:rPr>
              <w:t>Gelder M, Harrison P, &amp; Cowen P (2006). Classification and diagnosis. Shorter Oxford Textbook of Psychiatry, 5th Edition, Chapter 2. Oxford University Press Inc. New York.</w:t>
            </w:r>
          </w:p>
        </w:tc>
      </w:tr>
      <w:tr w:rsidR="002A4F0C" w:rsidRPr="002A4F0C" w14:paraId="18EB373F" w14:textId="77777777" w:rsidTr="002A4F0C">
        <w:trPr>
          <w:cantSplit/>
        </w:trPr>
        <w:tc>
          <w:tcPr>
            <w:tcW w:w="1575" w:type="dxa"/>
            <w:shd w:val="clear" w:color="auto" w:fill="auto"/>
            <w:noWrap/>
            <w:vAlign w:val="center"/>
          </w:tcPr>
          <w:p w14:paraId="7DFA79CE" w14:textId="77777777" w:rsidR="002A4F0C" w:rsidRPr="002A4F0C" w:rsidRDefault="002A4F0C" w:rsidP="002A4F0C">
            <w:pPr>
              <w:spacing w:line="240" w:lineRule="auto"/>
              <w:jc w:val="center"/>
              <w:rPr>
                <w:rFonts w:ascii="Arial" w:hAnsi="Arial"/>
                <w:szCs w:val="22"/>
              </w:rPr>
            </w:pPr>
            <w:r w:rsidRPr="002A4F0C">
              <w:rPr>
                <w:rFonts w:ascii="Arial" w:hAnsi="Arial"/>
                <w:szCs w:val="22"/>
              </w:rPr>
              <w:t>41500</w:t>
            </w:r>
          </w:p>
        </w:tc>
        <w:tc>
          <w:tcPr>
            <w:tcW w:w="7938" w:type="dxa"/>
            <w:shd w:val="clear" w:color="auto" w:fill="auto"/>
            <w:vAlign w:val="bottom"/>
          </w:tcPr>
          <w:p w14:paraId="0D1FD2EB" w14:textId="77777777" w:rsidR="002A4F0C" w:rsidRPr="002A4F0C" w:rsidRDefault="002A4F0C" w:rsidP="002A4F0C">
            <w:pPr>
              <w:spacing w:line="240" w:lineRule="auto"/>
              <w:rPr>
                <w:rFonts w:ascii="Arial" w:hAnsi="Arial"/>
                <w:szCs w:val="22"/>
              </w:rPr>
            </w:pPr>
            <w:r w:rsidRPr="002A4F0C">
              <w:rPr>
                <w:rFonts w:ascii="Arial" w:hAnsi="Arial"/>
                <w:szCs w:val="22"/>
              </w:rPr>
              <w:t>Thomas HV, Stimpson NJ, Weightman AL, Dunstan F, Lewis G (2006). Systematic review of multi-symptom conditions in Gulf War veterans. Psychological Medicine, 36: 735-47.</w:t>
            </w:r>
          </w:p>
        </w:tc>
      </w:tr>
      <w:tr w:rsidR="002A4F0C" w:rsidRPr="002A4F0C" w14:paraId="3873D254" w14:textId="77777777" w:rsidTr="002A4F0C">
        <w:trPr>
          <w:cantSplit/>
        </w:trPr>
        <w:tc>
          <w:tcPr>
            <w:tcW w:w="1575" w:type="dxa"/>
            <w:shd w:val="clear" w:color="auto" w:fill="auto"/>
            <w:noWrap/>
            <w:vAlign w:val="center"/>
          </w:tcPr>
          <w:p w14:paraId="12B3365E" w14:textId="77777777" w:rsidR="002A4F0C" w:rsidRPr="002A4F0C" w:rsidRDefault="002A4F0C" w:rsidP="002A4F0C">
            <w:pPr>
              <w:spacing w:line="240" w:lineRule="auto"/>
              <w:jc w:val="center"/>
              <w:rPr>
                <w:rFonts w:ascii="Arial" w:hAnsi="Arial"/>
                <w:szCs w:val="22"/>
              </w:rPr>
            </w:pPr>
            <w:r w:rsidRPr="002A4F0C">
              <w:rPr>
                <w:rFonts w:ascii="Arial" w:hAnsi="Arial"/>
                <w:szCs w:val="22"/>
              </w:rPr>
              <w:t>42451</w:t>
            </w:r>
          </w:p>
        </w:tc>
        <w:tc>
          <w:tcPr>
            <w:tcW w:w="7938" w:type="dxa"/>
            <w:shd w:val="clear" w:color="auto" w:fill="auto"/>
            <w:vAlign w:val="bottom"/>
          </w:tcPr>
          <w:p w14:paraId="00397CC2" w14:textId="77777777" w:rsidR="002A4F0C" w:rsidRPr="002A4F0C" w:rsidRDefault="002A4F0C" w:rsidP="002A4F0C">
            <w:pPr>
              <w:spacing w:line="240" w:lineRule="auto"/>
              <w:rPr>
                <w:rFonts w:ascii="Arial" w:hAnsi="Arial"/>
                <w:szCs w:val="22"/>
              </w:rPr>
            </w:pPr>
            <w:r w:rsidRPr="002A4F0C">
              <w:rPr>
                <w:rFonts w:ascii="Arial" w:hAnsi="Arial"/>
                <w:szCs w:val="22"/>
              </w:rPr>
              <w:t>Miller KA, Siscovick DS, Sheppard L, Shepherd K, et al (2007). Long-term exposure to air pollution and incidence of cardiovascular events in women. NEJM, Vol 356 pp 447-458.</w:t>
            </w:r>
          </w:p>
        </w:tc>
      </w:tr>
      <w:tr w:rsidR="002A4F0C" w:rsidRPr="002A4F0C" w14:paraId="7B386D8C" w14:textId="77777777" w:rsidTr="002A4F0C">
        <w:trPr>
          <w:cantSplit/>
        </w:trPr>
        <w:tc>
          <w:tcPr>
            <w:tcW w:w="1575" w:type="dxa"/>
            <w:shd w:val="clear" w:color="auto" w:fill="auto"/>
            <w:noWrap/>
            <w:vAlign w:val="center"/>
          </w:tcPr>
          <w:p w14:paraId="4E58AEAB" w14:textId="77777777" w:rsidR="002A4F0C" w:rsidRPr="002A4F0C" w:rsidRDefault="002A4F0C" w:rsidP="002A4F0C">
            <w:pPr>
              <w:spacing w:line="240" w:lineRule="auto"/>
              <w:jc w:val="center"/>
              <w:rPr>
                <w:rFonts w:ascii="Arial" w:hAnsi="Arial"/>
                <w:szCs w:val="22"/>
              </w:rPr>
            </w:pPr>
            <w:r w:rsidRPr="002A4F0C">
              <w:rPr>
                <w:rFonts w:ascii="Arial" w:hAnsi="Arial"/>
                <w:szCs w:val="22"/>
              </w:rPr>
              <w:t>43160</w:t>
            </w:r>
          </w:p>
        </w:tc>
        <w:tc>
          <w:tcPr>
            <w:tcW w:w="7938" w:type="dxa"/>
            <w:shd w:val="clear" w:color="auto" w:fill="auto"/>
            <w:vAlign w:val="bottom"/>
          </w:tcPr>
          <w:p w14:paraId="3B31A94B" w14:textId="77777777" w:rsidR="002A4F0C" w:rsidRPr="002A4F0C" w:rsidRDefault="002A4F0C" w:rsidP="002A4F0C">
            <w:pPr>
              <w:spacing w:line="240" w:lineRule="auto"/>
              <w:rPr>
                <w:rFonts w:ascii="Arial" w:hAnsi="Arial"/>
                <w:szCs w:val="22"/>
              </w:rPr>
            </w:pPr>
            <w:r w:rsidRPr="002A4F0C">
              <w:rPr>
                <w:rFonts w:ascii="Arial" w:hAnsi="Arial"/>
                <w:szCs w:val="22"/>
              </w:rPr>
              <w:t>Hadler NM (1997). Fibromyalgia, chronic fatigue, and other iatrogenic diagnostic algorithms. Postgraduate Medicine, 102(2) pp 161-162, 165-166, 171-172, 175-177.</w:t>
            </w:r>
          </w:p>
        </w:tc>
      </w:tr>
      <w:tr w:rsidR="002A4F0C" w:rsidRPr="002A4F0C" w14:paraId="2D8610B2" w14:textId="77777777" w:rsidTr="002A4F0C">
        <w:trPr>
          <w:cantSplit/>
        </w:trPr>
        <w:tc>
          <w:tcPr>
            <w:tcW w:w="1575" w:type="dxa"/>
            <w:shd w:val="clear" w:color="auto" w:fill="auto"/>
            <w:noWrap/>
            <w:vAlign w:val="center"/>
          </w:tcPr>
          <w:p w14:paraId="3ECF82C1" w14:textId="77777777" w:rsidR="002A4F0C" w:rsidRPr="002A4F0C" w:rsidRDefault="002A4F0C" w:rsidP="002A4F0C">
            <w:pPr>
              <w:spacing w:line="240" w:lineRule="auto"/>
              <w:jc w:val="center"/>
              <w:rPr>
                <w:rFonts w:ascii="Arial" w:hAnsi="Arial"/>
                <w:szCs w:val="22"/>
              </w:rPr>
            </w:pPr>
            <w:r w:rsidRPr="002A4F0C">
              <w:rPr>
                <w:rFonts w:ascii="Arial" w:hAnsi="Arial"/>
                <w:szCs w:val="22"/>
              </w:rPr>
              <w:t>43161</w:t>
            </w:r>
          </w:p>
        </w:tc>
        <w:tc>
          <w:tcPr>
            <w:tcW w:w="7938" w:type="dxa"/>
            <w:shd w:val="clear" w:color="auto" w:fill="auto"/>
            <w:vAlign w:val="bottom"/>
          </w:tcPr>
          <w:p w14:paraId="39D7F95C" w14:textId="77777777" w:rsidR="002A4F0C" w:rsidRPr="002A4F0C" w:rsidRDefault="002A4F0C" w:rsidP="002A4F0C">
            <w:pPr>
              <w:spacing w:line="240" w:lineRule="auto"/>
              <w:rPr>
                <w:rFonts w:ascii="Arial" w:hAnsi="Arial"/>
                <w:szCs w:val="22"/>
              </w:rPr>
            </w:pPr>
            <w:r w:rsidRPr="002A4F0C">
              <w:rPr>
                <w:rFonts w:ascii="Arial" w:hAnsi="Arial"/>
                <w:szCs w:val="22"/>
              </w:rPr>
              <w:t>Chambers CR; Pocinki AG; Jones RE; Vree R; Sabal N;, et al (1997). [Letters] Fireworks over fibromyalgia, CFA, and IBS. Postgraduate Medicine, 102(6) pp 43-44.</w:t>
            </w:r>
          </w:p>
        </w:tc>
      </w:tr>
      <w:tr w:rsidR="002A4F0C" w:rsidRPr="002A4F0C" w14:paraId="52DD686E" w14:textId="77777777" w:rsidTr="002A4F0C">
        <w:trPr>
          <w:cantSplit/>
        </w:trPr>
        <w:tc>
          <w:tcPr>
            <w:tcW w:w="1575" w:type="dxa"/>
            <w:shd w:val="clear" w:color="auto" w:fill="auto"/>
            <w:noWrap/>
            <w:vAlign w:val="center"/>
          </w:tcPr>
          <w:p w14:paraId="0B3B4114" w14:textId="77777777" w:rsidR="002A4F0C" w:rsidRPr="002A4F0C" w:rsidRDefault="002A4F0C" w:rsidP="002A4F0C">
            <w:pPr>
              <w:spacing w:line="240" w:lineRule="auto"/>
              <w:jc w:val="center"/>
              <w:rPr>
                <w:rFonts w:ascii="Arial" w:hAnsi="Arial"/>
                <w:szCs w:val="22"/>
              </w:rPr>
            </w:pPr>
            <w:r w:rsidRPr="002A4F0C">
              <w:rPr>
                <w:rFonts w:ascii="Arial" w:hAnsi="Arial"/>
                <w:szCs w:val="22"/>
              </w:rPr>
              <w:t>43441</w:t>
            </w:r>
          </w:p>
        </w:tc>
        <w:tc>
          <w:tcPr>
            <w:tcW w:w="7938" w:type="dxa"/>
            <w:shd w:val="clear" w:color="auto" w:fill="auto"/>
            <w:vAlign w:val="bottom"/>
          </w:tcPr>
          <w:p w14:paraId="7B3C4985" w14:textId="77777777" w:rsidR="002A4F0C" w:rsidRPr="002A4F0C" w:rsidRDefault="002A4F0C" w:rsidP="002A4F0C">
            <w:pPr>
              <w:spacing w:line="240" w:lineRule="auto"/>
              <w:rPr>
                <w:rFonts w:ascii="Arial" w:hAnsi="Arial"/>
                <w:szCs w:val="22"/>
              </w:rPr>
            </w:pPr>
            <w:r w:rsidRPr="002A4F0C">
              <w:rPr>
                <w:rFonts w:ascii="Arial" w:hAnsi="Arial"/>
                <w:szCs w:val="22"/>
              </w:rPr>
              <w:t>Forbes AB, McKenzie DP, MacKinnon AJ, Kelsall HL, McFarlane AC, Ikin JF, Glass DC, &amp; Sim MR (2004). The health of Australian veterans of the 1991 Gulf War: factor analysis of self-reported symptoms. Occup Environ med, 61:1014-1020.</w:t>
            </w:r>
          </w:p>
        </w:tc>
      </w:tr>
      <w:tr w:rsidR="002A4F0C" w:rsidRPr="002A4F0C" w14:paraId="6F877114" w14:textId="77777777" w:rsidTr="002A4F0C">
        <w:trPr>
          <w:cantSplit/>
        </w:trPr>
        <w:tc>
          <w:tcPr>
            <w:tcW w:w="1575" w:type="dxa"/>
            <w:shd w:val="clear" w:color="auto" w:fill="auto"/>
            <w:noWrap/>
            <w:vAlign w:val="center"/>
          </w:tcPr>
          <w:p w14:paraId="12FC1A35" w14:textId="77777777" w:rsidR="002A4F0C" w:rsidRPr="002A4F0C" w:rsidRDefault="002A4F0C" w:rsidP="002A4F0C">
            <w:pPr>
              <w:spacing w:line="240" w:lineRule="auto"/>
              <w:jc w:val="center"/>
              <w:rPr>
                <w:rFonts w:ascii="Arial" w:hAnsi="Arial"/>
                <w:szCs w:val="22"/>
              </w:rPr>
            </w:pPr>
            <w:r w:rsidRPr="002A4F0C">
              <w:rPr>
                <w:rFonts w:ascii="Arial" w:hAnsi="Arial"/>
                <w:szCs w:val="22"/>
              </w:rPr>
              <w:t>43442</w:t>
            </w:r>
          </w:p>
        </w:tc>
        <w:tc>
          <w:tcPr>
            <w:tcW w:w="7938" w:type="dxa"/>
            <w:shd w:val="clear" w:color="auto" w:fill="auto"/>
            <w:vAlign w:val="bottom"/>
          </w:tcPr>
          <w:p w14:paraId="6C86195A" w14:textId="77777777" w:rsidR="002A4F0C" w:rsidRPr="002A4F0C" w:rsidRDefault="002A4F0C" w:rsidP="002A4F0C">
            <w:pPr>
              <w:spacing w:line="240" w:lineRule="auto"/>
              <w:rPr>
                <w:rFonts w:ascii="Arial" w:hAnsi="Arial"/>
                <w:szCs w:val="22"/>
              </w:rPr>
            </w:pPr>
            <w:r w:rsidRPr="002A4F0C">
              <w:rPr>
                <w:rFonts w:ascii="Arial" w:hAnsi="Arial"/>
                <w:szCs w:val="22"/>
              </w:rPr>
              <w:t>Kelsall HL, Sim MR, Forbes AB, Glass DC, McKenzie DP, et al (2004). Symptoms and medical conditions in Australian veterans of the 1991 Gulf War: relation to immunisations and other Gulf War exposures. Occup Environ Med, 61(12): 1006-13.</w:t>
            </w:r>
          </w:p>
        </w:tc>
      </w:tr>
      <w:tr w:rsidR="002A4F0C" w:rsidRPr="002A4F0C" w14:paraId="4018D60B" w14:textId="77777777" w:rsidTr="002A4F0C">
        <w:trPr>
          <w:cantSplit/>
        </w:trPr>
        <w:tc>
          <w:tcPr>
            <w:tcW w:w="1575" w:type="dxa"/>
            <w:shd w:val="clear" w:color="auto" w:fill="auto"/>
            <w:noWrap/>
            <w:vAlign w:val="center"/>
          </w:tcPr>
          <w:p w14:paraId="3A09EEF2" w14:textId="77777777" w:rsidR="002A4F0C" w:rsidRPr="002A4F0C" w:rsidRDefault="002A4F0C" w:rsidP="002A4F0C">
            <w:pPr>
              <w:spacing w:line="240" w:lineRule="auto"/>
              <w:jc w:val="center"/>
              <w:rPr>
                <w:rFonts w:ascii="Arial" w:hAnsi="Arial"/>
                <w:szCs w:val="22"/>
              </w:rPr>
            </w:pPr>
            <w:r w:rsidRPr="002A4F0C">
              <w:rPr>
                <w:rFonts w:ascii="Arial" w:hAnsi="Arial"/>
                <w:szCs w:val="22"/>
              </w:rPr>
              <w:t>43950</w:t>
            </w:r>
          </w:p>
        </w:tc>
        <w:tc>
          <w:tcPr>
            <w:tcW w:w="7938" w:type="dxa"/>
            <w:shd w:val="clear" w:color="auto" w:fill="auto"/>
            <w:vAlign w:val="bottom"/>
          </w:tcPr>
          <w:p w14:paraId="2A209C4C" w14:textId="77777777" w:rsidR="002A4F0C" w:rsidRPr="002A4F0C" w:rsidRDefault="002A4F0C" w:rsidP="002A4F0C">
            <w:pPr>
              <w:spacing w:line="240" w:lineRule="auto"/>
              <w:rPr>
                <w:rFonts w:ascii="Arial" w:hAnsi="Arial"/>
                <w:szCs w:val="22"/>
              </w:rPr>
            </w:pPr>
            <w:r w:rsidRPr="002A4F0C">
              <w:rPr>
                <w:rFonts w:ascii="Arial" w:hAnsi="Arial"/>
                <w:szCs w:val="22"/>
              </w:rPr>
              <w:t>Gray GC, Kang HK (2006). Healthcare utilization and mortality among veterans of the Gulf War. Philos Trans R Soc Lond B Biol Sci, 361(1468): 553-69.</w:t>
            </w:r>
          </w:p>
        </w:tc>
      </w:tr>
      <w:tr w:rsidR="002A4F0C" w:rsidRPr="002A4F0C" w14:paraId="049F7E55" w14:textId="77777777" w:rsidTr="002A4F0C">
        <w:trPr>
          <w:cantSplit/>
        </w:trPr>
        <w:tc>
          <w:tcPr>
            <w:tcW w:w="1575" w:type="dxa"/>
            <w:shd w:val="clear" w:color="auto" w:fill="auto"/>
            <w:noWrap/>
            <w:vAlign w:val="center"/>
          </w:tcPr>
          <w:p w14:paraId="13D833F3" w14:textId="77777777" w:rsidR="002A4F0C" w:rsidRPr="002A4F0C" w:rsidRDefault="002A4F0C" w:rsidP="002A4F0C">
            <w:pPr>
              <w:spacing w:line="240" w:lineRule="auto"/>
              <w:jc w:val="center"/>
              <w:rPr>
                <w:rFonts w:ascii="Arial" w:hAnsi="Arial"/>
                <w:szCs w:val="22"/>
              </w:rPr>
            </w:pPr>
            <w:r w:rsidRPr="002A4F0C">
              <w:rPr>
                <w:rFonts w:ascii="Arial" w:hAnsi="Arial"/>
                <w:szCs w:val="22"/>
              </w:rPr>
              <w:t>45240</w:t>
            </w:r>
          </w:p>
        </w:tc>
        <w:tc>
          <w:tcPr>
            <w:tcW w:w="7938" w:type="dxa"/>
            <w:shd w:val="clear" w:color="auto" w:fill="auto"/>
            <w:vAlign w:val="bottom"/>
          </w:tcPr>
          <w:p w14:paraId="684D9D7C" w14:textId="77777777" w:rsidR="002A4F0C" w:rsidRPr="002A4F0C" w:rsidRDefault="002A4F0C" w:rsidP="002A4F0C">
            <w:pPr>
              <w:spacing w:line="240" w:lineRule="auto"/>
              <w:rPr>
                <w:rFonts w:ascii="Arial" w:hAnsi="Arial"/>
                <w:szCs w:val="22"/>
              </w:rPr>
            </w:pPr>
            <w:r w:rsidRPr="002A4F0C">
              <w:rPr>
                <w:rFonts w:ascii="Arial" w:hAnsi="Arial"/>
                <w:szCs w:val="22"/>
              </w:rPr>
              <w:t>Rona RJ, Fear NT, Hull L, Greenberg N, Earnshaw M, Hotopf M, Wessely S (2007). Mental health consequences of overstretch in the UK armed forces: first phase of a cohort study. BMJ, Epub ahead of print.</w:t>
            </w:r>
          </w:p>
        </w:tc>
      </w:tr>
      <w:tr w:rsidR="002A4F0C" w:rsidRPr="002A4F0C" w14:paraId="12AFDC8D" w14:textId="77777777" w:rsidTr="002A4F0C">
        <w:trPr>
          <w:cantSplit/>
        </w:trPr>
        <w:tc>
          <w:tcPr>
            <w:tcW w:w="1575" w:type="dxa"/>
            <w:shd w:val="clear" w:color="auto" w:fill="auto"/>
            <w:noWrap/>
            <w:vAlign w:val="center"/>
          </w:tcPr>
          <w:p w14:paraId="75BE4603" w14:textId="77777777" w:rsidR="002A4F0C" w:rsidRPr="002A4F0C" w:rsidRDefault="002A4F0C" w:rsidP="002A4F0C">
            <w:pPr>
              <w:spacing w:line="240" w:lineRule="auto"/>
              <w:jc w:val="center"/>
              <w:rPr>
                <w:rFonts w:ascii="Arial" w:hAnsi="Arial"/>
                <w:szCs w:val="22"/>
              </w:rPr>
            </w:pPr>
            <w:r w:rsidRPr="002A4F0C">
              <w:rPr>
                <w:rFonts w:ascii="Arial" w:hAnsi="Arial"/>
                <w:szCs w:val="22"/>
              </w:rPr>
              <w:t>46157</w:t>
            </w:r>
          </w:p>
        </w:tc>
        <w:tc>
          <w:tcPr>
            <w:tcW w:w="7938" w:type="dxa"/>
            <w:shd w:val="clear" w:color="auto" w:fill="auto"/>
            <w:vAlign w:val="bottom"/>
          </w:tcPr>
          <w:p w14:paraId="1F90D7B4" w14:textId="77777777" w:rsidR="002A4F0C" w:rsidRPr="002A4F0C" w:rsidRDefault="002A4F0C" w:rsidP="002A4F0C">
            <w:pPr>
              <w:spacing w:line="240" w:lineRule="auto"/>
              <w:rPr>
                <w:rFonts w:ascii="Arial" w:hAnsi="Arial"/>
                <w:szCs w:val="22"/>
              </w:rPr>
            </w:pPr>
            <w:r w:rsidRPr="002A4F0C">
              <w:rPr>
                <w:rFonts w:ascii="Arial" w:hAnsi="Arial"/>
                <w:szCs w:val="22"/>
              </w:rPr>
              <w:t>Milliken CS, Auchterlonie JL, Hoge CW (2007). Longitudinal assessment of mental health problems among active and reserve component soldiers returning from the Iraq war. JAMA, 298(18): 2141-8.</w:t>
            </w:r>
          </w:p>
        </w:tc>
      </w:tr>
      <w:tr w:rsidR="002A4F0C" w:rsidRPr="002A4F0C" w14:paraId="3A020AFA" w14:textId="77777777" w:rsidTr="002A4F0C">
        <w:trPr>
          <w:cantSplit/>
        </w:trPr>
        <w:tc>
          <w:tcPr>
            <w:tcW w:w="1575" w:type="dxa"/>
            <w:shd w:val="clear" w:color="auto" w:fill="auto"/>
            <w:noWrap/>
            <w:vAlign w:val="center"/>
          </w:tcPr>
          <w:p w14:paraId="7FACBD9F" w14:textId="77777777" w:rsidR="002A4F0C" w:rsidRPr="002A4F0C" w:rsidRDefault="002A4F0C" w:rsidP="002A4F0C">
            <w:pPr>
              <w:spacing w:line="240" w:lineRule="auto"/>
              <w:jc w:val="center"/>
              <w:rPr>
                <w:rFonts w:ascii="Arial" w:hAnsi="Arial"/>
                <w:szCs w:val="22"/>
              </w:rPr>
            </w:pPr>
            <w:r w:rsidRPr="002A4F0C">
              <w:rPr>
                <w:rFonts w:ascii="Arial" w:hAnsi="Arial"/>
                <w:szCs w:val="22"/>
              </w:rPr>
              <w:t>46908</w:t>
            </w:r>
          </w:p>
        </w:tc>
        <w:tc>
          <w:tcPr>
            <w:tcW w:w="7938" w:type="dxa"/>
            <w:shd w:val="clear" w:color="auto" w:fill="auto"/>
            <w:vAlign w:val="bottom"/>
          </w:tcPr>
          <w:p w14:paraId="20F38A01" w14:textId="77777777" w:rsidR="002A4F0C" w:rsidRPr="002A4F0C" w:rsidRDefault="002A4F0C" w:rsidP="002A4F0C">
            <w:pPr>
              <w:spacing w:line="240" w:lineRule="auto"/>
              <w:rPr>
                <w:rFonts w:ascii="Arial" w:hAnsi="Arial"/>
                <w:szCs w:val="22"/>
              </w:rPr>
            </w:pPr>
            <w:r w:rsidRPr="002A4F0C">
              <w:rPr>
                <w:rFonts w:ascii="Arial" w:hAnsi="Arial"/>
                <w:szCs w:val="22"/>
              </w:rPr>
              <w:t>Karl A, Malta LS, Maercker A (2006). Meta-analytic review of event-related potential studies in post-traumatic stress disorder. Biological Psychology, 71: 123-47.</w:t>
            </w:r>
          </w:p>
        </w:tc>
      </w:tr>
      <w:tr w:rsidR="002A4F0C" w:rsidRPr="002A4F0C" w14:paraId="456367D5" w14:textId="77777777" w:rsidTr="002A4F0C">
        <w:trPr>
          <w:cantSplit/>
        </w:trPr>
        <w:tc>
          <w:tcPr>
            <w:tcW w:w="1575" w:type="dxa"/>
            <w:shd w:val="clear" w:color="auto" w:fill="auto"/>
            <w:noWrap/>
            <w:vAlign w:val="center"/>
          </w:tcPr>
          <w:p w14:paraId="7B6BDEA6" w14:textId="77777777" w:rsidR="002A4F0C" w:rsidRPr="002A4F0C" w:rsidRDefault="002A4F0C" w:rsidP="002A4F0C">
            <w:pPr>
              <w:spacing w:line="240" w:lineRule="auto"/>
              <w:jc w:val="center"/>
              <w:rPr>
                <w:rFonts w:ascii="Arial" w:hAnsi="Arial"/>
                <w:szCs w:val="22"/>
              </w:rPr>
            </w:pPr>
            <w:r w:rsidRPr="002A4F0C">
              <w:rPr>
                <w:rFonts w:ascii="Arial" w:hAnsi="Arial"/>
                <w:szCs w:val="22"/>
              </w:rPr>
              <w:t>48671</w:t>
            </w:r>
          </w:p>
        </w:tc>
        <w:tc>
          <w:tcPr>
            <w:tcW w:w="7938" w:type="dxa"/>
            <w:shd w:val="clear" w:color="auto" w:fill="auto"/>
            <w:vAlign w:val="bottom"/>
          </w:tcPr>
          <w:p w14:paraId="74499198" w14:textId="77777777" w:rsidR="002A4F0C" w:rsidRPr="002A4F0C" w:rsidRDefault="002A4F0C" w:rsidP="002A4F0C">
            <w:pPr>
              <w:spacing w:line="240" w:lineRule="auto"/>
              <w:rPr>
                <w:rFonts w:ascii="Arial" w:hAnsi="Arial"/>
                <w:szCs w:val="22"/>
              </w:rPr>
            </w:pPr>
            <w:r w:rsidRPr="002A4F0C">
              <w:rPr>
                <w:rFonts w:ascii="Arial" w:hAnsi="Arial"/>
                <w:szCs w:val="22"/>
              </w:rPr>
              <w:t>Hoge CW, McGurk D, Thomas JL, Cox AL, et al (2008). Mild traumatic brain injury in U.S. soldiers returning from Iraq. NEJM, 358(5): 453-63.</w:t>
            </w:r>
          </w:p>
        </w:tc>
      </w:tr>
      <w:tr w:rsidR="002A4F0C" w:rsidRPr="002A4F0C" w14:paraId="2D48A989" w14:textId="77777777" w:rsidTr="002A4F0C">
        <w:trPr>
          <w:cantSplit/>
        </w:trPr>
        <w:tc>
          <w:tcPr>
            <w:tcW w:w="1575" w:type="dxa"/>
            <w:shd w:val="clear" w:color="auto" w:fill="auto"/>
            <w:noWrap/>
            <w:vAlign w:val="center"/>
          </w:tcPr>
          <w:p w14:paraId="11933AB6" w14:textId="77777777" w:rsidR="002A4F0C" w:rsidRPr="002A4F0C" w:rsidRDefault="002A4F0C" w:rsidP="002A4F0C">
            <w:pPr>
              <w:spacing w:line="240" w:lineRule="auto"/>
              <w:jc w:val="center"/>
              <w:rPr>
                <w:rFonts w:ascii="Arial" w:hAnsi="Arial"/>
                <w:szCs w:val="22"/>
              </w:rPr>
            </w:pPr>
            <w:r w:rsidRPr="002A4F0C">
              <w:rPr>
                <w:rFonts w:ascii="Arial" w:hAnsi="Arial"/>
                <w:szCs w:val="22"/>
              </w:rPr>
              <w:t>49390</w:t>
            </w:r>
          </w:p>
        </w:tc>
        <w:tc>
          <w:tcPr>
            <w:tcW w:w="7938" w:type="dxa"/>
            <w:shd w:val="clear" w:color="auto" w:fill="auto"/>
            <w:vAlign w:val="bottom"/>
          </w:tcPr>
          <w:p w14:paraId="584013E9" w14:textId="77777777" w:rsidR="002A4F0C" w:rsidRPr="002A4F0C" w:rsidRDefault="002A4F0C" w:rsidP="002A4F0C">
            <w:pPr>
              <w:spacing w:line="240" w:lineRule="auto"/>
              <w:rPr>
                <w:rFonts w:ascii="Arial" w:hAnsi="Arial"/>
                <w:szCs w:val="22"/>
              </w:rPr>
            </w:pPr>
            <w:r w:rsidRPr="002A4F0C">
              <w:rPr>
                <w:rFonts w:ascii="Arial" w:hAnsi="Arial"/>
                <w:szCs w:val="22"/>
              </w:rPr>
              <w:t>Kelsall HL, Sim MR, Forbes AB et al (2004). Respiratory health status of Australian veterans of the 1991 Gulf War and the effects of exposure to oil fire smoke and dust storms. Thorax, 59(10): 897-903.</w:t>
            </w:r>
          </w:p>
        </w:tc>
      </w:tr>
      <w:tr w:rsidR="002A4F0C" w:rsidRPr="002A4F0C" w14:paraId="50054FC0" w14:textId="77777777" w:rsidTr="002A4F0C">
        <w:trPr>
          <w:cantSplit/>
        </w:trPr>
        <w:tc>
          <w:tcPr>
            <w:tcW w:w="1575" w:type="dxa"/>
            <w:shd w:val="clear" w:color="auto" w:fill="auto"/>
            <w:noWrap/>
            <w:vAlign w:val="center"/>
          </w:tcPr>
          <w:p w14:paraId="579CC914" w14:textId="77777777" w:rsidR="002A4F0C" w:rsidRPr="002A4F0C" w:rsidRDefault="002A4F0C" w:rsidP="002A4F0C">
            <w:pPr>
              <w:spacing w:line="240" w:lineRule="auto"/>
              <w:jc w:val="center"/>
              <w:rPr>
                <w:rFonts w:ascii="Arial" w:hAnsi="Arial"/>
                <w:szCs w:val="22"/>
              </w:rPr>
            </w:pPr>
            <w:r w:rsidRPr="002A4F0C">
              <w:rPr>
                <w:rFonts w:ascii="Arial" w:hAnsi="Arial"/>
                <w:szCs w:val="22"/>
              </w:rPr>
              <w:t>49505</w:t>
            </w:r>
          </w:p>
        </w:tc>
        <w:tc>
          <w:tcPr>
            <w:tcW w:w="7938" w:type="dxa"/>
            <w:shd w:val="clear" w:color="auto" w:fill="auto"/>
            <w:vAlign w:val="bottom"/>
          </w:tcPr>
          <w:p w14:paraId="34DAFC14" w14:textId="77777777" w:rsidR="002A4F0C" w:rsidRPr="002A4F0C" w:rsidRDefault="002A4F0C" w:rsidP="002A4F0C">
            <w:pPr>
              <w:spacing w:line="240" w:lineRule="auto"/>
              <w:rPr>
                <w:rFonts w:ascii="Arial" w:hAnsi="Arial"/>
                <w:szCs w:val="22"/>
              </w:rPr>
            </w:pPr>
            <w:r w:rsidRPr="002A4F0C">
              <w:rPr>
                <w:rFonts w:ascii="Arial" w:hAnsi="Arial"/>
                <w:szCs w:val="22"/>
              </w:rPr>
              <w:t>Ryan MAK, Smith TC, Smith B, Amoroso P, et al (2007). Millennium cohort: enrollment begins a 21-year contribution to understanding the impact of military service. J Clin Epidemiol, 60: 181-91.</w:t>
            </w:r>
          </w:p>
        </w:tc>
      </w:tr>
      <w:tr w:rsidR="002A4F0C" w:rsidRPr="002A4F0C" w14:paraId="0A910358" w14:textId="77777777" w:rsidTr="002A4F0C">
        <w:trPr>
          <w:cantSplit/>
        </w:trPr>
        <w:tc>
          <w:tcPr>
            <w:tcW w:w="1575" w:type="dxa"/>
            <w:shd w:val="clear" w:color="auto" w:fill="auto"/>
            <w:noWrap/>
            <w:vAlign w:val="center"/>
          </w:tcPr>
          <w:p w14:paraId="76D15356" w14:textId="77777777" w:rsidR="002A4F0C" w:rsidRPr="002A4F0C" w:rsidRDefault="002A4F0C" w:rsidP="002A4F0C">
            <w:pPr>
              <w:spacing w:line="240" w:lineRule="auto"/>
              <w:jc w:val="center"/>
              <w:rPr>
                <w:rFonts w:ascii="Arial" w:hAnsi="Arial"/>
                <w:szCs w:val="22"/>
              </w:rPr>
            </w:pPr>
            <w:r w:rsidRPr="002A4F0C">
              <w:rPr>
                <w:rFonts w:ascii="Arial" w:hAnsi="Arial"/>
                <w:szCs w:val="22"/>
              </w:rPr>
              <w:t>49944</w:t>
            </w:r>
          </w:p>
        </w:tc>
        <w:tc>
          <w:tcPr>
            <w:tcW w:w="7938" w:type="dxa"/>
            <w:shd w:val="clear" w:color="auto" w:fill="auto"/>
            <w:vAlign w:val="bottom"/>
          </w:tcPr>
          <w:p w14:paraId="5776FB3C" w14:textId="77777777" w:rsidR="002A4F0C" w:rsidRPr="002A4F0C" w:rsidRDefault="002A4F0C" w:rsidP="002A4F0C">
            <w:pPr>
              <w:spacing w:line="240" w:lineRule="auto"/>
              <w:rPr>
                <w:rFonts w:ascii="Arial" w:hAnsi="Arial"/>
                <w:szCs w:val="22"/>
              </w:rPr>
            </w:pPr>
            <w:r w:rsidRPr="002A4F0C">
              <w:rPr>
                <w:rFonts w:ascii="Arial" w:hAnsi="Arial"/>
                <w:szCs w:val="22"/>
              </w:rPr>
              <w:t>Institute of Medicine (2006). Gulf War and Health. Health effects of serving in the Gulf War,  Vol 4. National Academy Press, Washington, DC.</w:t>
            </w:r>
          </w:p>
        </w:tc>
      </w:tr>
      <w:tr w:rsidR="002A4F0C" w:rsidRPr="002A4F0C" w14:paraId="636CEBEF" w14:textId="77777777" w:rsidTr="002A4F0C">
        <w:trPr>
          <w:cantSplit/>
        </w:trPr>
        <w:tc>
          <w:tcPr>
            <w:tcW w:w="1575" w:type="dxa"/>
            <w:shd w:val="clear" w:color="auto" w:fill="auto"/>
            <w:noWrap/>
            <w:vAlign w:val="center"/>
          </w:tcPr>
          <w:p w14:paraId="7839F293"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50814</w:t>
            </w:r>
          </w:p>
        </w:tc>
        <w:tc>
          <w:tcPr>
            <w:tcW w:w="7938" w:type="dxa"/>
            <w:shd w:val="clear" w:color="auto" w:fill="auto"/>
            <w:vAlign w:val="bottom"/>
          </w:tcPr>
          <w:p w14:paraId="621BE6AA" w14:textId="77777777" w:rsidR="002A4F0C" w:rsidRPr="002A4F0C" w:rsidRDefault="002A4F0C" w:rsidP="002A4F0C">
            <w:pPr>
              <w:spacing w:line="240" w:lineRule="auto"/>
              <w:rPr>
                <w:rFonts w:ascii="Arial" w:hAnsi="Arial"/>
                <w:szCs w:val="22"/>
              </w:rPr>
            </w:pPr>
            <w:r w:rsidRPr="002A4F0C">
              <w:rPr>
                <w:rFonts w:ascii="Arial" w:hAnsi="Arial"/>
                <w:szCs w:val="22"/>
              </w:rPr>
              <w:t>Horn O, Hull L, Jones M, Murphy D, et al (2006). Is there an Iraq war syndrome? Comparison of the health of UK service personnel after the Gulf and Iraq wars. Lancet, 367(9524): 1742-6.</w:t>
            </w:r>
          </w:p>
        </w:tc>
      </w:tr>
      <w:tr w:rsidR="002A4F0C" w:rsidRPr="002A4F0C" w14:paraId="3BCB6792" w14:textId="77777777" w:rsidTr="002A4F0C">
        <w:trPr>
          <w:cantSplit/>
        </w:trPr>
        <w:tc>
          <w:tcPr>
            <w:tcW w:w="1575" w:type="dxa"/>
            <w:shd w:val="clear" w:color="auto" w:fill="auto"/>
            <w:noWrap/>
            <w:vAlign w:val="center"/>
          </w:tcPr>
          <w:p w14:paraId="64A42A68"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50823</w:t>
            </w:r>
          </w:p>
        </w:tc>
        <w:tc>
          <w:tcPr>
            <w:tcW w:w="7938" w:type="dxa"/>
            <w:shd w:val="clear" w:color="auto" w:fill="auto"/>
            <w:vAlign w:val="bottom"/>
          </w:tcPr>
          <w:p w14:paraId="08FBB7EB" w14:textId="77777777" w:rsidR="002A4F0C" w:rsidRPr="002A4F0C" w:rsidRDefault="002A4F0C" w:rsidP="002A4F0C">
            <w:pPr>
              <w:spacing w:line="240" w:lineRule="auto"/>
              <w:rPr>
                <w:rFonts w:ascii="Arial" w:hAnsi="Arial"/>
                <w:szCs w:val="22"/>
              </w:rPr>
            </w:pPr>
            <w:r w:rsidRPr="002A4F0C">
              <w:rPr>
                <w:rFonts w:ascii="Arial" w:hAnsi="Arial"/>
                <w:szCs w:val="22"/>
              </w:rPr>
              <w:t>Hotopf M, Mackness MI, Nikolaou V, Collier DA, et al (2003). Paraoxonase in Persian Gulf war veterans. J Occup Environ Med, 45: 668-75.</w:t>
            </w:r>
          </w:p>
        </w:tc>
      </w:tr>
      <w:tr w:rsidR="002A4F0C" w:rsidRPr="002A4F0C" w14:paraId="526DF580" w14:textId="77777777" w:rsidTr="002A4F0C">
        <w:trPr>
          <w:cantSplit/>
        </w:trPr>
        <w:tc>
          <w:tcPr>
            <w:tcW w:w="1575" w:type="dxa"/>
            <w:shd w:val="clear" w:color="auto" w:fill="auto"/>
            <w:noWrap/>
            <w:vAlign w:val="center"/>
          </w:tcPr>
          <w:p w14:paraId="05512489"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50824</w:t>
            </w:r>
          </w:p>
        </w:tc>
        <w:tc>
          <w:tcPr>
            <w:tcW w:w="7938" w:type="dxa"/>
            <w:shd w:val="clear" w:color="auto" w:fill="auto"/>
            <w:vAlign w:val="bottom"/>
          </w:tcPr>
          <w:p w14:paraId="14F33CBE" w14:textId="77777777" w:rsidR="002A4F0C" w:rsidRPr="002A4F0C" w:rsidRDefault="002A4F0C" w:rsidP="002A4F0C">
            <w:pPr>
              <w:spacing w:line="240" w:lineRule="auto"/>
              <w:rPr>
                <w:rFonts w:ascii="Arial" w:hAnsi="Arial"/>
                <w:szCs w:val="22"/>
              </w:rPr>
            </w:pPr>
            <w:r w:rsidRPr="002A4F0C">
              <w:rPr>
                <w:rFonts w:ascii="Arial" w:hAnsi="Arial"/>
                <w:szCs w:val="22"/>
              </w:rPr>
              <w:t>Costa LG, Cole TB, Furlong CE (2003). Polymorphisms of paraoxonase (PON1) and their significance in clinical toxicology of organophosphates. Journal of Toxicology, 41(1): 37-45.</w:t>
            </w:r>
          </w:p>
        </w:tc>
      </w:tr>
      <w:tr w:rsidR="002A4F0C" w:rsidRPr="002A4F0C" w14:paraId="2A0A8DFE" w14:textId="77777777" w:rsidTr="002A4F0C">
        <w:trPr>
          <w:cantSplit/>
        </w:trPr>
        <w:tc>
          <w:tcPr>
            <w:tcW w:w="1575" w:type="dxa"/>
            <w:shd w:val="clear" w:color="auto" w:fill="auto"/>
            <w:noWrap/>
            <w:vAlign w:val="center"/>
          </w:tcPr>
          <w:p w14:paraId="5F701D58"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50825</w:t>
            </w:r>
          </w:p>
        </w:tc>
        <w:tc>
          <w:tcPr>
            <w:tcW w:w="7938" w:type="dxa"/>
            <w:shd w:val="clear" w:color="auto" w:fill="auto"/>
            <w:vAlign w:val="bottom"/>
          </w:tcPr>
          <w:p w14:paraId="6B229DBF" w14:textId="77777777" w:rsidR="002A4F0C" w:rsidRPr="002A4F0C" w:rsidRDefault="002A4F0C" w:rsidP="002A4F0C">
            <w:pPr>
              <w:spacing w:line="240" w:lineRule="auto"/>
              <w:rPr>
                <w:rFonts w:ascii="Arial" w:hAnsi="Arial"/>
                <w:szCs w:val="22"/>
              </w:rPr>
            </w:pPr>
            <w:r w:rsidRPr="002A4F0C">
              <w:rPr>
                <w:rFonts w:ascii="Arial" w:hAnsi="Arial"/>
                <w:szCs w:val="22"/>
              </w:rPr>
              <w:t>Ismail K, Kent K, Sherwood R, Hull L, et al (2008). Chronic fatigue syndrome and related disorders in UK veterans of the Gulf War 1990-1991: results from a two-phase cohort study. Psychological Medicine, 38: 953-61.</w:t>
            </w:r>
          </w:p>
        </w:tc>
      </w:tr>
      <w:tr w:rsidR="002A4F0C" w:rsidRPr="002A4F0C" w14:paraId="71BA46B7" w14:textId="77777777" w:rsidTr="002A4F0C">
        <w:trPr>
          <w:cantSplit/>
        </w:trPr>
        <w:tc>
          <w:tcPr>
            <w:tcW w:w="1575" w:type="dxa"/>
            <w:shd w:val="clear" w:color="auto" w:fill="auto"/>
            <w:noWrap/>
            <w:vAlign w:val="center"/>
          </w:tcPr>
          <w:p w14:paraId="71F6086F"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50826</w:t>
            </w:r>
          </w:p>
        </w:tc>
        <w:tc>
          <w:tcPr>
            <w:tcW w:w="7938" w:type="dxa"/>
            <w:shd w:val="clear" w:color="auto" w:fill="auto"/>
            <w:vAlign w:val="bottom"/>
          </w:tcPr>
          <w:p w14:paraId="06AE8F40" w14:textId="77777777" w:rsidR="002A4F0C" w:rsidRPr="002A4F0C" w:rsidRDefault="002A4F0C" w:rsidP="002A4F0C">
            <w:pPr>
              <w:spacing w:line="240" w:lineRule="auto"/>
              <w:rPr>
                <w:rFonts w:ascii="Arial" w:hAnsi="Arial"/>
                <w:szCs w:val="22"/>
              </w:rPr>
            </w:pPr>
            <w:r w:rsidRPr="002A4F0C">
              <w:rPr>
                <w:rFonts w:ascii="Arial" w:hAnsi="Arial"/>
                <w:szCs w:val="22"/>
              </w:rPr>
              <w:t>Kirmayer LJ, Sartorius N (2007). Cultural models and somatic syndromes. Psychosomatic Medicine, 69: 832-40.</w:t>
            </w:r>
          </w:p>
        </w:tc>
      </w:tr>
      <w:tr w:rsidR="002A4F0C" w:rsidRPr="002A4F0C" w14:paraId="3323184F" w14:textId="77777777" w:rsidTr="002A4F0C">
        <w:trPr>
          <w:cantSplit/>
        </w:trPr>
        <w:tc>
          <w:tcPr>
            <w:tcW w:w="1575" w:type="dxa"/>
            <w:shd w:val="clear" w:color="auto" w:fill="auto"/>
            <w:noWrap/>
            <w:vAlign w:val="center"/>
          </w:tcPr>
          <w:p w14:paraId="1237CABA"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50832</w:t>
            </w:r>
          </w:p>
        </w:tc>
        <w:tc>
          <w:tcPr>
            <w:tcW w:w="7938" w:type="dxa"/>
            <w:shd w:val="clear" w:color="auto" w:fill="auto"/>
            <w:vAlign w:val="bottom"/>
          </w:tcPr>
          <w:p w14:paraId="0168F8F2" w14:textId="77777777" w:rsidR="002A4F0C" w:rsidRPr="002A4F0C" w:rsidRDefault="002A4F0C" w:rsidP="002A4F0C">
            <w:pPr>
              <w:spacing w:line="240" w:lineRule="auto"/>
              <w:rPr>
                <w:rFonts w:ascii="Arial" w:hAnsi="Arial"/>
                <w:szCs w:val="22"/>
              </w:rPr>
            </w:pPr>
            <w:r w:rsidRPr="002A4F0C">
              <w:rPr>
                <w:rFonts w:ascii="Arial" w:hAnsi="Arial"/>
                <w:szCs w:val="22"/>
              </w:rPr>
              <w:t>Institute of Medicine of the National Academies (2008). Physiologic, Psychologic, and Psychosocial Effects of Deployment-Related Stress. Gulf War and Health, Volume 6. The National Academies Press, Washington, D.C.</w:t>
            </w:r>
          </w:p>
        </w:tc>
      </w:tr>
      <w:tr w:rsidR="002A4F0C" w:rsidRPr="002A4F0C" w14:paraId="23812CCC" w14:textId="77777777" w:rsidTr="002A4F0C">
        <w:trPr>
          <w:cantSplit/>
        </w:trPr>
        <w:tc>
          <w:tcPr>
            <w:tcW w:w="1575" w:type="dxa"/>
            <w:shd w:val="clear" w:color="auto" w:fill="auto"/>
            <w:noWrap/>
            <w:vAlign w:val="center"/>
          </w:tcPr>
          <w:p w14:paraId="6468519C"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50838</w:t>
            </w:r>
          </w:p>
        </w:tc>
        <w:tc>
          <w:tcPr>
            <w:tcW w:w="7938" w:type="dxa"/>
            <w:shd w:val="clear" w:color="auto" w:fill="auto"/>
            <w:vAlign w:val="bottom"/>
          </w:tcPr>
          <w:p w14:paraId="110FBAE2" w14:textId="77777777" w:rsidR="002A4F0C" w:rsidRPr="002A4F0C" w:rsidRDefault="002A4F0C" w:rsidP="002A4F0C">
            <w:pPr>
              <w:spacing w:line="240" w:lineRule="auto"/>
              <w:rPr>
                <w:rFonts w:ascii="Arial" w:hAnsi="Arial"/>
                <w:szCs w:val="22"/>
              </w:rPr>
            </w:pPr>
            <w:r w:rsidRPr="002A4F0C">
              <w:rPr>
                <w:rFonts w:ascii="Arial" w:hAnsi="Arial"/>
                <w:szCs w:val="22"/>
              </w:rPr>
              <w:t>Hunt SC, Jakupcak M, McFall M, Orsborn M, et al (2006). [Comment] Re: "chronic multisymptom illness complex in Gulf War I veterans 10 years later". Am J Epidemiol, 164: 706-10.</w:t>
            </w:r>
          </w:p>
        </w:tc>
      </w:tr>
      <w:tr w:rsidR="002A4F0C" w:rsidRPr="002A4F0C" w14:paraId="4425166E" w14:textId="77777777" w:rsidTr="002A4F0C">
        <w:trPr>
          <w:cantSplit/>
        </w:trPr>
        <w:tc>
          <w:tcPr>
            <w:tcW w:w="1575" w:type="dxa"/>
            <w:shd w:val="clear" w:color="auto" w:fill="auto"/>
            <w:noWrap/>
            <w:vAlign w:val="center"/>
          </w:tcPr>
          <w:p w14:paraId="2DA04688"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50840</w:t>
            </w:r>
          </w:p>
        </w:tc>
        <w:tc>
          <w:tcPr>
            <w:tcW w:w="7938" w:type="dxa"/>
            <w:shd w:val="clear" w:color="auto" w:fill="auto"/>
            <w:vAlign w:val="bottom"/>
          </w:tcPr>
          <w:p w14:paraId="78BEA0A0" w14:textId="77777777" w:rsidR="002A4F0C" w:rsidRPr="002A4F0C" w:rsidRDefault="002A4F0C" w:rsidP="002A4F0C">
            <w:pPr>
              <w:spacing w:line="240" w:lineRule="auto"/>
              <w:rPr>
                <w:rFonts w:ascii="Arial" w:hAnsi="Arial"/>
                <w:szCs w:val="22"/>
              </w:rPr>
            </w:pPr>
            <w:r w:rsidRPr="002A4F0C">
              <w:rPr>
                <w:rFonts w:ascii="Arial" w:hAnsi="Arial"/>
                <w:szCs w:val="22"/>
              </w:rPr>
              <w:t>Axelrod BN (2006). [Comment] Interpreting symptoms in military personnel after combat. Lancet, 367(9524): 1709-10.</w:t>
            </w:r>
          </w:p>
        </w:tc>
      </w:tr>
      <w:tr w:rsidR="002A4F0C" w:rsidRPr="002A4F0C" w14:paraId="0D7A7E97" w14:textId="77777777" w:rsidTr="002A4F0C">
        <w:trPr>
          <w:cantSplit/>
        </w:trPr>
        <w:tc>
          <w:tcPr>
            <w:tcW w:w="1575" w:type="dxa"/>
            <w:shd w:val="clear" w:color="auto" w:fill="auto"/>
            <w:noWrap/>
            <w:vAlign w:val="center"/>
          </w:tcPr>
          <w:p w14:paraId="5DDA60FC"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50842</w:t>
            </w:r>
          </w:p>
        </w:tc>
        <w:tc>
          <w:tcPr>
            <w:tcW w:w="7938" w:type="dxa"/>
            <w:shd w:val="clear" w:color="auto" w:fill="auto"/>
            <w:vAlign w:val="bottom"/>
          </w:tcPr>
          <w:p w14:paraId="1DC79A63" w14:textId="77777777" w:rsidR="002A4F0C" w:rsidRPr="002A4F0C" w:rsidRDefault="002A4F0C" w:rsidP="002A4F0C">
            <w:pPr>
              <w:spacing w:line="240" w:lineRule="auto"/>
              <w:rPr>
                <w:rFonts w:ascii="Arial" w:hAnsi="Arial"/>
                <w:szCs w:val="22"/>
              </w:rPr>
            </w:pPr>
            <w:r w:rsidRPr="002A4F0C">
              <w:rPr>
                <w:rFonts w:ascii="Arial" w:hAnsi="Arial"/>
                <w:szCs w:val="22"/>
              </w:rPr>
              <w:t>Anonymous (2008). What is multicollinearity in multiple regression? Statistics help for dissertation students &amp; researchers. Retrieved 26 November 2008, from http://www.researchconstulatation.com/what-is-multicollinearity-multiple-regression.asp</w:t>
            </w:r>
          </w:p>
        </w:tc>
      </w:tr>
      <w:tr w:rsidR="002A4F0C" w:rsidRPr="002A4F0C" w14:paraId="5EAA1552" w14:textId="77777777" w:rsidTr="002A4F0C">
        <w:trPr>
          <w:cantSplit/>
        </w:trPr>
        <w:tc>
          <w:tcPr>
            <w:tcW w:w="1575" w:type="dxa"/>
            <w:shd w:val="clear" w:color="auto" w:fill="auto"/>
            <w:noWrap/>
            <w:vAlign w:val="center"/>
          </w:tcPr>
          <w:p w14:paraId="2F572A4B"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50852</w:t>
            </w:r>
          </w:p>
        </w:tc>
        <w:tc>
          <w:tcPr>
            <w:tcW w:w="7938" w:type="dxa"/>
            <w:shd w:val="clear" w:color="auto" w:fill="auto"/>
            <w:vAlign w:val="bottom"/>
          </w:tcPr>
          <w:p w14:paraId="3DFE4501" w14:textId="77777777" w:rsidR="002A4F0C" w:rsidRPr="002A4F0C" w:rsidRDefault="002A4F0C" w:rsidP="002A4F0C">
            <w:pPr>
              <w:spacing w:line="240" w:lineRule="auto"/>
              <w:rPr>
                <w:rFonts w:ascii="Arial" w:hAnsi="Arial"/>
                <w:szCs w:val="22"/>
              </w:rPr>
            </w:pPr>
            <w:r w:rsidRPr="002A4F0C">
              <w:rPr>
                <w:rFonts w:ascii="Arial" w:hAnsi="Arial"/>
                <w:szCs w:val="22"/>
              </w:rPr>
              <w:t>Hotopf M, David A, Hull L et al (2003). The health effects of peacekeeping (Bosnia, 1992-1996): a cross-sectional study - comparison with nondeployed military personnel. Military Medicine, 168(5): 408-13.</w:t>
            </w:r>
          </w:p>
        </w:tc>
      </w:tr>
      <w:tr w:rsidR="002A4F0C" w:rsidRPr="002A4F0C" w14:paraId="60316CC4" w14:textId="77777777" w:rsidTr="002A4F0C">
        <w:trPr>
          <w:cantSplit/>
        </w:trPr>
        <w:tc>
          <w:tcPr>
            <w:tcW w:w="1575" w:type="dxa"/>
            <w:shd w:val="clear" w:color="auto" w:fill="auto"/>
            <w:noWrap/>
            <w:vAlign w:val="center"/>
          </w:tcPr>
          <w:p w14:paraId="3E00E273"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50853</w:t>
            </w:r>
          </w:p>
        </w:tc>
        <w:tc>
          <w:tcPr>
            <w:tcW w:w="7938" w:type="dxa"/>
            <w:shd w:val="clear" w:color="auto" w:fill="auto"/>
            <w:vAlign w:val="bottom"/>
          </w:tcPr>
          <w:p w14:paraId="42FC32B0" w14:textId="77777777" w:rsidR="002A4F0C" w:rsidRPr="002A4F0C" w:rsidRDefault="002A4F0C" w:rsidP="002A4F0C">
            <w:pPr>
              <w:spacing w:line="240" w:lineRule="auto"/>
              <w:rPr>
                <w:rFonts w:ascii="Arial" w:hAnsi="Arial"/>
                <w:szCs w:val="22"/>
              </w:rPr>
            </w:pPr>
            <w:r w:rsidRPr="002A4F0C">
              <w:rPr>
                <w:rFonts w:ascii="Arial" w:hAnsi="Arial"/>
                <w:szCs w:val="22"/>
              </w:rPr>
              <w:t>Blazer D, Gray GC, Hotopf M, Macfarlane G, et al (2008). [Comment] Acetylcholinesterase inhibition and Gulf War illnesses: conclusions are not supported by independent reviews of the same evidence. PNAS, 105(17): E20.</w:t>
            </w:r>
          </w:p>
        </w:tc>
      </w:tr>
      <w:tr w:rsidR="002A4F0C" w:rsidRPr="002A4F0C" w14:paraId="69E23ED1" w14:textId="77777777" w:rsidTr="002A4F0C">
        <w:trPr>
          <w:cantSplit/>
        </w:trPr>
        <w:tc>
          <w:tcPr>
            <w:tcW w:w="1575" w:type="dxa"/>
            <w:shd w:val="clear" w:color="auto" w:fill="auto"/>
            <w:noWrap/>
            <w:vAlign w:val="center"/>
          </w:tcPr>
          <w:p w14:paraId="63268B72"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50854</w:t>
            </w:r>
          </w:p>
        </w:tc>
        <w:tc>
          <w:tcPr>
            <w:tcW w:w="7938" w:type="dxa"/>
            <w:shd w:val="clear" w:color="auto" w:fill="auto"/>
            <w:vAlign w:val="bottom"/>
          </w:tcPr>
          <w:p w14:paraId="58C07200" w14:textId="77777777" w:rsidR="002A4F0C" w:rsidRPr="002A4F0C" w:rsidRDefault="002A4F0C" w:rsidP="002A4F0C">
            <w:pPr>
              <w:spacing w:line="240" w:lineRule="auto"/>
              <w:rPr>
                <w:rFonts w:ascii="Arial" w:hAnsi="Arial"/>
                <w:szCs w:val="22"/>
              </w:rPr>
            </w:pPr>
            <w:r w:rsidRPr="002A4F0C">
              <w:rPr>
                <w:rFonts w:ascii="Arial" w:hAnsi="Arial"/>
                <w:szCs w:val="22"/>
              </w:rPr>
              <w:t>Golomb BA (2008). [Comment] Reply to Blazer et al: flawed challenges to "acetylcholinesterase inhibitors and Gulf War illnesses". PNAS, 105(33): E53.</w:t>
            </w:r>
          </w:p>
        </w:tc>
      </w:tr>
      <w:tr w:rsidR="002A4F0C" w:rsidRPr="002A4F0C" w14:paraId="4DD48937" w14:textId="77777777" w:rsidTr="002A4F0C">
        <w:trPr>
          <w:cantSplit/>
        </w:trPr>
        <w:tc>
          <w:tcPr>
            <w:tcW w:w="1575" w:type="dxa"/>
            <w:shd w:val="clear" w:color="auto" w:fill="auto"/>
            <w:noWrap/>
            <w:vAlign w:val="center"/>
          </w:tcPr>
          <w:p w14:paraId="2790C972"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50855</w:t>
            </w:r>
          </w:p>
        </w:tc>
        <w:tc>
          <w:tcPr>
            <w:tcW w:w="7938" w:type="dxa"/>
            <w:shd w:val="clear" w:color="auto" w:fill="auto"/>
            <w:vAlign w:val="bottom"/>
          </w:tcPr>
          <w:p w14:paraId="788CD501" w14:textId="77777777" w:rsidR="002A4F0C" w:rsidRPr="002A4F0C" w:rsidRDefault="002A4F0C" w:rsidP="002A4F0C">
            <w:pPr>
              <w:spacing w:line="240" w:lineRule="auto"/>
              <w:rPr>
                <w:rFonts w:ascii="Arial" w:hAnsi="Arial"/>
                <w:szCs w:val="22"/>
              </w:rPr>
            </w:pPr>
            <w:r w:rsidRPr="002A4F0C">
              <w:rPr>
                <w:rFonts w:ascii="Arial" w:hAnsi="Arial"/>
                <w:szCs w:val="22"/>
              </w:rPr>
              <w:t>Golomb BA (2008). Acetylcholinesterase inhibitors and Gulf War illnesses. PNAS, 105(11): 4295-300.</w:t>
            </w:r>
          </w:p>
        </w:tc>
      </w:tr>
      <w:tr w:rsidR="002A4F0C" w:rsidRPr="002A4F0C" w14:paraId="249577C9" w14:textId="77777777" w:rsidTr="002A4F0C">
        <w:trPr>
          <w:cantSplit/>
        </w:trPr>
        <w:tc>
          <w:tcPr>
            <w:tcW w:w="1575" w:type="dxa"/>
            <w:shd w:val="clear" w:color="auto" w:fill="auto"/>
            <w:noWrap/>
            <w:vAlign w:val="center"/>
          </w:tcPr>
          <w:p w14:paraId="6DA0D493"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50856</w:t>
            </w:r>
          </w:p>
        </w:tc>
        <w:tc>
          <w:tcPr>
            <w:tcW w:w="7938" w:type="dxa"/>
            <w:shd w:val="clear" w:color="auto" w:fill="auto"/>
            <w:vAlign w:val="bottom"/>
          </w:tcPr>
          <w:p w14:paraId="4E080430" w14:textId="77777777" w:rsidR="002A4F0C" w:rsidRPr="002A4F0C" w:rsidRDefault="002A4F0C" w:rsidP="002A4F0C">
            <w:pPr>
              <w:spacing w:line="240" w:lineRule="auto"/>
              <w:rPr>
                <w:rFonts w:ascii="Arial" w:hAnsi="Arial"/>
                <w:szCs w:val="22"/>
              </w:rPr>
            </w:pPr>
            <w:r w:rsidRPr="002A4F0C">
              <w:rPr>
                <w:rFonts w:ascii="Arial" w:hAnsi="Arial"/>
                <w:szCs w:val="22"/>
              </w:rPr>
              <w:t>Research Advisory Committee on Gulf War Veterans' Illnesses (2008). Gulf War Illness and the Health of Gulf War Veterans. Scientific Findings and Recommendations. US Government Printing Office, Washington DC.</w:t>
            </w:r>
          </w:p>
        </w:tc>
      </w:tr>
      <w:tr w:rsidR="002A4F0C" w:rsidRPr="002A4F0C" w14:paraId="4A3DDBB6" w14:textId="77777777" w:rsidTr="002A4F0C">
        <w:trPr>
          <w:cantSplit/>
        </w:trPr>
        <w:tc>
          <w:tcPr>
            <w:tcW w:w="1575" w:type="dxa"/>
            <w:shd w:val="clear" w:color="auto" w:fill="auto"/>
            <w:noWrap/>
            <w:vAlign w:val="center"/>
          </w:tcPr>
          <w:p w14:paraId="15212566" w14:textId="77777777" w:rsidR="002A4F0C" w:rsidRPr="002A4F0C" w:rsidRDefault="002A4F0C" w:rsidP="002A4F0C">
            <w:pPr>
              <w:spacing w:line="240" w:lineRule="auto"/>
              <w:jc w:val="center"/>
              <w:rPr>
                <w:rFonts w:ascii="Arial" w:hAnsi="Arial"/>
                <w:szCs w:val="22"/>
              </w:rPr>
            </w:pPr>
            <w:r w:rsidRPr="002A4F0C">
              <w:rPr>
                <w:rFonts w:ascii="Arial" w:hAnsi="Arial"/>
                <w:szCs w:val="22"/>
              </w:rPr>
              <w:t>50868</w:t>
            </w:r>
          </w:p>
        </w:tc>
        <w:tc>
          <w:tcPr>
            <w:tcW w:w="7938" w:type="dxa"/>
            <w:shd w:val="clear" w:color="auto" w:fill="auto"/>
            <w:vAlign w:val="bottom"/>
          </w:tcPr>
          <w:p w14:paraId="33A4898E" w14:textId="77777777" w:rsidR="002A4F0C" w:rsidRPr="002A4F0C" w:rsidRDefault="002A4F0C" w:rsidP="002A4F0C">
            <w:pPr>
              <w:spacing w:line="240" w:lineRule="auto"/>
              <w:rPr>
                <w:rFonts w:ascii="Arial" w:hAnsi="Arial"/>
                <w:szCs w:val="22"/>
              </w:rPr>
            </w:pPr>
            <w:r w:rsidRPr="002A4F0C">
              <w:rPr>
                <w:rFonts w:ascii="Arial" w:hAnsi="Arial"/>
                <w:szCs w:val="22"/>
              </w:rPr>
              <w:t>Rodricks JV, Collins JJ, Farland WH, Tollerud DJ (2001). Contrasting roles of epidemiology in dioxin-related policy: lessons learned. Am J Epidemiol, 154(12 Suppl): S43-9.</w:t>
            </w:r>
          </w:p>
        </w:tc>
      </w:tr>
      <w:tr w:rsidR="002A4F0C" w:rsidRPr="002A4F0C" w14:paraId="559E16BC" w14:textId="77777777" w:rsidTr="002A4F0C">
        <w:trPr>
          <w:cantSplit/>
        </w:trPr>
        <w:tc>
          <w:tcPr>
            <w:tcW w:w="1575" w:type="dxa"/>
            <w:shd w:val="clear" w:color="auto" w:fill="auto"/>
            <w:noWrap/>
            <w:vAlign w:val="center"/>
          </w:tcPr>
          <w:p w14:paraId="4222A7C3" w14:textId="77777777" w:rsidR="002A4F0C" w:rsidRPr="002A4F0C" w:rsidRDefault="002A4F0C" w:rsidP="002A4F0C">
            <w:pPr>
              <w:spacing w:line="240" w:lineRule="auto"/>
              <w:jc w:val="center"/>
              <w:rPr>
                <w:rFonts w:ascii="Arial" w:hAnsi="Arial"/>
                <w:szCs w:val="22"/>
              </w:rPr>
            </w:pPr>
            <w:r w:rsidRPr="002A4F0C">
              <w:rPr>
                <w:rFonts w:ascii="Arial" w:hAnsi="Arial"/>
                <w:szCs w:val="22"/>
              </w:rPr>
              <w:t>50979</w:t>
            </w:r>
          </w:p>
        </w:tc>
        <w:tc>
          <w:tcPr>
            <w:tcW w:w="7938" w:type="dxa"/>
            <w:shd w:val="clear" w:color="auto" w:fill="auto"/>
            <w:vAlign w:val="bottom"/>
          </w:tcPr>
          <w:p w14:paraId="468ACB17" w14:textId="77777777" w:rsidR="002A4F0C" w:rsidRPr="002A4F0C" w:rsidRDefault="002A4F0C" w:rsidP="002A4F0C">
            <w:pPr>
              <w:spacing w:line="240" w:lineRule="auto"/>
              <w:rPr>
                <w:rFonts w:ascii="Arial" w:hAnsi="Arial"/>
                <w:szCs w:val="22"/>
              </w:rPr>
            </w:pPr>
            <w:r w:rsidRPr="002A4F0C">
              <w:rPr>
                <w:rFonts w:ascii="Arial" w:hAnsi="Arial"/>
                <w:szCs w:val="22"/>
              </w:rPr>
              <w:t>David AS, Farrin L, Hull L, Unwin C, et al (2002). Cognitive functioning and disturbances of mood in UK veterans of the Persian Gulf War: a comparative study. Psychological Medicine, 32: 1357-70.</w:t>
            </w:r>
          </w:p>
        </w:tc>
      </w:tr>
      <w:tr w:rsidR="002A4F0C" w:rsidRPr="002A4F0C" w14:paraId="0920C2CE" w14:textId="77777777" w:rsidTr="002A4F0C">
        <w:trPr>
          <w:cantSplit/>
        </w:trPr>
        <w:tc>
          <w:tcPr>
            <w:tcW w:w="1575" w:type="dxa"/>
            <w:shd w:val="clear" w:color="auto" w:fill="auto"/>
            <w:noWrap/>
            <w:vAlign w:val="center"/>
          </w:tcPr>
          <w:p w14:paraId="2CDAFAEC" w14:textId="77777777" w:rsidR="002A4F0C" w:rsidRPr="002A4F0C" w:rsidRDefault="002A4F0C" w:rsidP="002A4F0C">
            <w:pPr>
              <w:spacing w:line="240" w:lineRule="auto"/>
              <w:jc w:val="center"/>
              <w:rPr>
                <w:rFonts w:ascii="Arial" w:hAnsi="Arial"/>
                <w:szCs w:val="22"/>
              </w:rPr>
            </w:pPr>
            <w:r w:rsidRPr="002A4F0C">
              <w:rPr>
                <w:rFonts w:ascii="Arial" w:hAnsi="Arial"/>
                <w:szCs w:val="22"/>
              </w:rPr>
              <w:t>50981</w:t>
            </w:r>
          </w:p>
        </w:tc>
        <w:tc>
          <w:tcPr>
            <w:tcW w:w="7938" w:type="dxa"/>
            <w:shd w:val="clear" w:color="auto" w:fill="auto"/>
            <w:vAlign w:val="bottom"/>
          </w:tcPr>
          <w:p w14:paraId="67D8F44B" w14:textId="77777777" w:rsidR="002A4F0C" w:rsidRPr="002A4F0C" w:rsidRDefault="002A4F0C" w:rsidP="002A4F0C">
            <w:pPr>
              <w:spacing w:line="240" w:lineRule="auto"/>
              <w:rPr>
                <w:rFonts w:ascii="Arial" w:hAnsi="Arial"/>
                <w:szCs w:val="22"/>
              </w:rPr>
            </w:pPr>
            <w:r w:rsidRPr="002A4F0C">
              <w:rPr>
                <w:rFonts w:ascii="Arial" w:hAnsi="Arial"/>
                <w:szCs w:val="22"/>
              </w:rPr>
              <w:t>Mackness B, Durrington PN, Mackness MI (2000). Low paraoxonase in Persian Gulf War veterans. Self-reporting gulf war syndrome. Biochemical and Biophysical Research Communications, 276: 729-33.</w:t>
            </w:r>
          </w:p>
        </w:tc>
      </w:tr>
      <w:tr w:rsidR="002A4F0C" w:rsidRPr="002A4F0C" w14:paraId="24D057EB" w14:textId="77777777" w:rsidTr="002A4F0C">
        <w:trPr>
          <w:cantSplit/>
        </w:trPr>
        <w:tc>
          <w:tcPr>
            <w:tcW w:w="1575" w:type="dxa"/>
            <w:shd w:val="clear" w:color="auto" w:fill="auto"/>
            <w:noWrap/>
            <w:vAlign w:val="center"/>
          </w:tcPr>
          <w:p w14:paraId="48DE1F58" w14:textId="77777777" w:rsidR="002A4F0C" w:rsidRPr="002A4F0C" w:rsidRDefault="002A4F0C" w:rsidP="002A4F0C">
            <w:pPr>
              <w:spacing w:line="240" w:lineRule="auto"/>
              <w:jc w:val="center"/>
              <w:rPr>
                <w:rFonts w:ascii="Arial" w:hAnsi="Arial"/>
                <w:szCs w:val="22"/>
              </w:rPr>
            </w:pPr>
            <w:r w:rsidRPr="002A4F0C">
              <w:rPr>
                <w:rFonts w:ascii="Arial" w:hAnsi="Arial"/>
                <w:szCs w:val="22"/>
              </w:rPr>
              <w:t>51792</w:t>
            </w:r>
          </w:p>
        </w:tc>
        <w:tc>
          <w:tcPr>
            <w:tcW w:w="7938" w:type="dxa"/>
            <w:shd w:val="clear" w:color="auto" w:fill="auto"/>
            <w:vAlign w:val="bottom"/>
          </w:tcPr>
          <w:p w14:paraId="0C6549E4" w14:textId="77777777" w:rsidR="002A4F0C" w:rsidRPr="002A4F0C" w:rsidRDefault="002A4F0C" w:rsidP="002A4F0C">
            <w:pPr>
              <w:spacing w:line="240" w:lineRule="auto"/>
              <w:rPr>
                <w:rFonts w:ascii="Arial" w:hAnsi="Arial"/>
                <w:szCs w:val="22"/>
              </w:rPr>
            </w:pPr>
            <w:r w:rsidRPr="002A4F0C">
              <w:rPr>
                <w:rFonts w:ascii="Arial" w:hAnsi="Arial"/>
                <w:szCs w:val="22"/>
              </w:rPr>
              <w:t>Salamon R, Verret C, Jutand MA, Begassat M, et al (2006). Health consequences of the first Persian Gulf War on French troops. Int J Epidemiol, 35: 479-87.</w:t>
            </w:r>
          </w:p>
        </w:tc>
      </w:tr>
      <w:tr w:rsidR="002A4F0C" w:rsidRPr="002A4F0C" w14:paraId="67CE7D4D" w14:textId="77777777" w:rsidTr="002A4F0C">
        <w:trPr>
          <w:cantSplit/>
        </w:trPr>
        <w:tc>
          <w:tcPr>
            <w:tcW w:w="1575" w:type="dxa"/>
            <w:shd w:val="clear" w:color="auto" w:fill="auto"/>
            <w:noWrap/>
            <w:vAlign w:val="center"/>
          </w:tcPr>
          <w:p w14:paraId="67C98CAA" w14:textId="77777777" w:rsidR="002A4F0C" w:rsidRPr="002A4F0C" w:rsidRDefault="002A4F0C" w:rsidP="002A4F0C">
            <w:pPr>
              <w:spacing w:line="240" w:lineRule="auto"/>
              <w:jc w:val="center"/>
              <w:rPr>
                <w:rFonts w:ascii="Arial" w:hAnsi="Arial"/>
                <w:szCs w:val="22"/>
              </w:rPr>
            </w:pPr>
            <w:r w:rsidRPr="002A4F0C">
              <w:rPr>
                <w:rFonts w:ascii="Arial" w:hAnsi="Arial"/>
                <w:szCs w:val="22"/>
              </w:rPr>
              <w:t>52582</w:t>
            </w:r>
          </w:p>
        </w:tc>
        <w:tc>
          <w:tcPr>
            <w:tcW w:w="7938" w:type="dxa"/>
            <w:shd w:val="clear" w:color="auto" w:fill="auto"/>
            <w:vAlign w:val="bottom"/>
          </w:tcPr>
          <w:p w14:paraId="3A263BBC" w14:textId="77777777" w:rsidR="002A4F0C" w:rsidRPr="002A4F0C" w:rsidRDefault="002A4F0C" w:rsidP="002A4F0C">
            <w:pPr>
              <w:spacing w:line="240" w:lineRule="auto"/>
              <w:rPr>
                <w:rFonts w:ascii="Arial" w:hAnsi="Arial"/>
                <w:szCs w:val="22"/>
              </w:rPr>
            </w:pPr>
            <w:r w:rsidRPr="002A4F0C">
              <w:rPr>
                <w:rFonts w:ascii="Arial" w:hAnsi="Arial"/>
                <w:szCs w:val="22"/>
              </w:rPr>
              <w:t>Dohrenwend BP, Turner JB, Turse NA, Adams BG, et al (2006). The psychological risks of Vietnam for U.S. veterans: a revisit with new data and methods. Science, 313: 979-82.</w:t>
            </w:r>
          </w:p>
        </w:tc>
      </w:tr>
      <w:tr w:rsidR="002A4F0C" w:rsidRPr="002A4F0C" w14:paraId="40100389" w14:textId="77777777" w:rsidTr="002A4F0C">
        <w:trPr>
          <w:cantSplit/>
        </w:trPr>
        <w:tc>
          <w:tcPr>
            <w:tcW w:w="1575" w:type="dxa"/>
            <w:shd w:val="clear" w:color="auto" w:fill="auto"/>
            <w:noWrap/>
            <w:vAlign w:val="center"/>
          </w:tcPr>
          <w:p w14:paraId="77A9E349" w14:textId="77777777" w:rsidR="002A4F0C" w:rsidRPr="002A4F0C" w:rsidRDefault="002A4F0C" w:rsidP="002A4F0C">
            <w:pPr>
              <w:spacing w:line="240" w:lineRule="auto"/>
              <w:jc w:val="center"/>
              <w:rPr>
                <w:rFonts w:ascii="Arial" w:hAnsi="Arial"/>
                <w:szCs w:val="22"/>
              </w:rPr>
            </w:pPr>
            <w:r w:rsidRPr="002A4F0C">
              <w:rPr>
                <w:rFonts w:ascii="Arial" w:hAnsi="Arial"/>
                <w:szCs w:val="22"/>
              </w:rPr>
              <w:t>52996</w:t>
            </w:r>
          </w:p>
        </w:tc>
        <w:tc>
          <w:tcPr>
            <w:tcW w:w="7938" w:type="dxa"/>
            <w:shd w:val="clear" w:color="auto" w:fill="auto"/>
            <w:vAlign w:val="bottom"/>
          </w:tcPr>
          <w:p w14:paraId="4B817270" w14:textId="77777777" w:rsidR="002A4F0C" w:rsidRPr="002A4F0C" w:rsidRDefault="002A4F0C" w:rsidP="002A4F0C">
            <w:pPr>
              <w:spacing w:line="240" w:lineRule="auto"/>
              <w:rPr>
                <w:rFonts w:ascii="Arial" w:hAnsi="Arial"/>
                <w:szCs w:val="22"/>
              </w:rPr>
            </w:pPr>
            <w:r w:rsidRPr="002A4F0C">
              <w:rPr>
                <w:rFonts w:ascii="Arial" w:hAnsi="Arial"/>
                <w:szCs w:val="22"/>
              </w:rPr>
              <w:t>Goudsmit E, Howes S (2008). Is multiple chemical sensitivity a learned response? a critical evaluation of provocation studies. Journal of  Nutritional &amp; Environmental Medicine, 17(3): 195-211. Retrieved 15 June 2009, from http://www.informaworld.com/smpp/section?content=a907859864</w:t>
            </w:r>
          </w:p>
        </w:tc>
      </w:tr>
      <w:tr w:rsidR="002A4F0C" w:rsidRPr="002A4F0C" w14:paraId="3BC659E8" w14:textId="77777777" w:rsidTr="002A4F0C">
        <w:trPr>
          <w:cantSplit/>
        </w:trPr>
        <w:tc>
          <w:tcPr>
            <w:tcW w:w="1575" w:type="dxa"/>
            <w:shd w:val="clear" w:color="auto" w:fill="auto"/>
            <w:noWrap/>
            <w:vAlign w:val="center"/>
          </w:tcPr>
          <w:p w14:paraId="4164783C" w14:textId="77777777" w:rsidR="002A4F0C" w:rsidRPr="002A4F0C" w:rsidRDefault="002A4F0C" w:rsidP="002A4F0C">
            <w:pPr>
              <w:spacing w:line="240" w:lineRule="auto"/>
              <w:jc w:val="center"/>
              <w:rPr>
                <w:rFonts w:ascii="Arial" w:hAnsi="Arial"/>
                <w:szCs w:val="22"/>
              </w:rPr>
            </w:pPr>
            <w:r w:rsidRPr="002A4F0C">
              <w:rPr>
                <w:rFonts w:ascii="Arial" w:hAnsi="Arial"/>
                <w:szCs w:val="22"/>
              </w:rPr>
              <w:t>53637</w:t>
            </w:r>
          </w:p>
        </w:tc>
        <w:tc>
          <w:tcPr>
            <w:tcW w:w="7938" w:type="dxa"/>
            <w:shd w:val="clear" w:color="auto" w:fill="auto"/>
            <w:vAlign w:val="bottom"/>
          </w:tcPr>
          <w:p w14:paraId="46656AFE" w14:textId="77777777" w:rsidR="002A4F0C" w:rsidRPr="002A4F0C" w:rsidRDefault="002A4F0C" w:rsidP="002A4F0C">
            <w:pPr>
              <w:spacing w:line="240" w:lineRule="auto"/>
              <w:rPr>
                <w:rFonts w:ascii="Arial" w:hAnsi="Arial"/>
                <w:szCs w:val="22"/>
              </w:rPr>
            </w:pPr>
            <w:r w:rsidRPr="002A4F0C">
              <w:rPr>
                <w:rFonts w:ascii="Arial" w:hAnsi="Arial"/>
                <w:szCs w:val="22"/>
              </w:rPr>
              <w:t>Barth SK, Kang HK, Bullman TA, Wallin MT (2009). Neurological mortality among U.S. veterans of the Persian Gulf War: 13-year follow-up. Am J Ind Med, 52(9): 663-70.</w:t>
            </w:r>
          </w:p>
        </w:tc>
      </w:tr>
      <w:tr w:rsidR="002A4F0C" w:rsidRPr="002A4F0C" w14:paraId="5BFADEE5" w14:textId="77777777" w:rsidTr="002A4F0C">
        <w:trPr>
          <w:cantSplit/>
        </w:trPr>
        <w:tc>
          <w:tcPr>
            <w:tcW w:w="1575" w:type="dxa"/>
            <w:shd w:val="clear" w:color="auto" w:fill="auto"/>
            <w:noWrap/>
            <w:vAlign w:val="center"/>
          </w:tcPr>
          <w:p w14:paraId="4373E5A2" w14:textId="77777777" w:rsidR="002A4F0C" w:rsidRPr="002A4F0C" w:rsidRDefault="002A4F0C" w:rsidP="002A4F0C">
            <w:pPr>
              <w:spacing w:line="240" w:lineRule="auto"/>
              <w:jc w:val="center"/>
              <w:rPr>
                <w:rFonts w:ascii="Arial" w:hAnsi="Arial"/>
                <w:szCs w:val="22"/>
              </w:rPr>
            </w:pPr>
            <w:r w:rsidRPr="002A4F0C">
              <w:rPr>
                <w:rFonts w:ascii="Arial" w:hAnsi="Arial"/>
                <w:szCs w:val="22"/>
              </w:rPr>
              <w:t>53899</w:t>
            </w:r>
          </w:p>
        </w:tc>
        <w:tc>
          <w:tcPr>
            <w:tcW w:w="7938" w:type="dxa"/>
            <w:shd w:val="clear" w:color="auto" w:fill="auto"/>
            <w:vAlign w:val="bottom"/>
          </w:tcPr>
          <w:p w14:paraId="503D5536" w14:textId="77777777" w:rsidR="002A4F0C" w:rsidRPr="002A4F0C" w:rsidRDefault="002A4F0C" w:rsidP="002A4F0C">
            <w:pPr>
              <w:spacing w:line="240" w:lineRule="auto"/>
              <w:rPr>
                <w:rFonts w:ascii="Arial" w:hAnsi="Arial"/>
                <w:szCs w:val="22"/>
              </w:rPr>
            </w:pPr>
            <w:r w:rsidRPr="002A4F0C">
              <w:rPr>
                <w:rFonts w:ascii="Arial" w:hAnsi="Arial"/>
                <w:szCs w:val="22"/>
              </w:rPr>
              <w:t>LeardMann CA, Smith B, Smith TC, Wells TS, et al (2007). Comparison of self-reported and electronic vaccine records in the Millennium Cohort Study. Human Vaccines, 3(6): 245-51.</w:t>
            </w:r>
          </w:p>
        </w:tc>
      </w:tr>
      <w:tr w:rsidR="002A4F0C" w:rsidRPr="002A4F0C" w14:paraId="2C69C18C" w14:textId="77777777" w:rsidTr="002A4F0C">
        <w:trPr>
          <w:cantSplit/>
        </w:trPr>
        <w:tc>
          <w:tcPr>
            <w:tcW w:w="1575" w:type="dxa"/>
            <w:shd w:val="clear" w:color="auto" w:fill="auto"/>
            <w:noWrap/>
            <w:vAlign w:val="center"/>
          </w:tcPr>
          <w:p w14:paraId="4245CEB5"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53900</w:t>
            </w:r>
          </w:p>
        </w:tc>
        <w:tc>
          <w:tcPr>
            <w:tcW w:w="7938" w:type="dxa"/>
            <w:shd w:val="clear" w:color="auto" w:fill="auto"/>
            <w:vAlign w:val="bottom"/>
          </w:tcPr>
          <w:p w14:paraId="0B17D597" w14:textId="77777777" w:rsidR="002A4F0C" w:rsidRPr="002A4F0C" w:rsidRDefault="002A4F0C" w:rsidP="002A4F0C">
            <w:pPr>
              <w:spacing w:line="240" w:lineRule="auto"/>
              <w:rPr>
                <w:rFonts w:ascii="Arial" w:hAnsi="Arial"/>
                <w:szCs w:val="22"/>
              </w:rPr>
            </w:pPr>
            <w:r w:rsidRPr="002A4F0C">
              <w:rPr>
                <w:rFonts w:ascii="Arial" w:hAnsi="Arial"/>
                <w:szCs w:val="22"/>
              </w:rPr>
              <w:t>Phillips CJ, Matyas GR, Hansen CJ, Alving CR, et al (2009). Antibodies to squalene in US Navy Persian Gulf War veterans with chronic multisymptom illness. Vaccine, 27: 3921-6.</w:t>
            </w:r>
          </w:p>
        </w:tc>
      </w:tr>
      <w:tr w:rsidR="002A4F0C" w:rsidRPr="002A4F0C" w14:paraId="548E3F4F" w14:textId="77777777" w:rsidTr="002A4F0C">
        <w:trPr>
          <w:cantSplit/>
        </w:trPr>
        <w:tc>
          <w:tcPr>
            <w:tcW w:w="1575" w:type="dxa"/>
            <w:shd w:val="clear" w:color="auto" w:fill="auto"/>
            <w:noWrap/>
            <w:vAlign w:val="center"/>
          </w:tcPr>
          <w:p w14:paraId="7032DA78"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53901</w:t>
            </w:r>
          </w:p>
        </w:tc>
        <w:tc>
          <w:tcPr>
            <w:tcW w:w="7938" w:type="dxa"/>
            <w:shd w:val="clear" w:color="auto" w:fill="auto"/>
            <w:vAlign w:val="bottom"/>
          </w:tcPr>
          <w:p w14:paraId="69F419CA" w14:textId="77777777" w:rsidR="002A4F0C" w:rsidRPr="002A4F0C" w:rsidRDefault="002A4F0C" w:rsidP="002A4F0C">
            <w:pPr>
              <w:spacing w:line="240" w:lineRule="auto"/>
              <w:rPr>
                <w:rFonts w:ascii="Arial" w:hAnsi="Arial"/>
                <w:szCs w:val="22"/>
              </w:rPr>
            </w:pPr>
            <w:r w:rsidRPr="002A4F0C">
              <w:rPr>
                <w:rFonts w:ascii="Arial" w:hAnsi="Arial"/>
                <w:szCs w:val="22"/>
              </w:rPr>
              <w:t>Sundin J, Fear NT, Iversen A, Rona RJ, Wessely S (2009). PTSD after deployment to Iraq: conflicting rates, conflicting claims. Psychol Med, [Epub ahead of print].</w:t>
            </w:r>
          </w:p>
        </w:tc>
      </w:tr>
      <w:tr w:rsidR="002A4F0C" w:rsidRPr="002A4F0C" w14:paraId="34DA26CC" w14:textId="77777777" w:rsidTr="002A4F0C">
        <w:trPr>
          <w:cantSplit/>
        </w:trPr>
        <w:tc>
          <w:tcPr>
            <w:tcW w:w="1575" w:type="dxa"/>
            <w:shd w:val="clear" w:color="auto" w:fill="auto"/>
            <w:noWrap/>
            <w:vAlign w:val="center"/>
          </w:tcPr>
          <w:p w14:paraId="701FAD3C"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53902</w:t>
            </w:r>
          </w:p>
        </w:tc>
        <w:tc>
          <w:tcPr>
            <w:tcW w:w="7938" w:type="dxa"/>
            <w:shd w:val="clear" w:color="auto" w:fill="auto"/>
            <w:vAlign w:val="bottom"/>
          </w:tcPr>
          <w:p w14:paraId="0A45DA73" w14:textId="77777777" w:rsidR="002A4F0C" w:rsidRPr="002A4F0C" w:rsidRDefault="002A4F0C" w:rsidP="002A4F0C">
            <w:pPr>
              <w:spacing w:line="240" w:lineRule="auto"/>
              <w:rPr>
                <w:rFonts w:ascii="Arial" w:hAnsi="Arial"/>
                <w:szCs w:val="22"/>
              </w:rPr>
            </w:pPr>
            <w:r w:rsidRPr="002A4F0C">
              <w:rPr>
                <w:rFonts w:ascii="Arial" w:hAnsi="Arial"/>
                <w:szCs w:val="22"/>
              </w:rPr>
              <w:t>Cohn S, Dyson C, Wessely S (2008). Early accounts of Gulf War illness and the construction of narratives in UK service personnel. Soc Sci Med, 67: 1461-9.</w:t>
            </w:r>
          </w:p>
        </w:tc>
      </w:tr>
      <w:tr w:rsidR="002A4F0C" w:rsidRPr="002A4F0C" w14:paraId="310CD8E0" w14:textId="77777777" w:rsidTr="002A4F0C">
        <w:trPr>
          <w:cantSplit/>
        </w:trPr>
        <w:tc>
          <w:tcPr>
            <w:tcW w:w="1575" w:type="dxa"/>
            <w:shd w:val="clear" w:color="auto" w:fill="auto"/>
            <w:noWrap/>
            <w:vAlign w:val="center"/>
          </w:tcPr>
          <w:p w14:paraId="300F42B7"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53903</w:t>
            </w:r>
          </w:p>
        </w:tc>
        <w:tc>
          <w:tcPr>
            <w:tcW w:w="7938" w:type="dxa"/>
            <w:shd w:val="clear" w:color="auto" w:fill="auto"/>
            <w:vAlign w:val="bottom"/>
          </w:tcPr>
          <w:p w14:paraId="547F41D1" w14:textId="77777777" w:rsidR="002A4F0C" w:rsidRPr="002A4F0C" w:rsidRDefault="002A4F0C" w:rsidP="002A4F0C">
            <w:pPr>
              <w:spacing w:line="240" w:lineRule="auto"/>
              <w:rPr>
                <w:rFonts w:ascii="Arial" w:hAnsi="Arial"/>
                <w:szCs w:val="22"/>
              </w:rPr>
            </w:pPr>
            <w:r w:rsidRPr="002A4F0C">
              <w:rPr>
                <w:rFonts w:ascii="Arial" w:hAnsi="Arial"/>
                <w:szCs w:val="22"/>
              </w:rPr>
              <w:t>Shriver T, Cable S (2008). [Comment] The institutional context of Gulf War illness claims: a commentary on Cohn, Dyson and Wessely. Soc Sci Med, 67: 1650-3. Comment on ID: 53902.</w:t>
            </w:r>
          </w:p>
        </w:tc>
      </w:tr>
      <w:tr w:rsidR="002A4F0C" w:rsidRPr="002A4F0C" w14:paraId="36E9A306" w14:textId="77777777" w:rsidTr="002A4F0C">
        <w:trPr>
          <w:cantSplit/>
        </w:trPr>
        <w:tc>
          <w:tcPr>
            <w:tcW w:w="1575" w:type="dxa"/>
            <w:shd w:val="clear" w:color="auto" w:fill="auto"/>
            <w:noWrap/>
            <w:vAlign w:val="center"/>
          </w:tcPr>
          <w:p w14:paraId="54E8DD12"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53904</w:t>
            </w:r>
          </w:p>
        </w:tc>
        <w:tc>
          <w:tcPr>
            <w:tcW w:w="7938" w:type="dxa"/>
            <w:shd w:val="clear" w:color="auto" w:fill="auto"/>
            <w:vAlign w:val="bottom"/>
          </w:tcPr>
          <w:p w14:paraId="0475D143" w14:textId="77777777" w:rsidR="002A4F0C" w:rsidRPr="002A4F0C" w:rsidRDefault="002A4F0C" w:rsidP="002A4F0C">
            <w:pPr>
              <w:spacing w:line="240" w:lineRule="auto"/>
              <w:rPr>
                <w:rFonts w:ascii="Arial" w:hAnsi="Arial"/>
                <w:szCs w:val="22"/>
              </w:rPr>
            </w:pPr>
            <w:r w:rsidRPr="002A4F0C">
              <w:rPr>
                <w:rFonts w:ascii="Arial" w:hAnsi="Arial"/>
                <w:szCs w:val="22"/>
              </w:rPr>
              <w:t>Wessely S, Cohn S (2008). [Comment] Contextualising Gulf War illness experience: a response to Shriver and Cable. Soc Sci Med, 67: 1654-6. Comment on ID: 53903.</w:t>
            </w:r>
          </w:p>
        </w:tc>
      </w:tr>
      <w:tr w:rsidR="002A4F0C" w:rsidRPr="002A4F0C" w14:paraId="35734498" w14:textId="77777777" w:rsidTr="002A4F0C">
        <w:trPr>
          <w:cantSplit/>
        </w:trPr>
        <w:tc>
          <w:tcPr>
            <w:tcW w:w="1575" w:type="dxa"/>
            <w:shd w:val="clear" w:color="auto" w:fill="auto"/>
            <w:noWrap/>
            <w:vAlign w:val="center"/>
          </w:tcPr>
          <w:p w14:paraId="3C1FF30C"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53905</w:t>
            </w:r>
          </w:p>
        </w:tc>
        <w:tc>
          <w:tcPr>
            <w:tcW w:w="7938" w:type="dxa"/>
            <w:shd w:val="clear" w:color="auto" w:fill="auto"/>
            <w:vAlign w:val="bottom"/>
          </w:tcPr>
          <w:p w14:paraId="30BBF358" w14:textId="77777777" w:rsidR="002A4F0C" w:rsidRPr="002A4F0C" w:rsidRDefault="002A4F0C" w:rsidP="002A4F0C">
            <w:pPr>
              <w:spacing w:line="240" w:lineRule="auto"/>
              <w:rPr>
                <w:rFonts w:ascii="Arial" w:hAnsi="Arial"/>
                <w:szCs w:val="22"/>
              </w:rPr>
            </w:pPr>
            <w:r w:rsidRPr="002A4F0C">
              <w:rPr>
                <w:rFonts w:ascii="Arial" w:hAnsi="Arial"/>
                <w:szCs w:val="22"/>
              </w:rPr>
              <w:t>Lucas KE, Rowe PC, Armenian HK (2007). Latency and exposure-health associations in Gulf War veterans with early fatigue onsets: a case-control study. Ann Epidemiol, 17: 799-806.</w:t>
            </w:r>
          </w:p>
        </w:tc>
      </w:tr>
      <w:tr w:rsidR="002A4F0C" w:rsidRPr="002A4F0C" w14:paraId="2D957698" w14:textId="77777777" w:rsidTr="002A4F0C">
        <w:trPr>
          <w:cantSplit/>
        </w:trPr>
        <w:tc>
          <w:tcPr>
            <w:tcW w:w="1575" w:type="dxa"/>
            <w:shd w:val="clear" w:color="auto" w:fill="auto"/>
            <w:noWrap/>
            <w:vAlign w:val="center"/>
          </w:tcPr>
          <w:p w14:paraId="221B5BF4"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53906</w:t>
            </w:r>
          </w:p>
        </w:tc>
        <w:tc>
          <w:tcPr>
            <w:tcW w:w="7938" w:type="dxa"/>
            <w:shd w:val="clear" w:color="auto" w:fill="auto"/>
            <w:vAlign w:val="bottom"/>
          </w:tcPr>
          <w:p w14:paraId="0EA3663A" w14:textId="77777777" w:rsidR="002A4F0C" w:rsidRPr="002A4F0C" w:rsidRDefault="002A4F0C" w:rsidP="002A4F0C">
            <w:pPr>
              <w:spacing w:line="240" w:lineRule="auto"/>
              <w:rPr>
                <w:rFonts w:ascii="Arial" w:hAnsi="Arial"/>
                <w:szCs w:val="22"/>
              </w:rPr>
            </w:pPr>
            <w:r w:rsidRPr="002A4F0C">
              <w:rPr>
                <w:rFonts w:ascii="Arial" w:hAnsi="Arial"/>
                <w:szCs w:val="22"/>
              </w:rPr>
              <w:t>Levine PH, Richardson PK, Zolfaghari L, Cleary SD, et al (2006). A study of Gulf War veterans with a possible deployment-related syndrome. Arch Environ Occup Health, 61(6): 271-8.</w:t>
            </w:r>
          </w:p>
        </w:tc>
      </w:tr>
      <w:tr w:rsidR="002A4F0C" w:rsidRPr="002A4F0C" w14:paraId="2712C349" w14:textId="77777777" w:rsidTr="002A4F0C">
        <w:trPr>
          <w:cantSplit/>
        </w:trPr>
        <w:tc>
          <w:tcPr>
            <w:tcW w:w="1575" w:type="dxa"/>
            <w:shd w:val="clear" w:color="auto" w:fill="auto"/>
            <w:noWrap/>
            <w:vAlign w:val="center"/>
          </w:tcPr>
          <w:p w14:paraId="59F36F8C"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53907</w:t>
            </w:r>
          </w:p>
        </w:tc>
        <w:tc>
          <w:tcPr>
            <w:tcW w:w="7938" w:type="dxa"/>
            <w:shd w:val="clear" w:color="auto" w:fill="auto"/>
            <w:vAlign w:val="bottom"/>
          </w:tcPr>
          <w:p w14:paraId="6B0B2EE4" w14:textId="77777777" w:rsidR="002A4F0C" w:rsidRPr="002A4F0C" w:rsidRDefault="002A4F0C" w:rsidP="002A4F0C">
            <w:pPr>
              <w:spacing w:line="240" w:lineRule="auto"/>
              <w:rPr>
                <w:rFonts w:ascii="Arial" w:hAnsi="Arial"/>
                <w:szCs w:val="22"/>
              </w:rPr>
            </w:pPr>
            <w:r w:rsidRPr="002A4F0C">
              <w:rPr>
                <w:rFonts w:ascii="Arial" w:hAnsi="Arial"/>
                <w:szCs w:val="22"/>
              </w:rPr>
              <w:t>Friedl KE Col, Grate SJ, Proctor SP (2009). Neuropsychological issues in military deployments: lessons observed in the DoD Gulf War illnesses research program. Military Medicine, 174(4): 335-46.</w:t>
            </w:r>
          </w:p>
        </w:tc>
      </w:tr>
      <w:tr w:rsidR="002A4F0C" w:rsidRPr="002A4F0C" w14:paraId="72265409" w14:textId="77777777" w:rsidTr="002A4F0C">
        <w:trPr>
          <w:cantSplit/>
        </w:trPr>
        <w:tc>
          <w:tcPr>
            <w:tcW w:w="1575" w:type="dxa"/>
            <w:shd w:val="clear" w:color="auto" w:fill="auto"/>
            <w:noWrap/>
            <w:vAlign w:val="center"/>
          </w:tcPr>
          <w:p w14:paraId="15DA9513"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53908</w:t>
            </w:r>
          </w:p>
        </w:tc>
        <w:tc>
          <w:tcPr>
            <w:tcW w:w="7938" w:type="dxa"/>
            <w:shd w:val="clear" w:color="auto" w:fill="auto"/>
            <w:vAlign w:val="bottom"/>
          </w:tcPr>
          <w:p w14:paraId="7D95AD4D" w14:textId="77777777" w:rsidR="002A4F0C" w:rsidRPr="002A4F0C" w:rsidRDefault="002A4F0C" w:rsidP="002A4F0C">
            <w:pPr>
              <w:spacing w:line="240" w:lineRule="auto"/>
              <w:rPr>
                <w:rFonts w:ascii="Arial" w:hAnsi="Arial"/>
                <w:szCs w:val="22"/>
              </w:rPr>
            </w:pPr>
            <w:r w:rsidRPr="002A4F0C">
              <w:rPr>
                <w:rFonts w:ascii="Arial" w:hAnsi="Arial"/>
                <w:szCs w:val="22"/>
              </w:rPr>
              <w:t>Iversen A, Chalder T, Wessely S (2007). Gulf War illness: lessons from medically unexplained symptoms. Clin Psychol Rev, 27(7): 842-54.</w:t>
            </w:r>
          </w:p>
        </w:tc>
      </w:tr>
      <w:tr w:rsidR="002A4F0C" w:rsidRPr="002A4F0C" w14:paraId="3C915448" w14:textId="77777777" w:rsidTr="002A4F0C">
        <w:trPr>
          <w:cantSplit/>
        </w:trPr>
        <w:tc>
          <w:tcPr>
            <w:tcW w:w="1575" w:type="dxa"/>
            <w:shd w:val="clear" w:color="auto" w:fill="auto"/>
            <w:noWrap/>
            <w:vAlign w:val="center"/>
          </w:tcPr>
          <w:p w14:paraId="4372E138"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53909</w:t>
            </w:r>
          </w:p>
        </w:tc>
        <w:tc>
          <w:tcPr>
            <w:tcW w:w="7938" w:type="dxa"/>
            <w:shd w:val="clear" w:color="auto" w:fill="auto"/>
            <w:vAlign w:val="bottom"/>
          </w:tcPr>
          <w:p w14:paraId="2936F63D" w14:textId="77777777" w:rsidR="002A4F0C" w:rsidRPr="002A4F0C" w:rsidRDefault="002A4F0C" w:rsidP="002A4F0C">
            <w:pPr>
              <w:spacing w:line="240" w:lineRule="auto"/>
              <w:rPr>
                <w:rFonts w:ascii="Arial" w:hAnsi="Arial"/>
                <w:szCs w:val="22"/>
              </w:rPr>
            </w:pPr>
            <w:r w:rsidRPr="002A4F0C">
              <w:rPr>
                <w:rFonts w:ascii="Arial" w:hAnsi="Arial"/>
                <w:szCs w:val="22"/>
              </w:rPr>
              <w:t>Glass DC, Sim MR, Kelsall HL, Ikin JF, et al (2006). What was different about exposures reported by male Australian Gulf War veterans for the 1991 Persian Gulf War, compared with exposures reported for other deployments? Military Medicine, 171(7): 632-8.</w:t>
            </w:r>
          </w:p>
        </w:tc>
      </w:tr>
      <w:tr w:rsidR="002A4F0C" w:rsidRPr="002A4F0C" w14:paraId="152FC2B8" w14:textId="77777777" w:rsidTr="002A4F0C">
        <w:trPr>
          <w:cantSplit/>
        </w:trPr>
        <w:tc>
          <w:tcPr>
            <w:tcW w:w="1575" w:type="dxa"/>
            <w:shd w:val="clear" w:color="auto" w:fill="auto"/>
            <w:noWrap/>
            <w:vAlign w:val="center"/>
          </w:tcPr>
          <w:p w14:paraId="2E5B2AFE"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53910</w:t>
            </w:r>
          </w:p>
        </w:tc>
        <w:tc>
          <w:tcPr>
            <w:tcW w:w="7938" w:type="dxa"/>
            <w:shd w:val="clear" w:color="auto" w:fill="auto"/>
            <w:vAlign w:val="bottom"/>
          </w:tcPr>
          <w:p w14:paraId="7A8D2E22" w14:textId="77777777" w:rsidR="002A4F0C" w:rsidRPr="002A4F0C" w:rsidRDefault="002A4F0C" w:rsidP="002A4F0C">
            <w:pPr>
              <w:spacing w:line="240" w:lineRule="auto"/>
              <w:rPr>
                <w:rFonts w:ascii="Arial" w:hAnsi="Arial"/>
                <w:szCs w:val="22"/>
              </w:rPr>
            </w:pPr>
            <w:r w:rsidRPr="002A4F0C">
              <w:rPr>
                <w:rFonts w:ascii="Arial" w:hAnsi="Arial"/>
                <w:szCs w:val="22"/>
              </w:rPr>
              <w:t>Stuart JA, Ursano RJ, Fullerton CS, Wessely S (2008). Belief in exposure to chemical and biological agents in Persian Gulf War soldiers. J Nerv Ment Dis, 196(2): 122-7.</w:t>
            </w:r>
          </w:p>
        </w:tc>
      </w:tr>
      <w:tr w:rsidR="002A4F0C" w:rsidRPr="002A4F0C" w14:paraId="65B21E3A" w14:textId="77777777" w:rsidTr="002A4F0C">
        <w:trPr>
          <w:cantSplit/>
        </w:trPr>
        <w:tc>
          <w:tcPr>
            <w:tcW w:w="1575" w:type="dxa"/>
            <w:shd w:val="clear" w:color="auto" w:fill="auto"/>
            <w:noWrap/>
            <w:vAlign w:val="center"/>
          </w:tcPr>
          <w:p w14:paraId="644DC3C4"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53911</w:t>
            </w:r>
          </w:p>
        </w:tc>
        <w:tc>
          <w:tcPr>
            <w:tcW w:w="7938" w:type="dxa"/>
            <w:shd w:val="clear" w:color="auto" w:fill="auto"/>
            <w:vAlign w:val="bottom"/>
          </w:tcPr>
          <w:p w14:paraId="165C1584" w14:textId="77777777" w:rsidR="002A4F0C" w:rsidRPr="002A4F0C" w:rsidRDefault="002A4F0C" w:rsidP="002A4F0C">
            <w:pPr>
              <w:spacing w:line="240" w:lineRule="auto"/>
              <w:rPr>
                <w:rFonts w:ascii="Arial" w:hAnsi="Arial"/>
                <w:szCs w:val="22"/>
              </w:rPr>
            </w:pPr>
            <w:r w:rsidRPr="002A4F0C">
              <w:rPr>
                <w:rFonts w:ascii="Arial" w:hAnsi="Arial"/>
                <w:szCs w:val="22"/>
              </w:rPr>
              <w:t>Knoop H, van der Meer JW, Bleijenberg G (2009). [Comment] Chronic fatigue in Gulf War veterans: should it be treated as chronic fatigue syndrome? Psychol Med, 39: 1401-3; Authors reply: 1402. Comment on ID: 50825.</w:t>
            </w:r>
          </w:p>
        </w:tc>
      </w:tr>
      <w:tr w:rsidR="002A4F0C" w:rsidRPr="002A4F0C" w14:paraId="5EAF3EB0" w14:textId="77777777" w:rsidTr="002A4F0C">
        <w:trPr>
          <w:cantSplit/>
        </w:trPr>
        <w:tc>
          <w:tcPr>
            <w:tcW w:w="1575" w:type="dxa"/>
            <w:shd w:val="clear" w:color="auto" w:fill="auto"/>
            <w:noWrap/>
            <w:vAlign w:val="center"/>
          </w:tcPr>
          <w:p w14:paraId="7D3E7687"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53912</w:t>
            </w:r>
          </w:p>
        </w:tc>
        <w:tc>
          <w:tcPr>
            <w:tcW w:w="7938" w:type="dxa"/>
            <w:shd w:val="clear" w:color="auto" w:fill="auto"/>
            <w:vAlign w:val="bottom"/>
          </w:tcPr>
          <w:p w14:paraId="6056029E" w14:textId="77777777" w:rsidR="002A4F0C" w:rsidRPr="002A4F0C" w:rsidRDefault="002A4F0C" w:rsidP="002A4F0C">
            <w:pPr>
              <w:spacing w:line="240" w:lineRule="auto"/>
              <w:rPr>
                <w:rFonts w:ascii="Arial" w:hAnsi="Arial"/>
                <w:szCs w:val="22"/>
              </w:rPr>
            </w:pPr>
            <w:r w:rsidRPr="002A4F0C">
              <w:rPr>
                <w:rFonts w:ascii="Arial" w:hAnsi="Arial"/>
                <w:szCs w:val="22"/>
              </w:rPr>
              <w:t>Smith B, Leard CA, Smith TC, Reed RJ, Ryan MAK (2007). Anthrax vaccination in the millennium cohort. Validation and measures of health. Am J Prev Med, 32(4): 347-53.</w:t>
            </w:r>
          </w:p>
        </w:tc>
      </w:tr>
      <w:tr w:rsidR="002A4F0C" w:rsidRPr="002A4F0C" w14:paraId="4BB582E6" w14:textId="77777777" w:rsidTr="002A4F0C">
        <w:trPr>
          <w:cantSplit/>
        </w:trPr>
        <w:tc>
          <w:tcPr>
            <w:tcW w:w="1575" w:type="dxa"/>
            <w:shd w:val="clear" w:color="auto" w:fill="auto"/>
            <w:noWrap/>
            <w:vAlign w:val="center"/>
          </w:tcPr>
          <w:p w14:paraId="0404D73C"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53978</w:t>
            </w:r>
          </w:p>
        </w:tc>
        <w:tc>
          <w:tcPr>
            <w:tcW w:w="7938" w:type="dxa"/>
            <w:shd w:val="clear" w:color="auto" w:fill="auto"/>
            <w:vAlign w:val="bottom"/>
          </w:tcPr>
          <w:p w14:paraId="48C1BE7C" w14:textId="77777777" w:rsidR="002A4F0C" w:rsidRPr="002A4F0C" w:rsidRDefault="002A4F0C" w:rsidP="002A4F0C">
            <w:pPr>
              <w:spacing w:line="240" w:lineRule="auto"/>
              <w:rPr>
                <w:rFonts w:ascii="Arial" w:hAnsi="Arial"/>
                <w:szCs w:val="22"/>
              </w:rPr>
            </w:pPr>
            <w:r w:rsidRPr="002A4F0C">
              <w:rPr>
                <w:rFonts w:ascii="Arial" w:hAnsi="Arial"/>
                <w:szCs w:val="22"/>
              </w:rPr>
              <w:t>Smith B, Chu LK, Smith TC, Amoroso PJ, et al (2008). Challenges of self-reported medical conditions and electronic medical records among members of a large military cohort. BMC Medical Research Methodology, 8: 3.</w:t>
            </w:r>
          </w:p>
        </w:tc>
      </w:tr>
      <w:tr w:rsidR="002A4F0C" w:rsidRPr="002A4F0C" w14:paraId="77E171F3" w14:textId="77777777" w:rsidTr="002A4F0C">
        <w:trPr>
          <w:cantSplit/>
        </w:trPr>
        <w:tc>
          <w:tcPr>
            <w:tcW w:w="1575" w:type="dxa"/>
            <w:shd w:val="clear" w:color="auto" w:fill="auto"/>
            <w:noWrap/>
            <w:vAlign w:val="center"/>
          </w:tcPr>
          <w:p w14:paraId="0D6B81F5"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53979</w:t>
            </w:r>
          </w:p>
        </w:tc>
        <w:tc>
          <w:tcPr>
            <w:tcW w:w="7938" w:type="dxa"/>
            <w:shd w:val="clear" w:color="auto" w:fill="auto"/>
            <w:vAlign w:val="bottom"/>
          </w:tcPr>
          <w:p w14:paraId="706543A8" w14:textId="77777777" w:rsidR="002A4F0C" w:rsidRPr="002A4F0C" w:rsidRDefault="002A4F0C" w:rsidP="002A4F0C">
            <w:pPr>
              <w:spacing w:line="240" w:lineRule="auto"/>
              <w:rPr>
                <w:rFonts w:ascii="Arial" w:hAnsi="Arial"/>
                <w:szCs w:val="22"/>
              </w:rPr>
            </w:pPr>
            <w:r w:rsidRPr="002A4F0C">
              <w:rPr>
                <w:rFonts w:ascii="Arial" w:hAnsi="Arial"/>
                <w:szCs w:val="22"/>
              </w:rPr>
              <w:t>McKeown-Eyssen G, Baines C, Cole DEC, Riley N, et al (2004). Case-control study of genotypes in multiple chemical sensitivity: CYP2D6, NAT1, NAT2, PON1, PON2 and MTHFR. Int J Epidemiol, 33: 971-8.</w:t>
            </w:r>
          </w:p>
        </w:tc>
      </w:tr>
      <w:tr w:rsidR="002A4F0C" w:rsidRPr="002A4F0C" w14:paraId="73E4890E" w14:textId="77777777" w:rsidTr="002A4F0C">
        <w:trPr>
          <w:cantSplit/>
        </w:trPr>
        <w:tc>
          <w:tcPr>
            <w:tcW w:w="1575" w:type="dxa"/>
            <w:shd w:val="clear" w:color="auto" w:fill="auto"/>
            <w:noWrap/>
            <w:vAlign w:val="center"/>
          </w:tcPr>
          <w:p w14:paraId="1EDD631A"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53980</w:t>
            </w:r>
          </w:p>
        </w:tc>
        <w:tc>
          <w:tcPr>
            <w:tcW w:w="7938" w:type="dxa"/>
            <w:shd w:val="clear" w:color="auto" w:fill="auto"/>
            <w:vAlign w:val="bottom"/>
          </w:tcPr>
          <w:p w14:paraId="2E2F9E9C" w14:textId="77777777" w:rsidR="002A4F0C" w:rsidRPr="002A4F0C" w:rsidRDefault="002A4F0C" w:rsidP="002A4F0C">
            <w:pPr>
              <w:spacing w:line="240" w:lineRule="auto"/>
              <w:rPr>
                <w:rFonts w:ascii="Arial" w:hAnsi="Arial"/>
                <w:szCs w:val="22"/>
              </w:rPr>
            </w:pPr>
            <w:r w:rsidRPr="002A4F0C">
              <w:rPr>
                <w:rFonts w:ascii="Arial" w:hAnsi="Arial"/>
                <w:szCs w:val="22"/>
              </w:rPr>
              <w:t>Macfarlane GJ, Hotopf M, Maconochie N, Blatchley N, et al (2005). Long-term mortality amongst Gulf War veterans: is there a relationship with experiences during deployment and subsequent morbidity? Int J Epidemiol, 34: 1403-8.</w:t>
            </w:r>
          </w:p>
        </w:tc>
      </w:tr>
      <w:tr w:rsidR="002A4F0C" w:rsidRPr="002A4F0C" w14:paraId="1EB88691" w14:textId="77777777" w:rsidTr="002A4F0C">
        <w:trPr>
          <w:cantSplit/>
        </w:trPr>
        <w:tc>
          <w:tcPr>
            <w:tcW w:w="1575" w:type="dxa"/>
            <w:shd w:val="clear" w:color="auto" w:fill="auto"/>
            <w:noWrap/>
            <w:vAlign w:val="center"/>
          </w:tcPr>
          <w:p w14:paraId="216ADBBE"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53981</w:t>
            </w:r>
          </w:p>
        </w:tc>
        <w:tc>
          <w:tcPr>
            <w:tcW w:w="7938" w:type="dxa"/>
            <w:shd w:val="clear" w:color="auto" w:fill="auto"/>
            <w:vAlign w:val="bottom"/>
          </w:tcPr>
          <w:p w14:paraId="1B7CD307" w14:textId="77777777" w:rsidR="002A4F0C" w:rsidRPr="002A4F0C" w:rsidRDefault="002A4F0C" w:rsidP="002A4F0C">
            <w:pPr>
              <w:spacing w:line="240" w:lineRule="auto"/>
              <w:rPr>
                <w:rFonts w:ascii="Arial" w:hAnsi="Arial"/>
                <w:szCs w:val="22"/>
              </w:rPr>
            </w:pPr>
            <w:r w:rsidRPr="002A4F0C">
              <w:rPr>
                <w:rFonts w:ascii="Arial" w:hAnsi="Arial"/>
                <w:szCs w:val="22"/>
              </w:rPr>
              <w:t>Blanchard MS, Eisen SA, Alpern R, et al (2006). Chronic multisymptom illness complex in Gulf War I veterans 10 years later. Am J Epidemiol, 163(1): 66-75.</w:t>
            </w:r>
          </w:p>
        </w:tc>
      </w:tr>
      <w:tr w:rsidR="002A4F0C" w:rsidRPr="002A4F0C" w14:paraId="11E20C11" w14:textId="77777777" w:rsidTr="002A4F0C">
        <w:trPr>
          <w:cantSplit/>
        </w:trPr>
        <w:tc>
          <w:tcPr>
            <w:tcW w:w="1575" w:type="dxa"/>
            <w:shd w:val="clear" w:color="auto" w:fill="auto"/>
            <w:noWrap/>
            <w:vAlign w:val="center"/>
          </w:tcPr>
          <w:p w14:paraId="280F260B"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53982</w:t>
            </w:r>
          </w:p>
        </w:tc>
        <w:tc>
          <w:tcPr>
            <w:tcW w:w="7938" w:type="dxa"/>
            <w:shd w:val="clear" w:color="auto" w:fill="auto"/>
            <w:vAlign w:val="bottom"/>
          </w:tcPr>
          <w:p w14:paraId="683344C4" w14:textId="77777777" w:rsidR="002A4F0C" w:rsidRPr="002A4F0C" w:rsidRDefault="002A4F0C" w:rsidP="002A4F0C">
            <w:pPr>
              <w:spacing w:line="240" w:lineRule="auto"/>
              <w:rPr>
                <w:rFonts w:ascii="Arial" w:hAnsi="Arial"/>
                <w:szCs w:val="22"/>
              </w:rPr>
            </w:pPr>
            <w:r w:rsidRPr="002A4F0C">
              <w:rPr>
                <w:rFonts w:ascii="Arial" w:hAnsi="Arial"/>
                <w:szCs w:val="22"/>
              </w:rPr>
              <w:t>Ismail K, Blatchley N, Hotopf M, Hull L, et al (2000). Occupational risk factors for ill health in Gulf veterans of the United Kingdom. J Epidemiol Community Health, 54: 834-8.</w:t>
            </w:r>
          </w:p>
        </w:tc>
      </w:tr>
      <w:tr w:rsidR="002A4F0C" w:rsidRPr="002A4F0C" w14:paraId="6A4228C2" w14:textId="77777777" w:rsidTr="002A4F0C">
        <w:trPr>
          <w:cantSplit/>
        </w:trPr>
        <w:tc>
          <w:tcPr>
            <w:tcW w:w="1575" w:type="dxa"/>
            <w:shd w:val="clear" w:color="auto" w:fill="auto"/>
            <w:noWrap/>
            <w:vAlign w:val="center"/>
          </w:tcPr>
          <w:p w14:paraId="27F59B21"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53983</w:t>
            </w:r>
          </w:p>
        </w:tc>
        <w:tc>
          <w:tcPr>
            <w:tcW w:w="7938" w:type="dxa"/>
            <w:shd w:val="clear" w:color="auto" w:fill="auto"/>
            <w:vAlign w:val="bottom"/>
          </w:tcPr>
          <w:p w14:paraId="144D0840" w14:textId="77777777" w:rsidR="002A4F0C" w:rsidRPr="002A4F0C" w:rsidRDefault="002A4F0C" w:rsidP="002A4F0C">
            <w:pPr>
              <w:spacing w:line="240" w:lineRule="auto"/>
              <w:rPr>
                <w:rFonts w:ascii="Arial" w:hAnsi="Arial"/>
                <w:szCs w:val="22"/>
              </w:rPr>
            </w:pPr>
            <w:r w:rsidRPr="002A4F0C">
              <w:rPr>
                <w:rFonts w:ascii="Arial" w:hAnsi="Arial"/>
                <w:szCs w:val="22"/>
              </w:rPr>
              <w:t>Wessely S, Greenberg N, Woodhead C (2009). [Comment] Gulf war illnesses. The Lancet, 373(9662): 462.</w:t>
            </w:r>
          </w:p>
        </w:tc>
      </w:tr>
      <w:tr w:rsidR="002A4F0C" w:rsidRPr="002A4F0C" w14:paraId="71C1DE43" w14:textId="77777777" w:rsidTr="002A4F0C">
        <w:trPr>
          <w:cantSplit/>
        </w:trPr>
        <w:tc>
          <w:tcPr>
            <w:tcW w:w="1575" w:type="dxa"/>
            <w:shd w:val="clear" w:color="auto" w:fill="auto"/>
            <w:noWrap/>
            <w:vAlign w:val="center"/>
          </w:tcPr>
          <w:p w14:paraId="07228C72" w14:textId="77777777" w:rsidR="002A4F0C" w:rsidRPr="002A4F0C" w:rsidRDefault="002A4F0C" w:rsidP="002A4F0C">
            <w:pPr>
              <w:spacing w:line="240" w:lineRule="auto"/>
              <w:jc w:val="center"/>
              <w:rPr>
                <w:rFonts w:ascii="Arial" w:hAnsi="Arial"/>
                <w:szCs w:val="22"/>
              </w:rPr>
            </w:pPr>
            <w:r w:rsidRPr="002A4F0C">
              <w:rPr>
                <w:rFonts w:ascii="Arial" w:hAnsi="Arial"/>
                <w:szCs w:val="22"/>
              </w:rPr>
              <w:t>53998</w:t>
            </w:r>
          </w:p>
        </w:tc>
        <w:tc>
          <w:tcPr>
            <w:tcW w:w="7938" w:type="dxa"/>
            <w:shd w:val="clear" w:color="auto" w:fill="auto"/>
            <w:vAlign w:val="bottom"/>
          </w:tcPr>
          <w:p w14:paraId="5372AF74" w14:textId="77777777" w:rsidR="002A4F0C" w:rsidRPr="002A4F0C" w:rsidRDefault="002A4F0C" w:rsidP="002A4F0C">
            <w:pPr>
              <w:spacing w:line="240" w:lineRule="auto"/>
              <w:rPr>
                <w:rFonts w:ascii="Arial" w:hAnsi="Arial"/>
                <w:szCs w:val="22"/>
              </w:rPr>
            </w:pPr>
            <w:r w:rsidRPr="002A4F0C">
              <w:rPr>
                <w:rFonts w:ascii="Arial" w:hAnsi="Arial"/>
                <w:szCs w:val="22"/>
              </w:rPr>
              <w:t>Lee WJ, Alavanja MCR, Hoppin JA, Rusiecki JA, et al (2007). Mortality among pesticide applicators exposed to Chlorpyrifos in the Agricultural Health Study. Environ Health Perspect, 115(4): 528-34.</w:t>
            </w:r>
          </w:p>
        </w:tc>
      </w:tr>
      <w:tr w:rsidR="002A4F0C" w:rsidRPr="002A4F0C" w14:paraId="7661079B" w14:textId="77777777" w:rsidTr="002A4F0C">
        <w:trPr>
          <w:cantSplit/>
        </w:trPr>
        <w:tc>
          <w:tcPr>
            <w:tcW w:w="1575" w:type="dxa"/>
            <w:shd w:val="clear" w:color="auto" w:fill="auto"/>
            <w:noWrap/>
            <w:vAlign w:val="center"/>
          </w:tcPr>
          <w:p w14:paraId="3578AA79" w14:textId="77777777" w:rsidR="002A4F0C" w:rsidRPr="002A4F0C" w:rsidRDefault="002A4F0C" w:rsidP="002A4F0C">
            <w:pPr>
              <w:spacing w:line="240" w:lineRule="auto"/>
              <w:jc w:val="center"/>
              <w:rPr>
                <w:rFonts w:ascii="Arial" w:hAnsi="Arial"/>
                <w:szCs w:val="22"/>
              </w:rPr>
            </w:pPr>
            <w:r w:rsidRPr="002A4F0C">
              <w:rPr>
                <w:rFonts w:ascii="Arial" w:hAnsi="Arial"/>
                <w:szCs w:val="22"/>
              </w:rPr>
              <w:t>54219</w:t>
            </w:r>
          </w:p>
        </w:tc>
        <w:tc>
          <w:tcPr>
            <w:tcW w:w="7938" w:type="dxa"/>
            <w:shd w:val="clear" w:color="auto" w:fill="auto"/>
            <w:vAlign w:val="bottom"/>
          </w:tcPr>
          <w:p w14:paraId="7130C0CA" w14:textId="77777777" w:rsidR="002A4F0C" w:rsidRPr="002A4F0C" w:rsidRDefault="002A4F0C" w:rsidP="002A4F0C">
            <w:pPr>
              <w:spacing w:line="240" w:lineRule="auto"/>
              <w:rPr>
                <w:rFonts w:ascii="Arial" w:hAnsi="Arial"/>
                <w:szCs w:val="22"/>
              </w:rPr>
            </w:pPr>
            <w:r w:rsidRPr="002A4F0C">
              <w:rPr>
                <w:rFonts w:ascii="Arial" w:hAnsi="Arial"/>
                <w:szCs w:val="22"/>
              </w:rPr>
              <w:t>Roy MJ, Kraus PL, Seegers CA et al (2006). Pyridostigmine, diethyltoluamide, permethrin, and stress: a double-blind, randomized, placebo-controlled trial to assess safety. Mayo Clin Proc, 81(10): 1303-10.</w:t>
            </w:r>
          </w:p>
        </w:tc>
      </w:tr>
      <w:tr w:rsidR="002A4F0C" w:rsidRPr="002A4F0C" w14:paraId="4AADB0A8" w14:textId="77777777" w:rsidTr="002A4F0C">
        <w:trPr>
          <w:cantSplit/>
        </w:trPr>
        <w:tc>
          <w:tcPr>
            <w:tcW w:w="1575" w:type="dxa"/>
            <w:shd w:val="clear" w:color="auto" w:fill="auto"/>
            <w:noWrap/>
            <w:vAlign w:val="center"/>
          </w:tcPr>
          <w:p w14:paraId="036DB9D3" w14:textId="77777777" w:rsidR="002A4F0C" w:rsidRPr="002A4F0C" w:rsidRDefault="002A4F0C" w:rsidP="002A4F0C">
            <w:pPr>
              <w:spacing w:line="240" w:lineRule="auto"/>
              <w:jc w:val="center"/>
              <w:rPr>
                <w:rFonts w:ascii="Arial" w:hAnsi="Arial"/>
                <w:szCs w:val="22"/>
              </w:rPr>
            </w:pPr>
            <w:r w:rsidRPr="002A4F0C">
              <w:rPr>
                <w:rFonts w:ascii="Arial" w:hAnsi="Arial"/>
                <w:szCs w:val="22"/>
              </w:rPr>
              <w:t>54220</w:t>
            </w:r>
          </w:p>
        </w:tc>
        <w:tc>
          <w:tcPr>
            <w:tcW w:w="7938" w:type="dxa"/>
            <w:shd w:val="clear" w:color="auto" w:fill="auto"/>
            <w:vAlign w:val="bottom"/>
          </w:tcPr>
          <w:p w14:paraId="237E9883" w14:textId="77777777" w:rsidR="002A4F0C" w:rsidRPr="002A4F0C" w:rsidRDefault="002A4F0C" w:rsidP="002A4F0C">
            <w:pPr>
              <w:spacing w:line="240" w:lineRule="auto"/>
              <w:rPr>
                <w:rFonts w:ascii="Arial" w:hAnsi="Arial"/>
                <w:szCs w:val="22"/>
              </w:rPr>
            </w:pPr>
            <w:r w:rsidRPr="002A4F0C">
              <w:rPr>
                <w:rFonts w:ascii="Arial" w:hAnsi="Arial"/>
                <w:szCs w:val="22"/>
              </w:rPr>
              <w:t>Donta ST, Clauw DJ, Engel CC Jr, Guarino P, et al (2003). Cognitive behavioral therapy and aerobic exercise for Gulf War veterans' illnesses: A randomized controlled trial. JAMA, 289(11): 1396-404.</w:t>
            </w:r>
          </w:p>
        </w:tc>
      </w:tr>
      <w:tr w:rsidR="002A4F0C" w:rsidRPr="002A4F0C" w14:paraId="11621540" w14:textId="77777777" w:rsidTr="002A4F0C">
        <w:trPr>
          <w:cantSplit/>
        </w:trPr>
        <w:tc>
          <w:tcPr>
            <w:tcW w:w="1575" w:type="dxa"/>
            <w:shd w:val="clear" w:color="auto" w:fill="auto"/>
            <w:noWrap/>
            <w:vAlign w:val="center"/>
          </w:tcPr>
          <w:p w14:paraId="045EF96C" w14:textId="77777777" w:rsidR="002A4F0C" w:rsidRPr="002A4F0C" w:rsidRDefault="002A4F0C" w:rsidP="002A4F0C">
            <w:pPr>
              <w:spacing w:line="240" w:lineRule="auto"/>
              <w:jc w:val="center"/>
              <w:rPr>
                <w:rFonts w:ascii="Arial" w:hAnsi="Arial"/>
                <w:szCs w:val="22"/>
              </w:rPr>
            </w:pPr>
            <w:r w:rsidRPr="002A4F0C">
              <w:rPr>
                <w:rFonts w:ascii="Arial" w:hAnsi="Arial"/>
                <w:szCs w:val="22"/>
              </w:rPr>
              <w:t>54221</w:t>
            </w:r>
          </w:p>
        </w:tc>
        <w:tc>
          <w:tcPr>
            <w:tcW w:w="7938" w:type="dxa"/>
            <w:shd w:val="clear" w:color="auto" w:fill="auto"/>
            <w:vAlign w:val="bottom"/>
          </w:tcPr>
          <w:p w14:paraId="4A935649" w14:textId="77777777" w:rsidR="002A4F0C" w:rsidRPr="002A4F0C" w:rsidRDefault="002A4F0C" w:rsidP="002A4F0C">
            <w:pPr>
              <w:spacing w:line="240" w:lineRule="auto"/>
              <w:rPr>
                <w:rFonts w:ascii="Arial" w:hAnsi="Arial"/>
                <w:szCs w:val="22"/>
              </w:rPr>
            </w:pPr>
            <w:r w:rsidRPr="002A4F0C">
              <w:rPr>
                <w:rFonts w:ascii="Arial" w:hAnsi="Arial"/>
                <w:szCs w:val="22"/>
              </w:rPr>
              <w:t>Ozakinci G, Hallman WK, Kipen HM (2006). Persistence of symptoms in veterans of the first Gulf War: 5-year follow-up. Environ Health Perspect, 114(10): 1553-7.</w:t>
            </w:r>
          </w:p>
        </w:tc>
      </w:tr>
      <w:tr w:rsidR="002A4F0C" w:rsidRPr="002A4F0C" w14:paraId="2EB92859" w14:textId="77777777" w:rsidTr="002A4F0C">
        <w:trPr>
          <w:cantSplit/>
        </w:trPr>
        <w:tc>
          <w:tcPr>
            <w:tcW w:w="1575" w:type="dxa"/>
            <w:shd w:val="clear" w:color="auto" w:fill="auto"/>
            <w:noWrap/>
            <w:vAlign w:val="center"/>
          </w:tcPr>
          <w:p w14:paraId="7AD5ECD9" w14:textId="77777777" w:rsidR="002A4F0C" w:rsidRPr="002A4F0C" w:rsidRDefault="002A4F0C" w:rsidP="002A4F0C">
            <w:pPr>
              <w:spacing w:line="240" w:lineRule="auto"/>
              <w:jc w:val="center"/>
              <w:rPr>
                <w:rFonts w:ascii="Arial" w:hAnsi="Arial"/>
                <w:szCs w:val="22"/>
              </w:rPr>
            </w:pPr>
            <w:r w:rsidRPr="002A4F0C">
              <w:rPr>
                <w:rFonts w:ascii="Arial" w:hAnsi="Arial"/>
                <w:szCs w:val="22"/>
              </w:rPr>
              <w:t>54296</w:t>
            </w:r>
          </w:p>
        </w:tc>
        <w:tc>
          <w:tcPr>
            <w:tcW w:w="7938" w:type="dxa"/>
            <w:shd w:val="clear" w:color="auto" w:fill="auto"/>
            <w:vAlign w:val="bottom"/>
          </w:tcPr>
          <w:p w14:paraId="7BEC2E4D" w14:textId="77777777" w:rsidR="002A4F0C" w:rsidRPr="002A4F0C" w:rsidRDefault="002A4F0C" w:rsidP="002A4F0C">
            <w:pPr>
              <w:spacing w:line="240" w:lineRule="auto"/>
              <w:rPr>
                <w:rFonts w:ascii="Arial" w:hAnsi="Arial"/>
                <w:szCs w:val="22"/>
              </w:rPr>
            </w:pPr>
            <w:r w:rsidRPr="002A4F0C">
              <w:rPr>
                <w:rFonts w:ascii="Arial" w:hAnsi="Arial"/>
                <w:szCs w:val="22"/>
              </w:rPr>
              <w:t>Horner RD, Grambow SC, Coffman CJ, Lindquist JH, et al (2008). Amyotrophic lateral sclerosis among 1991 Gulf War veterans: evidence for a time-limited outbreak. Neuroepidemiology, 31: 28-32.</w:t>
            </w:r>
          </w:p>
        </w:tc>
      </w:tr>
      <w:tr w:rsidR="002A4F0C" w:rsidRPr="002A4F0C" w14:paraId="50806DE4" w14:textId="77777777" w:rsidTr="002A4F0C">
        <w:trPr>
          <w:cantSplit/>
        </w:trPr>
        <w:tc>
          <w:tcPr>
            <w:tcW w:w="1575" w:type="dxa"/>
            <w:shd w:val="clear" w:color="auto" w:fill="auto"/>
            <w:noWrap/>
            <w:vAlign w:val="center"/>
          </w:tcPr>
          <w:p w14:paraId="104DB939"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54339</w:t>
            </w:r>
          </w:p>
        </w:tc>
        <w:tc>
          <w:tcPr>
            <w:tcW w:w="7938" w:type="dxa"/>
            <w:shd w:val="clear" w:color="auto" w:fill="auto"/>
            <w:vAlign w:val="bottom"/>
          </w:tcPr>
          <w:p w14:paraId="10C77FD9" w14:textId="77777777" w:rsidR="002A4F0C" w:rsidRPr="002A4F0C" w:rsidRDefault="002A4F0C" w:rsidP="002A4F0C">
            <w:pPr>
              <w:spacing w:line="240" w:lineRule="auto"/>
              <w:rPr>
                <w:rFonts w:ascii="Arial" w:hAnsi="Arial"/>
                <w:szCs w:val="22"/>
              </w:rPr>
            </w:pPr>
            <w:r w:rsidRPr="002A4F0C">
              <w:rPr>
                <w:rFonts w:ascii="Arial" w:hAnsi="Arial"/>
                <w:szCs w:val="22"/>
              </w:rPr>
              <w:t>Duggan AJ, Snedeker SM, Zambrone FA (2005). Sessions on the toxicology of agricultural exposures and cancer. Scand J Work Environ Health, 31(Suppl 1): 119-22.</w:t>
            </w:r>
          </w:p>
        </w:tc>
      </w:tr>
      <w:tr w:rsidR="002A4F0C" w:rsidRPr="002A4F0C" w14:paraId="580F6E6E" w14:textId="77777777" w:rsidTr="002A4F0C">
        <w:trPr>
          <w:cantSplit/>
        </w:trPr>
        <w:tc>
          <w:tcPr>
            <w:tcW w:w="1575" w:type="dxa"/>
            <w:shd w:val="clear" w:color="auto" w:fill="auto"/>
            <w:noWrap/>
            <w:vAlign w:val="center"/>
          </w:tcPr>
          <w:p w14:paraId="6A04974C"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54340</w:t>
            </w:r>
          </w:p>
        </w:tc>
        <w:tc>
          <w:tcPr>
            <w:tcW w:w="7938" w:type="dxa"/>
            <w:shd w:val="clear" w:color="auto" w:fill="auto"/>
            <w:vAlign w:val="bottom"/>
          </w:tcPr>
          <w:p w14:paraId="4D2D25C9" w14:textId="77777777" w:rsidR="002A4F0C" w:rsidRPr="002A4F0C" w:rsidRDefault="002A4F0C" w:rsidP="002A4F0C">
            <w:pPr>
              <w:spacing w:line="240" w:lineRule="auto"/>
              <w:rPr>
                <w:rFonts w:ascii="Arial" w:hAnsi="Arial"/>
                <w:szCs w:val="22"/>
              </w:rPr>
            </w:pPr>
            <w:r w:rsidRPr="002A4F0C">
              <w:rPr>
                <w:rFonts w:ascii="Arial" w:hAnsi="Arial"/>
                <w:szCs w:val="22"/>
              </w:rPr>
              <w:t>Rose RL, Tang J, Choi J, Cao Y, et al (2005). Pesticide metabolism in humans, including polymorphisms. Scand J Work Environ Health, 31(Suppl 1): 156-63.</w:t>
            </w:r>
          </w:p>
        </w:tc>
      </w:tr>
      <w:tr w:rsidR="002A4F0C" w:rsidRPr="002A4F0C" w14:paraId="72B14943" w14:textId="77777777" w:rsidTr="002A4F0C">
        <w:trPr>
          <w:cantSplit/>
        </w:trPr>
        <w:tc>
          <w:tcPr>
            <w:tcW w:w="1575" w:type="dxa"/>
            <w:shd w:val="clear" w:color="auto" w:fill="auto"/>
            <w:noWrap/>
            <w:vAlign w:val="center"/>
          </w:tcPr>
          <w:p w14:paraId="630C46B4"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54341</w:t>
            </w:r>
          </w:p>
        </w:tc>
        <w:tc>
          <w:tcPr>
            <w:tcW w:w="7938" w:type="dxa"/>
            <w:shd w:val="clear" w:color="auto" w:fill="auto"/>
            <w:vAlign w:val="bottom"/>
          </w:tcPr>
          <w:p w14:paraId="690151F0" w14:textId="77777777" w:rsidR="002A4F0C" w:rsidRPr="002A4F0C" w:rsidRDefault="002A4F0C" w:rsidP="002A4F0C">
            <w:pPr>
              <w:spacing w:line="240" w:lineRule="auto"/>
              <w:rPr>
                <w:rFonts w:ascii="Arial" w:hAnsi="Arial"/>
                <w:szCs w:val="22"/>
              </w:rPr>
            </w:pPr>
            <w:r w:rsidRPr="002A4F0C">
              <w:rPr>
                <w:rFonts w:ascii="Arial" w:hAnsi="Arial"/>
                <w:szCs w:val="22"/>
              </w:rPr>
              <w:t>Stevens D, Scott EA, Bowditch AP et al (2006). Multiple vaccine and pyridostigmine interactions: effects on cognition, muscle function and health outcomes in marmosets. Pharmacol Biochem Behav, 84(2): 207-18.</w:t>
            </w:r>
          </w:p>
        </w:tc>
      </w:tr>
      <w:tr w:rsidR="002A4F0C" w:rsidRPr="002A4F0C" w14:paraId="6E94E826" w14:textId="77777777" w:rsidTr="002A4F0C">
        <w:trPr>
          <w:cantSplit/>
        </w:trPr>
        <w:tc>
          <w:tcPr>
            <w:tcW w:w="1575" w:type="dxa"/>
            <w:shd w:val="clear" w:color="auto" w:fill="auto"/>
            <w:noWrap/>
            <w:vAlign w:val="center"/>
          </w:tcPr>
          <w:p w14:paraId="165490D2"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54342</w:t>
            </w:r>
          </w:p>
        </w:tc>
        <w:tc>
          <w:tcPr>
            <w:tcW w:w="7938" w:type="dxa"/>
            <w:shd w:val="clear" w:color="auto" w:fill="auto"/>
            <w:vAlign w:val="bottom"/>
          </w:tcPr>
          <w:p w14:paraId="454476F8" w14:textId="77777777" w:rsidR="002A4F0C" w:rsidRPr="002A4F0C" w:rsidRDefault="002A4F0C" w:rsidP="002A4F0C">
            <w:pPr>
              <w:spacing w:line="240" w:lineRule="auto"/>
              <w:rPr>
                <w:rFonts w:ascii="Arial" w:hAnsi="Arial"/>
                <w:szCs w:val="22"/>
              </w:rPr>
            </w:pPr>
            <w:r w:rsidRPr="002A4F0C">
              <w:rPr>
                <w:rFonts w:ascii="Arial" w:hAnsi="Arial"/>
                <w:szCs w:val="22"/>
              </w:rPr>
              <w:t>Williams KE, Mann TM, Chamberlain S et al (2006). Multiple vaccine and pyridostigmine interactions: effects on EEG and sleep in the common marmoset. Pharmacol Biochem Behav, 84(2): 282-93.</w:t>
            </w:r>
          </w:p>
        </w:tc>
      </w:tr>
      <w:tr w:rsidR="002A4F0C" w:rsidRPr="002A4F0C" w14:paraId="4D563DF8" w14:textId="77777777" w:rsidTr="002A4F0C">
        <w:trPr>
          <w:cantSplit/>
        </w:trPr>
        <w:tc>
          <w:tcPr>
            <w:tcW w:w="1575" w:type="dxa"/>
            <w:shd w:val="clear" w:color="auto" w:fill="auto"/>
            <w:noWrap/>
            <w:vAlign w:val="center"/>
          </w:tcPr>
          <w:p w14:paraId="619AF4C3"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54343</w:t>
            </w:r>
          </w:p>
        </w:tc>
        <w:tc>
          <w:tcPr>
            <w:tcW w:w="7938" w:type="dxa"/>
            <w:shd w:val="clear" w:color="auto" w:fill="auto"/>
            <w:vAlign w:val="bottom"/>
          </w:tcPr>
          <w:p w14:paraId="10ACB988" w14:textId="77777777" w:rsidR="002A4F0C" w:rsidRPr="002A4F0C" w:rsidRDefault="002A4F0C" w:rsidP="002A4F0C">
            <w:pPr>
              <w:spacing w:line="240" w:lineRule="auto"/>
              <w:rPr>
                <w:rFonts w:ascii="Arial" w:hAnsi="Arial"/>
                <w:szCs w:val="22"/>
              </w:rPr>
            </w:pPr>
            <w:r w:rsidRPr="002A4F0C">
              <w:rPr>
                <w:rFonts w:ascii="Arial" w:hAnsi="Arial"/>
                <w:szCs w:val="22"/>
              </w:rPr>
              <w:t>Jiang GC-T, Aschner M (2006). Neurotoxicity of depleted uranium. Reasons for increased concern. Biological Trace Element Research, 110: 1-17.</w:t>
            </w:r>
          </w:p>
        </w:tc>
      </w:tr>
      <w:tr w:rsidR="002A4F0C" w:rsidRPr="002A4F0C" w14:paraId="33756CC7" w14:textId="77777777" w:rsidTr="002A4F0C">
        <w:trPr>
          <w:cantSplit/>
        </w:trPr>
        <w:tc>
          <w:tcPr>
            <w:tcW w:w="1575" w:type="dxa"/>
            <w:shd w:val="clear" w:color="auto" w:fill="auto"/>
            <w:noWrap/>
            <w:vAlign w:val="center"/>
          </w:tcPr>
          <w:p w14:paraId="00942957"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54344</w:t>
            </w:r>
          </w:p>
        </w:tc>
        <w:tc>
          <w:tcPr>
            <w:tcW w:w="7938" w:type="dxa"/>
            <w:shd w:val="clear" w:color="auto" w:fill="auto"/>
            <w:vAlign w:val="bottom"/>
          </w:tcPr>
          <w:p w14:paraId="4F02A4B4" w14:textId="77777777" w:rsidR="002A4F0C" w:rsidRPr="002A4F0C" w:rsidRDefault="002A4F0C" w:rsidP="002A4F0C">
            <w:pPr>
              <w:spacing w:line="240" w:lineRule="auto"/>
              <w:rPr>
                <w:rFonts w:ascii="Arial" w:hAnsi="Arial"/>
                <w:szCs w:val="22"/>
              </w:rPr>
            </w:pPr>
            <w:r w:rsidRPr="002A4F0C">
              <w:rPr>
                <w:rFonts w:ascii="Arial" w:hAnsi="Arial"/>
                <w:szCs w:val="22"/>
              </w:rPr>
              <w:t>Golier JA, Schmeidler J, Legge J, Yehuda R (2007). Twenty-four hour plasma cortisol and adrenocorticotropic hormone in Gulf War veterans: relationships to posttraumatic stress disorder and health symptoms. Biol Psychiatry, 62: 1175-8.</w:t>
            </w:r>
          </w:p>
        </w:tc>
      </w:tr>
      <w:tr w:rsidR="002A4F0C" w:rsidRPr="002A4F0C" w14:paraId="45E3D007" w14:textId="77777777" w:rsidTr="002A4F0C">
        <w:trPr>
          <w:cantSplit/>
        </w:trPr>
        <w:tc>
          <w:tcPr>
            <w:tcW w:w="1575" w:type="dxa"/>
            <w:shd w:val="clear" w:color="auto" w:fill="auto"/>
            <w:noWrap/>
            <w:vAlign w:val="center"/>
          </w:tcPr>
          <w:p w14:paraId="3ADAD600"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54347</w:t>
            </w:r>
          </w:p>
        </w:tc>
        <w:tc>
          <w:tcPr>
            <w:tcW w:w="7938" w:type="dxa"/>
            <w:shd w:val="clear" w:color="auto" w:fill="auto"/>
            <w:vAlign w:val="bottom"/>
          </w:tcPr>
          <w:p w14:paraId="78509151" w14:textId="77777777" w:rsidR="002A4F0C" w:rsidRPr="002A4F0C" w:rsidRDefault="002A4F0C" w:rsidP="002A4F0C">
            <w:pPr>
              <w:spacing w:line="240" w:lineRule="auto"/>
              <w:rPr>
                <w:rFonts w:ascii="Arial" w:hAnsi="Arial"/>
                <w:szCs w:val="22"/>
              </w:rPr>
            </w:pPr>
            <w:r w:rsidRPr="002A4F0C">
              <w:rPr>
                <w:rFonts w:ascii="Arial" w:hAnsi="Arial"/>
                <w:szCs w:val="22"/>
              </w:rPr>
              <w:t>Charatan F (2006). Gulf war symptoms do not constitute a syndrome. BMJ, 333: 618.</w:t>
            </w:r>
          </w:p>
        </w:tc>
      </w:tr>
      <w:tr w:rsidR="002A4F0C" w:rsidRPr="002A4F0C" w14:paraId="0334FF04" w14:textId="77777777" w:rsidTr="002A4F0C">
        <w:trPr>
          <w:cantSplit/>
        </w:trPr>
        <w:tc>
          <w:tcPr>
            <w:tcW w:w="1575" w:type="dxa"/>
            <w:shd w:val="clear" w:color="auto" w:fill="auto"/>
            <w:noWrap/>
            <w:vAlign w:val="center"/>
          </w:tcPr>
          <w:p w14:paraId="4FB08345"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54350</w:t>
            </w:r>
          </w:p>
        </w:tc>
        <w:tc>
          <w:tcPr>
            <w:tcW w:w="7938" w:type="dxa"/>
            <w:shd w:val="clear" w:color="auto" w:fill="auto"/>
            <w:vAlign w:val="bottom"/>
          </w:tcPr>
          <w:p w14:paraId="41A8C908" w14:textId="77777777" w:rsidR="002A4F0C" w:rsidRPr="002A4F0C" w:rsidRDefault="002A4F0C" w:rsidP="002A4F0C">
            <w:pPr>
              <w:spacing w:line="240" w:lineRule="auto"/>
              <w:rPr>
                <w:rFonts w:ascii="Arial" w:hAnsi="Arial"/>
                <w:szCs w:val="22"/>
              </w:rPr>
            </w:pPr>
            <w:r w:rsidRPr="002A4F0C">
              <w:rPr>
                <w:rFonts w:ascii="Arial" w:hAnsi="Arial"/>
                <w:szCs w:val="22"/>
              </w:rPr>
              <w:t>Charatan F (2006). Gulf war symptoms do not constitute a syndrome. BMJ, 333: 618.</w:t>
            </w:r>
          </w:p>
        </w:tc>
      </w:tr>
      <w:tr w:rsidR="002A4F0C" w:rsidRPr="002A4F0C" w14:paraId="37FA90A5" w14:textId="77777777" w:rsidTr="002A4F0C">
        <w:trPr>
          <w:cantSplit/>
        </w:trPr>
        <w:tc>
          <w:tcPr>
            <w:tcW w:w="1575" w:type="dxa"/>
            <w:shd w:val="clear" w:color="auto" w:fill="auto"/>
            <w:noWrap/>
            <w:vAlign w:val="center"/>
          </w:tcPr>
          <w:p w14:paraId="2327FE64"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54351</w:t>
            </w:r>
          </w:p>
        </w:tc>
        <w:tc>
          <w:tcPr>
            <w:tcW w:w="7938" w:type="dxa"/>
            <w:shd w:val="clear" w:color="auto" w:fill="auto"/>
            <w:vAlign w:val="bottom"/>
          </w:tcPr>
          <w:p w14:paraId="5057162D" w14:textId="77777777" w:rsidR="002A4F0C" w:rsidRPr="002A4F0C" w:rsidRDefault="002A4F0C" w:rsidP="002A4F0C">
            <w:pPr>
              <w:spacing w:line="240" w:lineRule="auto"/>
              <w:rPr>
                <w:rFonts w:ascii="Arial" w:hAnsi="Arial"/>
                <w:szCs w:val="22"/>
              </w:rPr>
            </w:pPr>
            <w:r w:rsidRPr="002A4F0C">
              <w:rPr>
                <w:rFonts w:ascii="Arial" w:hAnsi="Arial"/>
                <w:szCs w:val="22"/>
              </w:rPr>
              <w:t>Thomas HV, Stimpson NJ, Weightman A et al (2006). Pain in veterans of the Gulf War of 1991: a systematic review. BMC Musculoskelet Disord, 7: 74.</w:t>
            </w:r>
          </w:p>
        </w:tc>
      </w:tr>
      <w:tr w:rsidR="002A4F0C" w:rsidRPr="002A4F0C" w14:paraId="48E87B88" w14:textId="77777777" w:rsidTr="002A4F0C">
        <w:trPr>
          <w:cantSplit/>
        </w:trPr>
        <w:tc>
          <w:tcPr>
            <w:tcW w:w="1575" w:type="dxa"/>
            <w:shd w:val="clear" w:color="auto" w:fill="auto"/>
            <w:noWrap/>
            <w:vAlign w:val="center"/>
          </w:tcPr>
          <w:p w14:paraId="228BCAAE"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54352</w:t>
            </w:r>
          </w:p>
        </w:tc>
        <w:tc>
          <w:tcPr>
            <w:tcW w:w="7938" w:type="dxa"/>
            <w:shd w:val="clear" w:color="auto" w:fill="auto"/>
            <w:vAlign w:val="bottom"/>
          </w:tcPr>
          <w:p w14:paraId="67EB4CA6" w14:textId="77777777" w:rsidR="002A4F0C" w:rsidRPr="002A4F0C" w:rsidRDefault="002A4F0C" w:rsidP="002A4F0C">
            <w:pPr>
              <w:spacing w:line="240" w:lineRule="auto"/>
              <w:rPr>
                <w:rFonts w:ascii="Arial" w:hAnsi="Arial"/>
                <w:szCs w:val="22"/>
              </w:rPr>
            </w:pPr>
            <w:r w:rsidRPr="002A4F0C">
              <w:rPr>
                <w:rFonts w:ascii="Arial" w:hAnsi="Arial"/>
                <w:szCs w:val="22"/>
              </w:rPr>
              <w:t>Hornby RJ, Pearce PC, Bowditch AP et al (2006). Multiple vaccine and pyridostigmine bromide interactions in the common marmoset Callithrix jacchus: immunological and endocrinological effects. Int Immunopharmacol, 6(12): 1765-79.</w:t>
            </w:r>
          </w:p>
        </w:tc>
      </w:tr>
      <w:tr w:rsidR="002A4F0C" w:rsidRPr="002A4F0C" w14:paraId="70432780" w14:textId="77777777" w:rsidTr="002A4F0C">
        <w:trPr>
          <w:cantSplit/>
        </w:trPr>
        <w:tc>
          <w:tcPr>
            <w:tcW w:w="1575" w:type="dxa"/>
            <w:shd w:val="clear" w:color="auto" w:fill="auto"/>
            <w:noWrap/>
            <w:vAlign w:val="center"/>
          </w:tcPr>
          <w:p w14:paraId="19D7FA95"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54353</w:t>
            </w:r>
          </w:p>
        </w:tc>
        <w:tc>
          <w:tcPr>
            <w:tcW w:w="7938" w:type="dxa"/>
            <w:shd w:val="clear" w:color="auto" w:fill="auto"/>
            <w:vAlign w:val="bottom"/>
          </w:tcPr>
          <w:p w14:paraId="0DB4E85E" w14:textId="77777777" w:rsidR="002A4F0C" w:rsidRPr="002A4F0C" w:rsidRDefault="002A4F0C" w:rsidP="002A4F0C">
            <w:pPr>
              <w:spacing w:line="240" w:lineRule="auto"/>
              <w:rPr>
                <w:rFonts w:ascii="Arial" w:hAnsi="Arial"/>
                <w:szCs w:val="22"/>
              </w:rPr>
            </w:pPr>
            <w:r w:rsidRPr="002A4F0C">
              <w:rPr>
                <w:rFonts w:ascii="Arial" w:hAnsi="Arial"/>
                <w:szCs w:val="22"/>
              </w:rPr>
              <w:t>Concato J, Aslan M, Palmisano MM, Doebbeling CC, et al (2007). Acetylcholinesterase activity in veterans of the first Gulf War. Journal of Investigative Medicine, 55: 360-7.</w:t>
            </w:r>
          </w:p>
        </w:tc>
      </w:tr>
      <w:tr w:rsidR="002A4F0C" w:rsidRPr="002A4F0C" w14:paraId="3732CEAD" w14:textId="77777777" w:rsidTr="002A4F0C">
        <w:trPr>
          <w:cantSplit/>
        </w:trPr>
        <w:tc>
          <w:tcPr>
            <w:tcW w:w="1575" w:type="dxa"/>
            <w:shd w:val="clear" w:color="auto" w:fill="auto"/>
            <w:noWrap/>
            <w:vAlign w:val="center"/>
          </w:tcPr>
          <w:p w14:paraId="5B4F5308"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54354</w:t>
            </w:r>
          </w:p>
        </w:tc>
        <w:tc>
          <w:tcPr>
            <w:tcW w:w="7938" w:type="dxa"/>
            <w:shd w:val="clear" w:color="auto" w:fill="auto"/>
            <w:vAlign w:val="bottom"/>
          </w:tcPr>
          <w:p w14:paraId="0D314BBA" w14:textId="77777777" w:rsidR="002A4F0C" w:rsidRPr="002A4F0C" w:rsidRDefault="002A4F0C" w:rsidP="002A4F0C">
            <w:pPr>
              <w:spacing w:line="240" w:lineRule="auto"/>
              <w:rPr>
                <w:rFonts w:ascii="Arial" w:hAnsi="Arial"/>
                <w:szCs w:val="22"/>
              </w:rPr>
            </w:pPr>
            <w:r w:rsidRPr="002A4F0C">
              <w:rPr>
                <w:rFonts w:ascii="Arial" w:hAnsi="Arial"/>
                <w:szCs w:val="22"/>
              </w:rPr>
              <w:t>Kilshaw S (2008). Gulf War syndrome: a reaction to psychiatry's invasion of the military? Cult Med Psychiatry, 32: 219-37.</w:t>
            </w:r>
          </w:p>
        </w:tc>
      </w:tr>
      <w:tr w:rsidR="002A4F0C" w:rsidRPr="002A4F0C" w14:paraId="39BE9CB6" w14:textId="77777777" w:rsidTr="002A4F0C">
        <w:trPr>
          <w:cantSplit/>
        </w:trPr>
        <w:tc>
          <w:tcPr>
            <w:tcW w:w="1575" w:type="dxa"/>
            <w:shd w:val="clear" w:color="auto" w:fill="auto"/>
            <w:noWrap/>
            <w:vAlign w:val="center"/>
          </w:tcPr>
          <w:p w14:paraId="332F8DDA"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54355</w:t>
            </w:r>
          </w:p>
        </w:tc>
        <w:tc>
          <w:tcPr>
            <w:tcW w:w="7938" w:type="dxa"/>
            <w:shd w:val="clear" w:color="auto" w:fill="auto"/>
            <w:vAlign w:val="bottom"/>
          </w:tcPr>
          <w:p w14:paraId="4261B737" w14:textId="77777777" w:rsidR="002A4F0C" w:rsidRPr="002A4F0C" w:rsidRDefault="002A4F0C" w:rsidP="002A4F0C">
            <w:pPr>
              <w:spacing w:line="240" w:lineRule="auto"/>
              <w:rPr>
                <w:rFonts w:ascii="Arial" w:hAnsi="Arial"/>
                <w:szCs w:val="22"/>
              </w:rPr>
            </w:pPr>
            <w:r w:rsidRPr="002A4F0C">
              <w:rPr>
                <w:rFonts w:ascii="Arial" w:hAnsi="Arial"/>
                <w:szCs w:val="22"/>
              </w:rPr>
              <w:t>Pukhalsky AL, Shmarina GV, Alioshkin VA, Sabelnikov A (2008). HPA axis exhaustion and regulatory T cell accumulation in patients with a functional somatic syndrome: recent view on the problem of Gulf War veterans. Journal of Neuroimmunology, 196: 133-8.</w:t>
            </w:r>
          </w:p>
        </w:tc>
      </w:tr>
      <w:tr w:rsidR="002A4F0C" w:rsidRPr="002A4F0C" w14:paraId="68098477" w14:textId="77777777" w:rsidTr="002A4F0C">
        <w:trPr>
          <w:cantSplit/>
        </w:trPr>
        <w:tc>
          <w:tcPr>
            <w:tcW w:w="1575" w:type="dxa"/>
            <w:shd w:val="clear" w:color="auto" w:fill="auto"/>
            <w:noWrap/>
            <w:vAlign w:val="center"/>
          </w:tcPr>
          <w:p w14:paraId="608EC2E3"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54356</w:t>
            </w:r>
          </w:p>
        </w:tc>
        <w:tc>
          <w:tcPr>
            <w:tcW w:w="7938" w:type="dxa"/>
            <w:shd w:val="clear" w:color="auto" w:fill="auto"/>
            <w:vAlign w:val="bottom"/>
          </w:tcPr>
          <w:p w14:paraId="5FD77753" w14:textId="77777777" w:rsidR="002A4F0C" w:rsidRPr="002A4F0C" w:rsidRDefault="002A4F0C" w:rsidP="002A4F0C">
            <w:pPr>
              <w:spacing w:line="240" w:lineRule="auto"/>
              <w:rPr>
                <w:rFonts w:ascii="Arial" w:hAnsi="Arial"/>
                <w:szCs w:val="22"/>
              </w:rPr>
            </w:pPr>
            <w:r w:rsidRPr="002A4F0C">
              <w:rPr>
                <w:rFonts w:ascii="Arial" w:hAnsi="Arial"/>
                <w:szCs w:val="22"/>
              </w:rPr>
              <w:t>Pessler F, Chen LX, Dai L, Gomez-Vaquero C, et al (2008). A histomorphometric analysis of synovial biopsies from individuals with Gulf War Veterans' Illness and joint pain compared to normal and osteoarthritis synovium. Clin Rheumatol, 27: 1127-34.</w:t>
            </w:r>
          </w:p>
        </w:tc>
      </w:tr>
      <w:tr w:rsidR="002A4F0C" w:rsidRPr="002A4F0C" w14:paraId="3C871324" w14:textId="77777777" w:rsidTr="002A4F0C">
        <w:trPr>
          <w:cantSplit/>
        </w:trPr>
        <w:tc>
          <w:tcPr>
            <w:tcW w:w="1575" w:type="dxa"/>
            <w:shd w:val="clear" w:color="auto" w:fill="auto"/>
            <w:noWrap/>
            <w:vAlign w:val="center"/>
          </w:tcPr>
          <w:p w14:paraId="502BB6DA"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54357</w:t>
            </w:r>
          </w:p>
        </w:tc>
        <w:tc>
          <w:tcPr>
            <w:tcW w:w="7938" w:type="dxa"/>
            <w:shd w:val="clear" w:color="auto" w:fill="auto"/>
            <w:vAlign w:val="bottom"/>
          </w:tcPr>
          <w:p w14:paraId="38129912" w14:textId="77777777" w:rsidR="002A4F0C" w:rsidRPr="002A4F0C" w:rsidRDefault="002A4F0C" w:rsidP="002A4F0C">
            <w:pPr>
              <w:spacing w:line="240" w:lineRule="auto"/>
              <w:rPr>
                <w:rFonts w:ascii="Arial" w:hAnsi="Arial"/>
                <w:szCs w:val="22"/>
              </w:rPr>
            </w:pPr>
            <w:r w:rsidRPr="002A4F0C">
              <w:rPr>
                <w:rFonts w:ascii="Arial" w:hAnsi="Arial"/>
                <w:szCs w:val="22"/>
              </w:rPr>
              <w:t>Miranda ML, Overstreet Galeano MA, Tassone E, et al (2008). Spatial analysis of the etiology of amyotrophic lateral sclerosis among 1991 Gulf War veterans. NeuroToxicology, 29: 964-70.</w:t>
            </w:r>
          </w:p>
        </w:tc>
      </w:tr>
      <w:tr w:rsidR="002A4F0C" w:rsidRPr="002A4F0C" w14:paraId="333423F8" w14:textId="77777777" w:rsidTr="002A4F0C">
        <w:trPr>
          <w:cantSplit/>
        </w:trPr>
        <w:tc>
          <w:tcPr>
            <w:tcW w:w="1575" w:type="dxa"/>
            <w:shd w:val="clear" w:color="auto" w:fill="auto"/>
            <w:noWrap/>
            <w:vAlign w:val="center"/>
          </w:tcPr>
          <w:p w14:paraId="24F6307C"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54358</w:t>
            </w:r>
          </w:p>
        </w:tc>
        <w:tc>
          <w:tcPr>
            <w:tcW w:w="7938" w:type="dxa"/>
            <w:shd w:val="clear" w:color="auto" w:fill="auto"/>
            <w:vAlign w:val="bottom"/>
          </w:tcPr>
          <w:p w14:paraId="13AEC7D0" w14:textId="77777777" w:rsidR="002A4F0C" w:rsidRPr="002A4F0C" w:rsidRDefault="002A4F0C" w:rsidP="002A4F0C">
            <w:pPr>
              <w:spacing w:line="240" w:lineRule="auto"/>
              <w:rPr>
                <w:rFonts w:ascii="Arial" w:hAnsi="Arial"/>
                <w:szCs w:val="22"/>
              </w:rPr>
            </w:pPr>
            <w:r w:rsidRPr="002A4F0C">
              <w:rPr>
                <w:rFonts w:ascii="Arial" w:hAnsi="Arial"/>
                <w:szCs w:val="22"/>
              </w:rPr>
              <w:t>King LA, King DW, Bolton EE, Knight JA, Vogt DS (2008). Risk factors for mental, physical, and functional health in Gulf War veterans. JRRD, 45(3): 395-408.</w:t>
            </w:r>
          </w:p>
        </w:tc>
      </w:tr>
      <w:tr w:rsidR="002A4F0C" w:rsidRPr="002A4F0C" w14:paraId="2A227D5F" w14:textId="77777777" w:rsidTr="002A4F0C">
        <w:trPr>
          <w:cantSplit/>
        </w:trPr>
        <w:tc>
          <w:tcPr>
            <w:tcW w:w="1575" w:type="dxa"/>
            <w:shd w:val="clear" w:color="auto" w:fill="auto"/>
            <w:noWrap/>
            <w:vAlign w:val="center"/>
          </w:tcPr>
          <w:p w14:paraId="7254BDC7"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54359</w:t>
            </w:r>
          </w:p>
        </w:tc>
        <w:tc>
          <w:tcPr>
            <w:tcW w:w="7938" w:type="dxa"/>
            <w:shd w:val="clear" w:color="auto" w:fill="auto"/>
            <w:vAlign w:val="bottom"/>
          </w:tcPr>
          <w:p w14:paraId="38016F95" w14:textId="77777777" w:rsidR="002A4F0C" w:rsidRPr="002A4F0C" w:rsidRDefault="002A4F0C" w:rsidP="002A4F0C">
            <w:pPr>
              <w:spacing w:line="240" w:lineRule="auto"/>
              <w:rPr>
                <w:rFonts w:ascii="Arial" w:hAnsi="Arial"/>
                <w:szCs w:val="22"/>
              </w:rPr>
            </w:pPr>
            <w:r w:rsidRPr="002A4F0C">
              <w:rPr>
                <w:rFonts w:ascii="Arial" w:hAnsi="Arial"/>
                <w:szCs w:val="22"/>
              </w:rPr>
              <w:t>Brewer NT, Hallman WK, Kipen HM (2008). The symmetry rule: a seven-year study of symptoms and explanatory labels among Gulf War veterans. Risk Analysis, 28(6): 1737-48.</w:t>
            </w:r>
          </w:p>
        </w:tc>
      </w:tr>
      <w:tr w:rsidR="002A4F0C" w:rsidRPr="002A4F0C" w14:paraId="6BB476B5" w14:textId="77777777" w:rsidTr="002A4F0C">
        <w:trPr>
          <w:cantSplit/>
        </w:trPr>
        <w:tc>
          <w:tcPr>
            <w:tcW w:w="1575" w:type="dxa"/>
            <w:shd w:val="clear" w:color="auto" w:fill="auto"/>
            <w:noWrap/>
            <w:vAlign w:val="center"/>
          </w:tcPr>
          <w:p w14:paraId="083081FA"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54360</w:t>
            </w:r>
          </w:p>
        </w:tc>
        <w:tc>
          <w:tcPr>
            <w:tcW w:w="7938" w:type="dxa"/>
            <w:shd w:val="clear" w:color="auto" w:fill="auto"/>
            <w:vAlign w:val="bottom"/>
          </w:tcPr>
          <w:p w14:paraId="47F70CD7" w14:textId="77777777" w:rsidR="002A4F0C" w:rsidRPr="002A4F0C" w:rsidRDefault="002A4F0C" w:rsidP="002A4F0C">
            <w:pPr>
              <w:spacing w:line="240" w:lineRule="auto"/>
              <w:rPr>
                <w:rFonts w:ascii="Arial" w:hAnsi="Arial"/>
                <w:szCs w:val="22"/>
              </w:rPr>
            </w:pPr>
            <w:r w:rsidRPr="002A4F0C">
              <w:rPr>
                <w:rFonts w:ascii="Arial" w:hAnsi="Arial"/>
                <w:szCs w:val="22"/>
              </w:rPr>
              <w:t>Ablin JN, Shoenfeld Y, Buskila D (2006). Fibromyalgia, infection and vaccination: two more parts in the etiological puzzle. J Autoimmun, 27: 145-52.</w:t>
            </w:r>
          </w:p>
        </w:tc>
      </w:tr>
      <w:tr w:rsidR="002A4F0C" w:rsidRPr="002A4F0C" w14:paraId="5EF1F8EB" w14:textId="77777777" w:rsidTr="002A4F0C">
        <w:trPr>
          <w:cantSplit/>
        </w:trPr>
        <w:tc>
          <w:tcPr>
            <w:tcW w:w="1575" w:type="dxa"/>
            <w:shd w:val="clear" w:color="auto" w:fill="auto"/>
            <w:noWrap/>
            <w:vAlign w:val="center"/>
          </w:tcPr>
          <w:p w14:paraId="053AFF75"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54361</w:t>
            </w:r>
          </w:p>
        </w:tc>
        <w:tc>
          <w:tcPr>
            <w:tcW w:w="7938" w:type="dxa"/>
            <w:shd w:val="clear" w:color="auto" w:fill="auto"/>
            <w:vAlign w:val="bottom"/>
          </w:tcPr>
          <w:p w14:paraId="4366EF2A" w14:textId="77777777" w:rsidR="002A4F0C" w:rsidRPr="002A4F0C" w:rsidRDefault="002A4F0C" w:rsidP="002A4F0C">
            <w:pPr>
              <w:spacing w:line="240" w:lineRule="auto"/>
              <w:rPr>
                <w:rFonts w:ascii="Arial" w:hAnsi="Arial"/>
                <w:szCs w:val="22"/>
              </w:rPr>
            </w:pPr>
            <w:r w:rsidRPr="002A4F0C">
              <w:rPr>
                <w:rFonts w:ascii="Arial" w:hAnsi="Arial"/>
                <w:szCs w:val="22"/>
              </w:rPr>
              <w:t>Haley RW, Spence JS, Carmack PS, Gunst RF, et al (2009). Abnormal brain response to cholinergic challenge in chronic encephalopathy from the 1991 Gulf War. Psychiatry Research: Neuroimaging, 171: 207-20.</w:t>
            </w:r>
          </w:p>
        </w:tc>
      </w:tr>
      <w:tr w:rsidR="002A4F0C" w:rsidRPr="002A4F0C" w14:paraId="079D0E53" w14:textId="77777777" w:rsidTr="002A4F0C">
        <w:trPr>
          <w:cantSplit/>
        </w:trPr>
        <w:tc>
          <w:tcPr>
            <w:tcW w:w="1575" w:type="dxa"/>
            <w:shd w:val="clear" w:color="auto" w:fill="auto"/>
            <w:noWrap/>
            <w:vAlign w:val="center"/>
          </w:tcPr>
          <w:p w14:paraId="03E74756"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54362</w:t>
            </w:r>
          </w:p>
        </w:tc>
        <w:tc>
          <w:tcPr>
            <w:tcW w:w="7938" w:type="dxa"/>
            <w:shd w:val="clear" w:color="auto" w:fill="auto"/>
            <w:vAlign w:val="bottom"/>
          </w:tcPr>
          <w:p w14:paraId="5AA85A4C" w14:textId="77777777" w:rsidR="002A4F0C" w:rsidRPr="002A4F0C" w:rsidRDefault="002A4F0C" w:rsidP="002A4F0C">
            <w:pPr>
              <w:spacing w:line="240" w:lineRule="auto"/>
              <w:rPr>
                <w:rFonts w:ascii="Arial" w:hAnsi="Arial"/>
                <w:szCs w:val="22"/>
              </w:rPr>
            </w:pPr>
            <w:r w:rsidRPr="002A4F0C">
              <w:rPr>
                <w:rFonts w:ascii="Arial" w:hAnsi="Arial"/>
                <w:szCs w:val="22"/>
              </w:rPr>
              <w:t>Friedl KE COL, Grate SJ, Proctor SP (2009). Neuropsychological issues in military deployments: lessons observed in the DoD Gulf War Illness Research Program. Military Medicine, 174(4): 335-46.</w:t>
            </w:r>
          </w:p>
        </w:tc>
      </w:tr>
      <w:tr w:rsidR="002A4F0C" w:rsidRPr="002A4F0C" w14:paraId="25E9D463" w14:textId="77777777" w:rsidTr="002A4F0C">
        <w:trPr>
          <w:cantSplit/>
        </w:trPr>
        <w:tc>
          <w:tcPr>
            <w:tcW w:w="1575" w:type="dxa"/>
            <w:shd w:val="clear" w:color="auto" w:fill="auto"/>
            <w:noWrap/>
            <w:vAlign w:val="center"/>
          </w:tcPr>
          <w:p w14:paraId="2F3B2B2B" w14:textId="77777777" w:rsidR="002A4F0C" w:rsidRPr="002A4F0C" w:rsidRDefault="002A4F0C" w:rsidP="002A4F0C">
            <w:pPr>
              <w:spacing w:line="240" w:lineRule="auto"/>
              <w:jc w:val="center"/>
              <w:rPr>
                <w:rFonts w:ascii="Arial" w:hAnsi="Arial"/>
                <w:szCs w:val="22"/>
              </w:rPr>
            </w:pPr>
            <w:r w:rsidRPr="002A4F0C">
              <w:rPr>
                <w:rFonts w:ascii="Arial" w:hAnsi="Arial"/>
                <w:szCs w:val="22"/>
              </w:rPr>
              <w:t>54363</w:t>
            </w:r>
          </w:p>
        </w:tc>
        <w:tc>
          <w:tcPr>
            <w:tcW w:w="7938" w:type="dxa"/>
            <w:shd w:val="clear" w:color="auto" w:fill="auto"/>
            <w:vAlign w:val="bottom"/>
          </w:tcPr>
          <w:p w14:paraId="0BF3E020" w14:textId="77777777" w:rsidR="002A4F0C" w:rsidRPr="002A4F0C" w:rsidRDefault="002A4F0C" w:rsidP="002A4F0C">
            <w:pPr>
              <w:spacing w:line="240" w:lineRule="auto"/>
              <w:rPr>
                <w:rFonts w:ascii="Arial" w:hAnsi="Arial"/>
                <w:szCs w:val="22"/>
              </w:rPr>
            </w:pPr>
            <w:r w:rsidRPr="002A4F0C">
              <w:rPr>
                <w:rFonts w:ascii="Arial" w:hAnsi="Arial"/>
                <w:szCs w:val="22"/>
              </w:rPr>
              <w:t>Joellenbeck LM, Zwanzinger LL, Durch JS, Strom BL (2002). The Anthrax Vaccine. Is It Safe? Does It Work?, . National Academy Press, Washington, D.C.</w:t>
            </w:r>
          </w:p>
        </w:tc>
      </w:tr>
      <w:tr w:rsidR="002A4F0C" w:rsidRPr="002A4F0C" w14:paraId="0CD81A1E" w14:textId="77777777" w:rsidTr="002A4F0C">
        <w:trPr>
          <w:cantSplit/>
        </w:trPr>
        <w:tc>
          <w:tcPr>
            <w:tcW w:w="1575" w:type="dxa"/>
            <w:shd w:val="clear" w:color="auto" w:fill="auto"/>
            <w:noWrap/>
            <w:vAlign w:val="center"/>
          </w:tcPr>
          <w:p w14:paraId="1685AC9D" w14:textId="77777777" w:rsidR="002A4F0C" w:rsidRPr="002A4F0C" w:rsidRDefault="002A4F0C" w:rsidP="002A4F0C">
            <w:pPr>
              <w:spacing w:line="240" w:lineRule="auto"/>
              <w:jc w:val="center"/>
              <w:rPr>
                <w:rFonts w:ascii="Arial" w:hAnsi="Arial"/>
                <w:szCs w:val="22"/>
              </w:rPr>
            </w:pPr>
            <w:r w:rsidRPr="002A4F0C">
              <w:rPr>
                <w:rFonts w:ascii="Arial" w:hAnsi="Arial"/>
                <w:szCs w:val="22"/>
              </w:rPr>
              <w:t>54495</w:t>
            </w:r>
          </w:p>
        </w:tc>
        <w:tc>
          <w:tcPr>
            <w:tcW w:w="7938" w:type="dxa"/>
            <w:shd w:val="clear" w:color="auto" w:fill="auto"/>
            <w:vAlign w:val="bottom"/>
          </w:tcPr>
          <w:p w14:paraId="213BC3ED" w14:textId="77777777" w:rsidR="002A4F0C" w:rsidRPr="002A4F0C" w:rsidRDefault="002A4F0C" w:rsidP="002A4F0C">
            <w:pPr>
              <w:spacing w:line="240" w:lineRule="auto"/>
              <w:rPr>
                <w:rFonts w:ascii="Arial" w:hAnsi="Arial"/>
                <w:szCs w:val="22"/>
              </w:rPr>
            </w:pPr>
            <w:r w:rsidRPr="002A4F0C">
              <w:rPr>
                <w:rFonts w:ascii="Arial" w:hAnsi="Arial"/>
                <w:szCs w:val="22"/>
              </w:rPr>
              <w:t>McDiarmid MA, Engelhardt SM, Oliver M, Gucer P, et al (2007). Health surveillance of Gulf War I veterans exposed to depleted uranium: updating the cohort. Health Phys, 93(1): 60-73.</w:t>
            </w:r>
          </w:p>
        </w:tc>
      </w:tr>
      <w:tr w:rsidR="002A4F0C" w:rsidRPr="002A4F0C" w14:paraId="44D99BB3" w14:textId="77777777" w:rsidTr="002A4F0C">
        <w:trPr>
          <w:cantSplit/>
        </w:trPr>
        <w:tc>
          <w:tcPr>
            <w:tcW w:w="1575" w:type="dxa"/>
            <w:shd w:val="clear" w:color="auto" w:fill="auto"/>
            <w:noWrap/>
            <w:vAlign w:val="center"/>
          </w:tcPr>
          <w:p w14:paraId="596E9B28" w14:textId="77777777" w:rsidR="002A4F0C" w:rsidRPr="002A4F0C" w:rsidRDefault="002A4F0C" w:rsidP="002A4F0C">
            <w:pPr>
              <w:spacing w:line="240" w:lineRule="auto"/>
              <w:jc w:val="center"/>
              <w:rPr>
                <w:rFonts w:ascii="Arial" w:hAnsi="Arial"/>
                <w:szCs w:val="22"/>
              </w:rPr>
            </w:pPr>
            <w:r w:rsidRPr="002A4F0C">
              <w:rPr>
                <w:rFonts w:ascii="Arial" w:hAnsi="Arial"/>
                <w:szCs w:val="22"/>
              </w:rPr>
              <w:t>54496</w:t>
            </w:r>
          </w:p>
        </w:tc>
        <w:tc>
          <w:tcPr>
            <w:tcW w:w="7938" w:type="dxa"/>
            <w:shd w:val="clear" w:color="auto" w:fill="auto"/>
            <w:vAlign w:val="bottom"/>
          </w:tcPr>
          <w:p w14:paraId="03433875" w14:textId="77777777" w:rsidR="002A4F0C" w:rsidRPr="002A4F0C" w:rsidRDefault="002A4F0C" w:rsidP="002A4F0C">
            <w:pPr>
              <w:spacing w:line="240" w:lineRule="auto"/>
              <w:rPr>
                <w:rFonts w:ascii="Arial" w:hAnsi="Arial"/>
                <w:szCs w:val="22"/>
              </w:rPr>
            </w:pPr>
            <w:r w:rsidRPr="002A4F0C">
              <w:rPr>
                <w:rFonts w:ascii="Arial" w:hAnsi="Arial"/>
                <w:szCs w:val="22"/>
              </w:rPr>
              <w:t>Proctor SP, Heaton KJ, Heeren T, White RF (2006). Effects of sarin and cyclosarin exposure during the 1991 Gulf War on neurobehavioral functioning in US army veterans. NeuroToxicology, 27: 931-9.</w:t>
            </w:r>
          </w:p>
        </w:tc>
      </w:tr>
      <w:tr w:rsidR="002A4F0C" w:rsidRPr="002A4F0C" w14:paraId="3D10F4C3" w14:textId="77777777" w:rsidTr="002A4F0C">
        <w:trPr>
          <w:cantSplit/>
        </w:trPr>
        <w:tc>
          <w:tcPr>
            <w:tcW w:w="1575" w:type="dxa"/>
            <w:shd w:val="clear" w:color="auto" w:fill="auto"/>
            <w:noWrap/>
            <w:vAlign w:val="center"/>
          </w:tcPr>
          <w:p w14:paraId="6B36E889" w14:textId="77777777" w:rsidR="002A4F0C" w:rsidRPr="002A4F0C" w:rsidRDefault="002A4F0C" w:rsidP="002A4F0C">
            <w:pPr>
              <w:spacing w:line="240" w:lineRule="auto"/>
              <w:jc w:val="center"/>
              <w:rPr>
                <w:rFonts w:ascii="Arial" w:hAnsi="Arial"/>
                <w:szCs w:val="22"/>
              </w:rPr>
            </w:pPr>
            <w:r w:rsidRPr="002A4F0C">
              <w:rPr>
                <w:rFonts w:ascii="Arial" w:hAnsi="Arial"/>
                <w:szCs w:val="22"/>
              </w:rPr>
              <w:t>54697</w:t>
            </w:r>
          </w:p>
        </w:tc>
        <w:tc>
          <w:tcPr>
            <w:tcW w:w="7938" w:type="dxa"/>
            <w:shd w:val="clear" w:color="auto" w:fill="auto"/>
            <w:vAlign w:val="bottom"/>
          </w:tcPr>
          <w:p w14:paraId="3483BDB1" w14:textId="77777777" w:rsidR="002A4F0C" w:rsidRPr="002A4F0C" w:rsidRDefault="002A4F0C" w:rsidP="002A4F0C">
            <w:pPr>
              <w:spacing w:line="240" w:lineRule="auto"/>
              <w:rPr>
                <w:rFonts w:ascii="Arial" w:hAnsi="Arial"/>
                <w:szCs w:val="22"/>
              </w:rPr>
            </w:pPr>
            <w:r w:rsidRPr="002A4F0C">
              <w:rPr>
                <w:rFonts w:ascii="Arial" w:hAnsi="Arial"/>
                <w:szCs w:val="22"/>
              </w:rPr>
              <w:t>Rice NE, Bandinelli S, Corsi AM, Ferucci L, et al (2009). The paraoxonase (PON1) Q192R polymorphism is not associated with poor health status or depression in the ELSA or INCHIANTI studies. Int J Epidemiol, 38: 1374-9.</w:t>
            </w:r>
          </w:p>
        </w:tc>
      </w:tr>
      <w:tr w:rsidR="002A4F0C" w:rsidRPr="002A4F0C" w14:paraId="0E3D5227" w14:textId="77777777" w:rsidTr="002A4F0C">
        <w:trPr>
          <w:cantSplit/>
        </w:trPr>
        <w:tc>
          <w:tcPr>
            <w:tcW w:w="1575" w:type="dxa"/>
            <w:shd w:val="clear" w:color="auto" w:fill="auto"/>
            <w:noWrap/>
            <w:vAlign w:val="center"/>
          </w:tcPr>
          <w:p w14:paraId="4E8A9EED" w14:textId="77777777" w:rsidR="002A4F0C" w:rsidRPr="002A4F0C" w:rsidRDefault="002A4F0C" w:rsidP="002A4F0C">
            <w:pPr>
              <w:spacing w:line="240" w:lineRule="auto"/>
              <w:jc w:val="center"/>
              <w:rPr>
                <w:rFonts w:ascii="Arial" w:hAnsi="Arial"/>
                <w:szCs w:val="22"/>
              </w:rPr>
            </w:pPr>
            <w:r w:rsidRPr="002A4F0C">
              <w:rPr>
                <w:rFonts w:ascii="Arial" w:hAnsi="Arial"/>
                <w:szCs w:val="22"/>
              </w:rPr>
              <w:t>54753</w:t>
            </w:r>
          </w:p>
        </w:tc>
        <w:tc>
          <w:tcPr>
            <w:tcW w:w="7938" w:type="dxa"/>
            <w:shd w:val="clear" w:color="auto" w:fill="auto"/>
            <w:vAlign w:val="bottom"/>
          </w:tcPr>
          <w:p w14:paraId="36FFCBE1" w14:textId="77777777" w:rsidR="002A4F0C" w:rsidRPr="002A4F0C" w:rsidRDefault="002A4F0C" w:rsidP="002A4F0C">
            <w:pPr>
              <w:spacing w:line="240" w:lineRule="auto"/>
              <w:rPr>
                <w:rFonts w:ascii="Arial" w:hAnsi="Arial"/>
                <w:szCs w:val="22"/>
              </w:rPr>
            </w:pPr>
            <w:r w:rsidRPr="002A4F0C">
              <w:rPr>
                <w:rFonts w:ascii="Arial" w:hAnsi="Arial"/>
                <w:szCs w:val="22"/>
              </w:rPr>
              <w:t>Pall ML (2007). Gulf War Syndrome: a combination of all four (CFS, MCS, FM, and PTSD). Explaining "Unexplained Illnesses". Disease Paradigm for Chronic Fatigue Syndrome, Multiple Chemical Sensitivity, Fibromyalgia, Post-Traumatic Stress Disorder, Gulf War Syndrome, and Others. Chapter 10: 159-69. Harrington Park Press, New York.</w:t>
            </w:r>
          </w:p>
        </w:tc>
      </w:tr>
      <w:tr w:rsidR="002A4F0C" w:rsidRPr="002A4F0C" w14:paraId="239202C0" w14:textId="77777777" w:rsidTr="002A4F0C">
        <w:trPr>
          <w:cantSplit/>
        </w:trPr>
        <w:tc>
          <w:tcPr>
            <w:tcW w:w="1575" w:type="dxa"/>
            <w:shd w:val="clear" w:color="auto" w:fill="auto"/>
            <w:noWrap/>
            <w:vAlign w:val="center"/>
          </w:tcPr>
          <w:p w14:paraId="61856CB8" w14:textId="77777777" w:rsidR="002A4F0C" w:rsidRPr="002A4F0C" w:rsidRDefault="002A4F0C" w:rsidP="002A4F0C">
            <w:pPr>
              <w:spacing w:line="240" w:lineRule="auto"/>
              <w:jc w:val="center"/>
              <w:rPr>
                <w:rFonts w:ascii="Arial" w:hAnsi="Arial"/>
                <w:szCs w:val="22"/>
              </w:rPr>
            </w:pPr>
            <w:r w:rsidRPr="002A4F0C">
              <w:rPr>
                <w:rFonts w:ascii="Arial" w:hAnsi="Arial"/>
                <w:szCs w:val="22"/>
              </w:rPr>
              <w:t>55089</w:t>
            </w:r>
          </w:p>
        </w:tc>
        <w:tc>
          <w:tcPr>
            <w:tcW w:w="7938" w:type="dxa"/>
            <w:shd w:val="clear" w:color="auto" w:fill="auto"/>
            <w:vAlign w:val="bottom"/>
          </w:tcPr>
          <w:p w14:paraId="56A8C4C8" w14:textId="77777777" w:rsidR="002A4F0C" w:rsidRPr="002A4F0C" w:rsidRDefault="002A4F0C" w:rsidP="002A4F0C">
            <w:pPr>
              <w:spacing w:line="240" w:lineRule="auto"/>
              <w:rPr>
                <w:rFonts w:ascii="Arial" w:hAnsi="Arial"/>
                <w:szCs w:val="22"/>
              </w:rPr>
            </w:pPr>
            <w:r w:rsidRPr="002A4F0C">
              <w:rPr>
                <w:rFonts w:ascii="Arial" w:hAnsi="Arial"/>
                <w:szCs w:val="22"/>
              </w:rPr>
              <w:t>Centre for Military and Veterans' Health, University of Queensland (2009). East Timor Health Study Project Completion Report. Retrieved 4 November 2009, from http://www.cmvh.org.au/content/Documents/Research/EM_Report.pdf</w:t>
            </w:r>
          </w:p>
        </w:tc>
      </w:tr>
      <w:tr w:rsidR="002A4F0C" w:rsidRPr="002A4F0C" w14:paraId="46DFE9F1" w14:textId="77777777" w:rsidTr="002A4F0C">
        <w:trPr>
          <w:cantSplit/>
        </w:trPr>
        <w:tc>
          <w:tcPr>
            <w:tcW w:w="1575" w:type="dxa"/>
            <w:shd w:val="clear" w:color="auto" w:fill="auto"/>
            <w:noWrap/>
            <w:vAlign w:val="center"/>
          </w:tcPr>
          <w:p w14:paraId="33804E47" w14:textId="77777777" w:rsidR="002A4F0C" w:rsidRPr="002A4F0C" w:rsidRDefault="002A4F0C" w:rsidP="002A4F0C">
            <w:pPr>
              <w:spacing w:line="240" w:lineRule="auto"/>
              <w:jc w:val="center"/>
              <w:rPr>
                <w:rFonts w:ascii="Arial" w:hAnsi="Arial"/>
                <w:szCs w:val="22"/>
              </w:rPr>
            </w:pPr>
            <w:r w:rsidRPr="002A4F0C">
              <w:rPr>
                <w:rFonts w:ascii="Arial" w:hAnsi="Arial"/>
                <w:szCs w:val="22"/>
              </w:rPr>
              <w:t>55090</w:t>
            </w:r>
          </w:p>
        </w:tc>
        <w:tc>
          <w:tcPr>
            <w:tcW w:w="7938" w:type="dxa"/>
            <w:shd w:val="clear" w:color="auto" w:fill="auto"/>
            <w:vAlign w:val="bottom"/>
          </w:tcPr>
          <w:p w14:paraId="5C47BB0E" w14:textId="77777777" w:rsidR="002A4F0C" w:rsidRPr="002A4F0C" w:rsidRDefault="002A4F0C" w:rsidP="002A4F0C">
            <w:pPr>
              <w:spacing w:line="240" w:lineRule="auto"/>
              <w:rPr>
                <w:rFonts w:ascii="Arial" w:hAnsi="Arial"/>
                <w:szCs w:val="22"/>
              </w:rPr>
            </w:pPr>
            <w:r w:rsidRPr="002A4F0C">
              <w:rPr>
                <w:rFonts w:ascii="Arial" w:hAnsi="Arial"/>
                <w:szCs w:val="22"/>
              </w:rPr>
              <w:t>Centre for Military and Veterans' Health &amp; The University of Queensland (2009). Bougainville Health Study Project Completion Report. .  Retrieved 4 November 2009, from http://www.cmvh.org.au/content/Documents/Research/BV_Reports.pdf</w:t>
            </w:r>
          </w:p>
        </w:tc>
      </w:tr>
      <w:tr w:rsidR="002A4F0C" w:rsidRPr="002A4F0C" w14:paraId="544A52ED" w14:textId="77777777" w:rsidTr="002A4F0C">
        <w:trPr>
          <w:cantSplit/>
        </w:trPr>
        <w:tc>
          <w:tcPr>
            <w:tcW w:w="1575" w:type="dxa"/>
            <w:shd w:val="clear" w:color="auto" w:fill="auto"/>
            <w:noWrap/>
            <w:vAlign w:val="center"/>
          </w:tcPr>
          <w:p w14:paraId="171EA4EF" w14:textId="77777777" w:rsidR="002A4F0C" w:rsidRPr="002A4F0C" w:rsidRDefault="002A4F0C" w:rsidP="002A4F0C">
            <w:pPr>
              <w:spacing w:line="240" w:lineRule="auto"/>
              <w:jc w:val="center"/>
              <w:rPr>
                <w:rFonts w:ascii="Arial" w:hAnsi="Arial"/>
                <w:szCs w:val="22"/>
              </w:rPr>
            </w:pPr>
            <w:r w:rsidRPr="002A4F0C">
              <w:rPr>
                <w:rFonts w:ascii="Arial" w:hAnsi="Arial"/>
                <w:szCs w:val="22"/>
              </w:rPr>
              <w:t>55149</w:t>
            </w:r>
          </w:p>
        </w:tc>
        <w:tc>
          <w:tcPr>
            <w:tcW w:w="7938" w:type="dxa"/>
            <w:shd w:val="clear" w:color="auto" w:fill="auto"/>
            <w:vAlign w:val="bottom"/>
          </w:tcPr>
          <w:p w14:paraId="0DAA2B43" w14:textId="77777777" w:rsidR="002A4F0C" w:rsidRPr="002A4F0C" w:rsidRDefault="002A4F0C" w:rsidP="002A4F0C">
            <w:pPr>
              <w:spacing w:line="240" w:lineRule="auto"/>
              <w:rPr>
                <w:rFonts w:ascii="Arial" w:hAnsi="Arial"/>
                <w:szCs w:val="22"/>
              </w:rPr>
            </w:pPr>
            <w:r w:rsidRPr="002A4F0C">
              <w:rPr>
                <w:rFonts w:ascii="Arial" w:hAnsi="Arial"/>
                <w:szCs w:val="22"/>
              </w:rPr>
              <w:t>Pattison JE, Hugtenburg RP, Green S (2009). Enhancement of natural background gamma-radiation dose around uranium microparticles in the human body. J R Soc Interface, : [Epub ahead of print].</w:t>
            </w:r>
          </w:p>
        </w:tc>
      </w:tr>
      <w:tr w:rsidR="002A4F0C" w:rsidRPr="002A4F0C" w14:paraId="2D0DF8EB" w14:textId="77777777" w:rsidTr="002A4F0C">
        <w:trPr>
          <w:cantSplit/>
        </w:trPr>
        <w:tc>
          <w:tcPr>
            <w:tcW w:w="1575" w:type="dxa"/>
            <w:shd w:val="clear" w:color="auto" w:fill="auto"/>
            <w:noWrap/>
            <w:vAlign w:val="center"/>
          </w:tcPr>
          <w:p w14:paraId="425C20AB" w14:textId="77777777" w:rsidR="002A4F0C" w:rsidRPr="002A4F0C" w:rsidRDefault="002A4F0C" w:rsidP="002A4F0C">
            <w:pPr>
              <w:spacing w:line="240" w:lineRule="auto"/>
              <w:jc w:val="center"/>
              <w:rPr>
                <w:rFonts w:ascii="Arial" w:hAnsi="Arial"/>
                <w:szCs w:val="22"/>
              </w:rPr>
            </w:pPr>
            <w:r w:rsidRPr="002A4F0C">
              <w:rPr>
                <w:rFonts w:ascii="Arial" w:hAnsi="Arial"/>
                <w:szCs w:val="22"/>
              </w:rPr>
              <w:t>56474</w:t>
            </w:r>
          </w:p>
        </w:tc>
        <w:tc>
          <w:tcPr>
            <w:tcW w:w="7938" w:type="dxa"/>
            <w:shd w:val="clear" w:color="auto" w:fill="auto"/>
            <w:vAlign w:val="bottom"/>
          </w:tcPr>
          <w:p w14:paraId="635E2067" w14:textId="77777777" w:rsidR="002A4F0C" w:rsidRPr="002A4F0C" w:rsidRDefault="002A4F0C" w:rsidP="002A4F0C">
            <w:pPr>
              <w:spacing w:line="240" w:lineRule="auto"/>
              <w:rPr>
                <w:rFonts w:ascii="Arial" w:hAnsi="Arial"/>
                <w:szCs w:val="22"/>
              </w:rPr>
            </w:pPr>
            <w:r w:rsidRPr="002A4F0C">
              <w:rPr>
                <w:rFonts w:ascii="Arial" w:hAnsi="Arial"/>
                <w:szCs w:val="22"/>
              </w:rPr>
              <w:t>Wallin MT, Wilken J, Alfaro MH, Rogers C, et al (2009). Neuropsychologic assessment of a population-based sample of Gulf War veterans. Cog Behav Neurol, 22(3): 1155-65.</w:t>
            </w:r>
          </w:p>
        </w:tc>
      </w:tr>
      <w:tr w:rsidR="002A4F0C" w:rsidRPr="002A4F0C" w14:paraId="2061D445" w14:textId="77777777" w:rsidTr="002A4F0C">
        <w:trPr>
          <w:cantSplit/>
        </w:trPr>
        <w:tc>
          <w:tcPr>
            <w:tcW w:w="1575" w:type="dxa"/>
            <w:shd w:val="clear" w:color="auto" w:fill="auto"/>
            <w:noWrap/>
            <w:vAlign w:val="center"/>
          </w:tcPr>
          <w:p w14:paraId="0C131F9F" w14:textId="77777777" w:rsidR="002A4F0C" w:rsidRPr="002A4F0C" w:rsidRDefault="002A4F0C" w:rsidP="002A4F0C">
            <w:pPr>
              <w:spacing w:line="240" w:lineRule="auto"/>
              <w:jc w:val="center"/>
              <w:rPr>
                <w:rFonts w:ascii="Arial" w:hAnsi="Arial"/>
                <w:szCs w:val="22"/>
              </w:rPr>
            </w:pPr>
            <w:r w:rsidRPr="002A4F0C">
              <w:rPr>
                <w:rFonts w:ascii="Arial" w:hAnsi="Arial"/>
                <w:szCs w:val="22"/>
              </w:rPr>
              <w:t>56544</w:t>
            </w:r>
          </w:p>
        </w:tc>
        <w:tc>
          <w:tcPr>
            <w:tcW w:w="7938" w:type="dxa"/>
            <w:shd w:val="clear" w:color="auto" w:fill="auto"/>
            <w:vAlign w:val="bottom"/>
          </w:tcPr>
          <w:p w14:paraId="54B0DED8" w14:textId="77777777" w:rsidR="002A4F0C" w:rsidRPr="002A4F0C" w:rsidRDefault="002A4F0C" w:rsidP="002A4F0C">
            <w:pPr>
              <w:spacing w:line="240" w:lineRule="auto"/>
              <w:rPr>
                <w:rFonts w:ascii="Arial" w:hAnsi="Arial"/>
                <w:szCs w:val="22"/>
              </w:rPr>
            </w:pPr>
            <w:r w:rsidRPr="002A4F0C">
              <w:rPr>
                <w:rFonts w:ascii="Arial" w:hAnsi="Arial"/>
                <w:szCs w:val="22"/>
              </w:rPr>
              <w:t>Whistler T, Fletcher MA, Lonergan W, Zeng X-R, et al (2009). Impaired immune function in Gulf War illness. BMC Medical Genomics, 2: 12.</w:t>
            </w:r>
          </w:p>
        </w:tc>
      </w:tr>
      <w:tr w:rsidR="002A4F0C" w:rsidRPr="002A4F0C" w14:paraId="22EF4FF9" w14:textId="77777777" w:rsidTr="002A4F0C">
        <w:trPr>
          <w:cantSplit/>
        </w:trPr>
        <w:tc>
          <w:tcPr>
            <w:tcW w:w="1575" w:type="dxa"/>
            <w:shd w:val="clear" w:color="auto" w:fill="auto"/>
            <w:noWrap/>
            <w:vAlign w:val="center"/>
          </w:tcPr>
          <w:p w14:paraId="64191FB3" w14:textId="77777777" w:rsidR="002A4F0C" w:rsidRPr="002A4F0C" w:rsidRDefault="002A4F0C" w:rsidP="002A4F0C">
            <w:pPr>
              <w:spacing w:line="240" w:lineRule="auto"/>
              <w:jc w:val="center"/>
              <w:rPr>
                <w:rFonts w:ascii="Arial" w:hAnsi="Arial"/>
                <w:szCs w:val="22"/>
              </w:rPr>
            </w:pPr>
            <w:r w:rsidRPr="002A4F0C">
              <w:rPr>
                <w:rFonts w:ascii="Arial" w:hAnsi="Arial"/>
                <w:szCs w:val="22"/>
              </w:rPr>
              <w:t>56545</w:t>
            </w:r>
          </w:p>
        </w:tc>
        <w:tc>
          <w:tcPr>
            <w:tcW w:w="7938" w:type="dxa"/>
            <w:shd w:val="clear" w:color="auto" w:fill="auto"/>
            <w:vAlign w:val="bottom"/>
          </w:tcPr>
          <w:p w14:paraId="32E1FE8E" w14:textId="77777777" w:rsidR="002A4F0C" w:rsidRPr="002A4F0C" w:rsidRDefault="002A4F0C" w:rsidP="002A4F0C">
            <w:pPr>
              <w:spacing w:line="240" w:lineRule="auto"/>
              <w:rPr>
                <w:rFonts w:ascii="Arial" w:hAnsi="Arial"/>
                <w:szCs w:val="22"/>
              </w:rPr>
            </w:pPr>
            <w:r w:rsidRPr="002A4F0C">
              <w:rPr>
                <w:rFonts w:ascii="Arial" w:hAnsi="Arial"/>
                <w:szCs w:val="22"/>
              </w:rPr>
              <w:t>Kelsall HL, McKenzie DP, Sim MR, Leder K, et al (2009). Physical, psychological, and functional comorbidities of multisymptom illness in Australian male veterans of the 1991 Gulf War. Am J Epidemiol, 170(8): 1048-56.</w:t>
            </w:r>
          </w:p>
        </w:tc>
      </w:tr>
      <w:tr w:rsidR="002A4F0C" w:rsidRPr="002A4F0C" w14:paraId="60305943" w14:textId="77777777" w:rsidTr="002A4F0C">
        <w:trPr>
          <w:cantSplit/>
        </w:trPr>
        <w:tc>
          <w:tcPr>
            <w:tcW w:w="1575" w:type="dxa"/>
            <w:shd w:val="clear" w:color="auto" w:fill="auto"/>
            <w:noWrap/>
            <w:vAlign w:val="center"/>
          </w:tcPr>
          <w:p w14:paraId="51DBDABF"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57090</w:t>
            </w:r>
          </w:p>
        </w:tc>
        <w:tc>
          <w:tcPr>
            <w:tcW w:w="7938" w:type="dxa"/>
            <w:shd w:val="clear" w:color="auto" w:fill="auto"/>
            <w:vAlign w:val="bottom"/>
          </w:tcPr>
          <w:p w14:paraId="7A63C2AD" w14:textId="77777777" w:rsidR="002A4F0C" w:rsidRPr="002A4F0C" w:rsidRDefault="002A4F0C" w:rsidP="002A4F0C">
            <w:pPr>
              <w:spacing w:line="240" w:lineRule="auto"/>
              <w:rPr>
                <w:rFonts w:ascii="Arial" w:hAnsi="Arial"/>
                <w:szCs w:val="22"/>
              </w:rPr>
            </w:pPr>
            <w:r w:rsidRPr="002A4F0C">
              <w:rPr>
                <w:rFonts w:ascii="Arial" w:hAnsi="Arial"/>
                <w:szCs w:val="22"/>
              </w:rPr>
              <w:t>Committee on the review of the scientific literature on amyotrophic lateral sclerosis in veterans (2006). Amyotrophic lateral sclerosis in veterans. Review of the Scientific Literature, . National Academy Press - Washington, DC.</w:t>
            </w:r>
          </w:p>
        </w:tc>
      </w:tr>
      <w:tr w:rsidR="002A4F0C" w:rsidRPr="002A4F0C" w14:paraId="22C52B70" w14:textId="77777777" w:rsidTr="002A4F0C">
        <w:trPr>
          <w:cantSplit/>
        </w:trPr>
        <w:tc>
          <w:tcPr>
            <w:tcW w:w="1575" w:type="dxa"/>
            <w:shd w:val="clear" w:color="auto" w:fill="auto"/>
            <w:noWrap/>
            <w:vAlign w:val="center"/>
          </w:tcPr>
          <w:p w14:paraId="39DD4744"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57091</w:t>
            </w:r>
          </w:p>
        </w:tc>
        <w:tc>
          <w:tcPr>
            <w:tcW w:w="7938" w:type="dxa"/>
            <w:shd w:val="clear" w:color="auto" w:fill="auto"/>
            <w:vAlign w:val="bottom"/>
          </w:tcPr>
          <w:p w14:paraId="7903D311" w14:textId="77777777" w:rsidR="002A4F0C" w:rsidRPr="002A4F0C" w:rsidRDefault="002A4F0C" w:rsidP="002A4F0C">
            <w:pPr>
              <w:spacing w:line="240" w:lineRule="auto"/>
              <w:rPr>
                <w:rFonts w:ascii="Arial" w:hAnsi="Arial"/>
                <w:szCs w:val="22"/>
              </w:rPr>
            </w:pPr>
            <w:r w:rsidRPr="002A4F0C">
              <w:rPr>
                <w:rFonts w:ascii="Arial" w:hAnsi="Arial"/>
                <w:szCs w:val="22"/>
              </w:rPr>
              <w:t>Lee H, Jones E (2007). Clinical outcomes. War and Health: Lessons from the Gulf War,  Chapter 6. John Wiley &amp; Sons, Chichester.</w:t>
            </w:r>
          </w:p>
        </w:tc>
      </w:tr>
      <w:tr w:rsidR="002A4F0C" w:rsidRPr="002A4F0C" w14:paraId="09CB38E6" w14:textId="77777777" w:rsidTr="002A4F0C">
        <w:trPr>
          <w:cantSplit/>
        </w:trPr>
        <w:tc>
          <w:tcPr>
            <w:tcW w:w="1575" w:type="dxa"/>
            <w:shd w:val="clear" w:color="auto" w:fill="auto"/>
            <w:noWrap/>
            <w:vAlign w:val="center"/>
          </w:tcPr>
          <w:p w14:paraId="01202FB3"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57092</w:t>
            </w:r>
          </w:p>
        </w:tc>
        <w:tc>
          <w:tcPr>
            <w:tcW w:w="7938" w:type="dxa"/>
            <w:shd w:val="clear" w:color="auto" w:fill="auto"/>
            <w:vAlign w:val="bottom"/>
          </w:tcPr>
          <w:p w14:paraId="4AD2887E" w14:textId="77777777" w:rsidR="002A4F0C" w:rsidRPr="002A4F0C" w:rsidRDefault="002A4F0C" w:rsidP="002A4F0C">
            <w:pPr>
              <w:spacing w:line="240" w:lineRule="auto"/>
              <w:rPr>
                <w:rFonts w:ascii="Arial" w:hAnsi="Arial"/>
                <w:szCs w:val="22"/>
              </w:rPr>
            </w:pPr>
            <w:r w:rsidRPr="002A4F0C">
              <w:rPr>
                <w:rFonts w:ascii="Arial" w:hAnsi="Arial"/>
                <w:szCs w:val="22"/>
              </w:rPr>
              <w:t>Committee on Gulf War and Health (2010). Update of health effects of serving in the Gulf War. Gulf War and Health,  Vol 8. National Academy Press - Washington, DC.</w:t>
            </w:r>
          </w:p>
        </w:tc>
      </w:tr>
      <w:tr w:rsidR="002A4F0C" w:rsidRPr="002A4F0C" w14:paraId="021CD887" w14:textId="77777777" w:rsidTr="002A4F0C">
        <w:trPr>
          <w:cantSplit/>
        </w:trPr>
        <w:tc>
          <w:tcPr>
            <w:tcW w:w="1575" w:type="dxa"/>
            <w:shd w:val="clear" w:color="auto" w:fill="auto"/>
            <w:noWrap/>
            <w:vAlign w:val="center"/>
          </w:tcPr>
          <w:p w14:paraId="54527671"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57093</w:t>
            </w:r>
          </w:p>
        </w:tc>
        <w:tc>
          <w:tcPr>
            <w:tcW w:w="7938" w:type="dxa"/>
            <w:shd w:val="clear" w:color="auto" w:fill="auto"/>
            <w:vAlign w:val="bottom"/>
          </w:tcPr>
          <w:p w14:paraId="7A96B14D" w14:textId="77777777" w:rsidR="002A4F0C" w:rsidRPr="002A4F0C" w:rsidRDefault="002A4F0C" w:rsidP="002A4F0C">
            <w:pPr>
              <w:spacing w:line="240" w:lineRule="auto"/>
              <w:rPr>
                <w:rFonts w:ascii="Arial" w:hAnsi="Arial"/>
                <w:szCs w:val="22"/>
              </w:rPr>
            </w:pPr>
            <w:r w:rsidRPr="002A4F0C">
              <w:rPr>
                <w:rFonts w:ascii="Arial" w:hAnsi="Arial"/>
                <w:szCs w:val="22"/>
              </w:rPr>
              <w:t>Greenberg N, Wessely S (2008). Gulf War syndrome: an emerging threat or a piece of history? Emerging Health Threats Journal, 1: e10.</w:t>
            </w:r>
          </w:p>
        </w:tc>
      </w:tr>
      <w:tr w:rsidR="002A4F0C" w:rsidRPr="002A4F0C" w14:paraId="0893BC07" w14:textId="77777777" w:rsidTr="002A4F0C">
        <w:trPr>
          <w:cantSplit/>
        </w:trPr>
        <w:tc>
          <w:tcPr>
            <w:tcW w:w="1575" w:type="dxa"/>
            <w:shd w:val="clear" w:color="auto" w:fill="auto"/>
            <w:noWrap/>
            <w:vAlign w:val="center"/>
          </w:tcPr>
          <w:p w14:paraId="27AB68C5"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57094</w:t>
            </w:r>
          </w:p>
        </w:tc>
        <w:tc>
          <w:tcPr>
            <w:tcW w:w="7938" w:type="dxa"/>
            <w:shd w:val="clear" w:color="auto" w:fill="auto"/>
            <w:vAlign w:val="bottom"/>
          </w:tcPr>
          <w:p w14:paraId="75DF0A1C" w14:textId="77777777" w:rsidR="002A4F0C" w:rsidRPr="002A4F0C" w:rsidRDefault="002A4F0C" w:rsidP="002A4F0C">
            <w:pPr>
              <w:spacing w:line="240" w:lineRule="auto"/>
              <w:rPr>
                <w:rFonts w:ascii="Arial" w:hAnsi="Arial"/>
                <w:szCs w:val="22"/>
              </w:rPr>
            </w:pPr>
            <w:r w:rsidRPr="002A4F0C">
              <w:rPr>
                <w:rFonts w:ascii="Arial" w:hAnsi="Arial"/>
                <w:szCs w:val="22"/>
              </w:rPr>
              <w:t>Committee on Gulf War and Health (2004). Updated literature review of sarin. Gulf War and Health, . National Academy Press - Washington, DC.</w:t>
            </w:r>
          </w:p>
        </w:tc>
      </w:tr>
      <w:tr w:rsidR="002A4F0C" w:rsidRPr="002A4F0C" w14:paraId="36C6635C" w14:textId="77777777" w:rsidTr="002A4F0C">
        <w:trPr>
          <w:cantSplit/>
        </w:trPr>
        <w:tc>
          <w:tcPr>
            <w:tcW w:w="1575" w:type="dxa"/>
            <w:shd w:val="clear" w:color="auto" w:fill="auto"/>
            <w:noWrap/>
            <w:vAlign w:val="center"/>
          </w:tcPr>
          <w:p w14:paraId="26A102BB"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57095</w:t>
            </w:r>
          </w:p>
        </w:tc>
        <w:tc>
          <w:tcPr>
            <w:tcW w:w="7938" w:type="dxa"/>
            <w:shd w:val="clear" w:color="auto" w:fill="auto"/>
            <w:vAlign w:val="bottom"/>
          </w:tcPr>
          <w:p w14:paraId="09F27D87" w14:textId="77777777" w:rsidR="002A4F0C" w:rsidRPr="002A4F0C" w:rsidRDefault="002A4F0C" w:rsidP="002A4F0C">
            <w:pPr>
              <w:spacing w:line="240" w:lineRule="auto"/>
              <w:rPr>
                <w:rFonts w:ascii="Arial" w:hAnsi="Arial"/>
                <w:szCs w:val="22"/>
              </w:rPr>
            </w:pPr>
            <w:r w:rsidRPr="002A4F0C">
              <w:rPr>
                <w:rFonts w:ascii="Arial" w:hAnsi="Arial"/>
                <w:szCs w:val="22"/>
              </w:rPr>
              <w:t>Committee on Gulf War and Health (2008). Updated Literature Review of Depleted Uranium. Gulf War and Health, . National Academy Press - Washington, DC.</w:t>
            </w:r>
          </w:p>
        </w:tc>
      </w:tr>
      <w:tr w:rsidR="002A4F0C" w:rsidRPr="002A4F0C" w14:paraId="4425594F" w14:textId="77777777" w:rsidTr="002A4F0C">
        <w:trPr>
          <w:cantSplit/>
        </w:trPr>
        <w:tc>
          <w:tcPr>
            <w:tcW w:w="1575" w:type="dxa"/>
            <w:shd w:val="clear" w:color="auto" w:fill="auto"/>
            <w:noWrap/>
            <w:vAlign w:val="center"/>
          </w:tcPr>
          <w:p w14:paraId="73DE868D"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57096</w:t>
            </w:r>
          </w:p>
        </w:tc>
        <w:tc>
          <w:tcPr>
            <w:tcW w:w="7938" w:type="dxa"/>
            <w:shd w:val="clear" w:color="auto" w:fill="auto"/>
            <w:vAlign w:val="bottom"/>
          </w:tcPr>
          <w:p w14:paraId="3ADCD006" w14:textId="77777777" w:rsidR="002A4F0C" w:rsidRPr="002A4F0C" w:rsidRDefault="002A4F0C" w:rsidP="002A4F0C">
            <w:pPr>
              <w:spacing w:line="240" w:lineRule="auto"/>
              <w:rPr>
                <w:rFonts w:ascii="Arial" w:hAnsi="Arial"/>
                <w:szCs w:val="22"/>
              </w:rPr>
            </w:pPr>
            <w:r w:rsidRPr="002A4F0C">
              <w:rPr>
                <w:rFonts w:ascii="Arial" w:hAnsi="Arial"/>
                <w:szCs w:val="22"/>
              </w:rPr>
              <w:t>Jones E (2006). Historical approaches to post-combat disorders. Philos Trans R Soc Lond B Biol Sci, 361(1468): 533-42.</w:t>
            </w:r>
          </w:p>
        </w:tc>
      </w:tr>
      <w:tr w:rsidR="002A4F0C" w:rsidRPr="002A4F0C" w14:paraId="1A818CD8" w14:textId="77777777" w:rsidTr="002A4F0C">
        <w:trPr>
          <w:cantSplit/>
        </w:trPr>
        <w:tc>
          <w:tcPr>
            <w:tcW w:w="1575" w:type="dxa"/>
            <w:shd w:val="clear" w:color="auto" w:fill="auto"/>
            <w:noWrap/>
            <w:vAlign w:val="center"/>
          </w:tcPr>
          <w:p w14:paraId="67E01173"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57097</w:t>
            </w:r>
          </w:p>
        </w:tc>
        <w:tc>
          <w:tcPr>
            <w:tcW w:w="7938" w:type="dxa"/>
            <w:shd w:val="clear" w:color="auto" w:fill="auto"/>
            <w:vAlign w:val="bottom"/>
          </w:tcPr>
          <w:p w14:paraId="1A0A5C3F" w14:textId="77777777" w:rsidR="002A4F0C" w:rsidRPr="002A4F0C" w:rsidRDefault="002A4F0C" w:rsidP="002A4F0C">
            <w:pPr>
              <w:spacing w:line="240" w:lineRule="auto"/>
              <w:rPr>
                <w:rFonts w:ascii="Arial" w:hAnsi="Arial"/>
                <w:szCs w:val="22"/>
              </w:rPr>
            </w:pPr>
            <w:r w:rsidRPr="002A4F0C">
              <w:rPr>
                <w:rFonts w:ascii="Arial" w:hAnsi="Arial"/>
                <w:szCs w:val="22"/>
              </w:rPr>
              <w:t>Haley RW, Billecke S, La Du BN (1999). Association of low PON1 Type Q (Type A) arylesterase activity with neurologic symptom complexes in Gulf War veterans. Toxicol Appl Pharmacol, 157: 227-33.</w:t>
            </w:r>
          </w:p>
        </w:tc>
      </w:tr>
      <w:tr w:rsidR="002A4F0C" w:rsidRPr="002A4F0C" w14:paraId="5121FC09" w14:textId="77777777" w:rsidTr="002A4F0C">
        <w:trPr>
          <w:cantSplit/>
        </w:trPr>
        <w:tc>
          <w:tcPr>
            <w:tcW w:w="1575" w:type="dxa"/>
            <w:shd w:val="clear" w:color="auto" w:fill="auto"/>
            <w:noWrap/>
            <w:vAlign w:val="center"/>
          </w:tcPr>
          <w:p w14:paraId="7704F788"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57098</w:t>
            </w:r>
          </w:p>
        </w:tc>
        <w:tc>
          <w:tcPr>
            <w:tcW w:w="7938" w:type="dxa"/>
            <w:shd w:val="clear" w:color="auto" w:fill="auto"/>
            <w:vAlign w:val="bottom"/>
          </w:tcPr>
          <w:p w14:paraId="14991E09" w14:textId="77777777" w:rsidR="002A4F0C" w:rsidRPr="002A4F0C" w:rsidRDefault="002A4F0C" w:rsidP="002A4F0C">
            <w:pPr>
              <w:spacing w:line="240" w:lineRule="auto"/>
              <w:rPr>
                <w:rFonts w:ascii="Arial" w:hAnsi="Arial"/>
                <w:szCs w:val="22"/>
              </w:rPr>
            </w:pPr>
            <w:r w:rsidRPr="002A4F0C">
              <w:rPr>
                <w:rFonts w:ascii="Arial" w:hAnsi="Arial"/>
                <w:szCs w:val="22"/>
              </w:rPr>
              <w:t>Horn O, Hul J, Jones M; Horn O, Wessely S (2006). [Comments] Is there an Iraq war syndrome? Lancet, 368: 837-8. Comments on ID: 50814.</w:t>
            </w:r>
          </w:p>
        </w:tc>
      </w:tr>
      <w:tr w:rsidR="002A4F0C" w:rsidRPr="002A4F0C" w14:paraId="11E00A7A" w14:textId="77777777" w:rsidTr="002A4F0C">
        <w:trPr>
          <w:cantSplit/>
        </w:trPr>
        <w:tc>
          <w:tcPr>
            <w:tcW w:w="1575" w:type="dxa"/>
            <w:shd w:val="clear" w:color="auto" w:fill="auto"/>
            <w:noWrap/>
            <w:vAlign w:val="center"/>
          </w:tcPr>
          <w:p w14:paraId="1FCECB06" w14:textId="77777777" w:rsidR="002A4F0C" w:rsidRPr="002A4F0C" w:rsidRDefault="002A4F0C" w:rsidP="002A4F0C">
            <w:pPr>
              <w:spacing w:line="240" w:lineRule="auto"/>
              <w:jc w:val="center"/>
              <w:rPr>
                <w:rFonts w:ascii="Arial" w:hAnsi="Arial"/>
                <w:szCs w:val="22"/>
              </w:rPr>
            </w:pPr>
            <w:r w:rsidRPr="002A4F0C">
              <w:rPr>
                <w:rFonts w:ascii="Arial" w:hAnsi="Arial"/>
                <w:szCs w:val="22"/>
              </w:rPr>
              <w:t>57099</w:t>
            </w:r>
          </w:p>
        </w:tc>
        <w:tc>
          <w:tcPr>
            <w:tcW w:w="7938" w:type="dxa"/>
            <w:shd w:val="clear" w:color="auto" w:fill="auto"/>
            <w:vAlign w:val="bottom"/>
          </w:tcPr>
          <w:p w14:paraId="5B4F7248" w14:textId="77777777" w:rsidR="002A4F0C" w:rsidRPr="002A4F0C" w:rsidRDefault="002A4F0C" w:rsidP="002A4F0C">
            <w:pPr>
              <w:spacing w:line="240" w:lineRule="auto"/>
              <w:rPr>
                <w:rFonts w:ascii="Arial" w:hAnsi="Arial"/>
                <w:szCs w:val="22"/>
              </w:rPr>
            </w:pPr>
            <w:r w:rsidRPr="002A4F0C">
              <w:rPr>
                <w:rFonts w:ascii="Arial" w:hAnsi="Arial"/>
                <w:szCs w:val="22"/>
              </w:rPr>
              <w:t>Hotopf M, Hull L, Fear NT, Browne T, et al (2006). The health of UK military personnel who deployed to the 2003 Iraq war: a cohort study. Lancet, 367(9524): 1731-41.</w:t>
            </w:r>
          </w:p>
        </w:tc>
      </w:tr>
      <w:tr w:rsidR="002A4F0C" w:rsidRPr="002A4F0C" w14:paraId="1CA7000E" w14:textId="77777777" w:rsidTr="002A4F0C">
        <w:trPr>
          <w:cantSplit/>
        </w:trPr>
        <w:tc>
          <w:tcPr>
            <w:tcW w:w="1575" w:type="dxa"/>
            <w:shd w:val="clear" w:color="auto" w:fill="auto"/>
            <w:noWrap/>
            <w:vAlign w:val="center"/>
          </w:tcPr>
          <w:p w14:paraId="5AFEA763" w14:textId="77777777" w:rsidR="002A4F0C" w:rsidRPr="002A4F0C" w:rsidRDefault="002A4F0C" w:rsidP="002A4F0C">
            <w:pPr>
              <w:spacing w:line="240" w:lineRule="auto"/>
              <w:jc w:val="center"/>
              <w:rPr>
                <w:rFonts w:ascii="Arial" w:hAnsi="Arial"/>
                <w:szCs w:val="22"/>
              </w:rPr>
            </w:pPr>
            <w:r w:rsidRPr="002A4F0C">
              <w:rPr>
                <w:rFonts w:ascii="Arial" w:hAnsi="Arial"/>
                <w:szCs w:val="22"/>
              </w:rPr>
              <w:t>57100</w:t>
            </w:r>
          </w:p>
        </w:tc>
        <w:tc>
          <w:tcPr>
            <w:tcW w:w="7938" w:type="dxa"/>
            <w:shd w:val="clear" w:color="auto" w:fill="auto"/>
            <w:vAlign w:val="bottom"/>
          </w:tcPr>
          <w:p w14:paraId="76685C39" w14:textId="77777777" w:rsidR="002A4F0C" w:rsidRPr="002A4F0C" w:rsidRDefault="002A4F0C" w:rsidP="002A4F0C">
            <w:pPr>
              <w:spacing w:line="240" w:lineRule="auto"/>
              <w:rPr>
                <w:rFonts w:ascii="Arial" w:hAnsi="Arial"/>
                <w:szCs w:val="22"/>
              </w:rPr>
            </w:pPr>
            <w:r w:rsidRPr="002A4F0C">
              <w:rPr>
                <w:rFonts w:ascii="Arial" w:hAnsi="Arial"/>
                <w:szCs w:val="22"/>
              </w:rPr>
              <w:t>Murphy D, Hotopf M, Wessely S (2008). Multiple vaccinations, health, and recall bias within UK armed forces deployed to Iraq: cohort study. BMJ, 337: a220. Retrieved 9 July 2008, from http://bmj.com/cgi/content/full/337/jun30_1/a220</w:t>
            </w:r>
          </w:p>
        </w:tc>
      </w:tr>
      <w:tr w:rsidR="002A4F0C" w:rsidRPr="002A4F0C" w14:paraId="4505B8C7" w14:textId="77777777" w:rsidTr="002A4F0C">
        <w:trPr>
          <w:cantSplit/>
        </w:trPr>
        <w:tc>
          <w:tcPr>
            <w:tcW w:w="1575" w:type="dxa"/>
            <w:shd w:val="clear" w:color="auto" w:fill="auto"/>
            <w:noWrap/>
            <w:vAlign w:val="center"/>
          </w:tcPr>
          <w:p w14:paraId="4DB9CA9D" w14:textId="77777777" w:rsidR="002A4F0C" w:rsidRPr="002A4F0C" w:rsidRDefault="002A4F0C" w:rsidP="002A4F0C">
            <w:pPr>
              <w:spacing w:line="240" w:lineRule="auto"/>
              <w:jc w:val="center"/>
              <w:rPr>
                <w:rFonts w:ascii="Arial" w:hAnsi="Arial"/>
                <w:szCs w:val="22"/>
              </w:rPr>
            </w:pPr>
            <w:r w:rsidRPr="002A4F0C">
              <w:rPr>
                <w:rFonts w:ascii="Arial" w:hAnsi="Arial"/>
                <w:szCs w:val="22"/>
              </w:rPr>
              <w:t>57101</w:t>
            </w:r>
          </w:p>
        </w:tc>
        <w:tc>
          <w:tcPr>
            <w:tcW w:w="7938" w:type="dxa"/>
            <w:shd w:val="clear" w:color="auto" w:fill="auto"/>
            <w:vAlign w:val="bottom"/>
          </w:tcPr>
          <w:p w14:paraId="6B9EC558" w14:textId="77777777" w:rsidR="002A4F0C" w:rsidRPr="002A4F0C" w:rsidRDefault="002A4F0C" w:rsidP="002A4F0C">
            <w:pPr>
              <w:spacing w:line="240" w:lineRule="auto"/>
              <w:rPr>
                <w:rFonts w:ascii="Arial" w:hAnsi="Arial"/>
                <w:szCs w:val="22"/>
              </w:rPr>
            </w:pPr>
            <w:r w:rsidRPr="002A4F0C">
              <w:rPr>
                <w:rFonts w:ascii="Arial" w:hAnsi="Arial"/>
                <w:szCs w:val="22"/>
              </w:rPr>
              <w:t>Peakman M, Skowera A, Hotopf M (2006). Immunological dysfunction, vaccination and Gulf War illness. Philos Trans R Soc Lond B Biol Sci.:681-7., 361(1468): 681-7.</w:t>
            </w:r>
          </w:p>
        </w:tc>
      </w:tr>
      <w:tr w:rsidR="002A4F0C" w:rsidRPr="002A4F0C" w14:paraId="725BB4A3" w14:textId="77777777" w:rsidTr="002A4F0C">
        <w:trPr>
          <w:cantSplit/>
        </w:trPr>
        <w:tc>
          <w:tcPr>
            <w:tcW w:w="1575" w:type="dxa"/>
            <w:shd w:val="clear" w:color="auto" w:fill="auto"/>
            <w:noWrap/>
            <w:vAlign w:val="center"/>
          </w:tcPr>
          <w:p w14:paraId="078E9538" w14:textId="77777777" w:rsidR="002A4F0C" w:rsidRPr="002A4F0C" w:rsidRDefault="002A4F0C" w:rsidP="002A4F0C">
            <w:pPr>
              <w:spacing w:line="240" w:lineRule="auto"/>
              <w:jc w:val="center"/>
              <w:rPr>
                <w:rFonts w:ascii="Arial" w:hAnsi="Arial"/>
                <w:szCs w:val="22"/>
              </w:rPr>
            </w:pPr>
            <w:r w:rsidRPr="002A4F0C">
              <w:rPr>
                <w:rFonts w:ascii="Arial" w:hAnsi="Arial"/>
                <w:szCs w:val="22"/>
              </w:rPr>
              <w:t>57102</w:t>
            </w:r>
          </w:p>
        </w:tc>
        <w:tc>
          <w:tcPr>
            <w:tcW w:w="7938" w:type="dxa"/>
            <w:shd w:val="clear" w:color="auto" w:fill="auto"/>
            <w:vAlign w:val="bottom"/>
          </w:tcPr>
          <w:p w14:paraId="03FF408B" w14:textId="77777777" w:rsidR="002A4F0C" w:rsidRPr="002A4F0C" w:rsidRDefault="002A4F0C" w:rsidP="002A4F0C">
            <w:pPr>
              <w:spacing w:line="240" w:lineRule="auto"/>
              <w:rPr>
                <w:rFonts w:ascii="Arial" w:hAnsi="Arial"/>
                <w:szCs w:val="22"/>
              </w:rPr>
            </w:pPr>
            <w:r w:rsidRPr="002A4F0C">
              <w:rPr>
                <w:rFonts w:ascii="Arial" w:hAnsi="Arial"/>
                <w:szCs w:val="22"/>
              </w:rPr>
              <w:t>Research Advisory Committee on Gulf War Veterans' Illnesses (2008). Introduction. Gulf War Illness and the Health of Gulf War Veterans. Scientific Findings and Recommendations.,  Chapter 1: 29. US Government Printing Office, Washington DC.</w:t>
            </w:r>
          </w:p>
        </w:tc>
      </w:tr>
      <w:tr w:rsidR="002A4F0C" w:rsidRPr="002A4F0C" w14:paraId="7184D726" w14:textId="77777777" w:rsidTr="002A4F0C">
        <w:trPr>
          <w:cantSplit/>
        </w:trPr>
        <w:tc>
          <w:tcPr>
            <w:tcW w:w="1575" w:type="dxa"/>
            <w:shd w:val="clear" w:color="auto" w:fill="auto"/>
            <w:noWrap/>
            <w:vAlign w:val="center"/>
          </w:tcPr>
          <w:p w14:paraId="432DCE7F" w14:textId="77777777" w:rsidR="002A4F0C" w:rsidRPr="002A4F0C" w:rsidRDefault="002A4F0C" w:rsidP="002A4F0C">
            <w:pPr>
              <w:spacing w:line="240" w:lineRule="auto"/>
              <w:jc w:val="center"/>
              <w:rPr>
                <w:rFonts w:ascii="Arial" w:hAnsi="Arial"/>
                <w:szCs w:val="22"/>
              </w:rPr>
            </w:pPr>
            <w:r w:rsidRPr="002A4F0C">
              <w:rPr>
                <w:rFonts w:ascii="Arial" w:hAnsi="Arial"/>
                <w:szCs w:val="22"/>
              </w:rPr>
              <w:t>57103</w:t>
            </w:r>
          </w:p>
        </w:tc>
        <w:tc>
          <w:tcPr>
            <w:tcW w:w="7938" w:type="dxa"/>
            <w:shd w:val="clear" w:color="auto" w:fill="auto"/>
            <w:vAlign w:val="bottom"/>
          </w:tcPr>
          <w:p w14:paraId="4F57AC96" w14:textId="77777777" w:rsidR="002A4F0C" w:rsidRPr="002A4F0C" w:rsidRDefault="002A4F0C" w:rsidP="002A4F0C">
            <w:pPr>
              <w:spacing w:line="240" w:lineRule="auto"/>
              <w:rPr>
                <w:rFonts w:ascii="Arial" w:hAnsi="Arial"/>
                <w:szCs w:val="22"/>
              </w:rPr>
            </w:pPr>
            <w:r w:rsidRPr="002A4F0C">
              <w:rPr>
                <w:rFonts w:ascii="Arial" w:hAnsi="Arial"/>
                <w:szCs w:val="22"/>
              </w:rPr>
              <w:t>Rose MR, Brix KA (2006). Neurological disorders in Gulf War veterans. Philos Trans R Soc Lond B Biol Sci, 361(1468): 605-18.</w:t>
            </w:r>
          </w:p>
        </w:tc>
      </w:tr>
      <w:tr w:rsidR="002A4F0C" w:rsidRPr="002A4F0C" w14:paraId="2EBA1796" w14:textId="77777777" w:rsidTr="002A4F0C">
        <w:trPr>
          <w:cantSplit/>
        </w:trPr>
        <w:tc>
          <w:tcPr>
            <w:tcW w:w="1575" w:type="dxa"/>
            <w:shd w:val="clear" w:color="auto" w:fill="auto"/>
            <w:noWrap/>
            <w:vAlign w:val="center"/>
          </w:tcPr>
          <w:p w14:paraId="103EB2C9" w14:textId="77777777" w:rsidR="002A4F0C" w:rsidRPr="002A4F0C" w:rsidRDefault="002A4F0C" w:rsidP="002A4F0C">
            <w:pPr>
              <w:spacing w:line="240" w:lineRule="auto"/>
              <w:jc w:val="center"/>
              <w:rPr>
                <w:rFonts w:ascii="Arial" w:hAnsi="Arial"/>
                <w:szCs w:val="22"/>
              </w:rPr>
            </w:pPr>
            <w:r w:rsidRPr="002A4F0C">
              <w:rPr>
                <w:rFonts w:ascii="Arial" w:hAnsi="Arial"/>
                <w:szCs w:val="22"/>
              </w:rPr>
              <w:t>57104</w:t>
            </w:r>
          </w:p>
        </w:tc>
        <w:tc>
          <w:tcPr>
            <w:tcW w:w="7938" w:type="dxa"/>
            <w:shd w:val="clear" w:color="auto" w:fill="auto"/>
            <w:vAlign w:val="bottom"/>
          </w:tcPr>
          <w:p w14:paraId="505D84BD" w14:textId="77777777" w:rsidR="002A4F0C" w:rsidRPr="002A4F0C" w:rsidRDefault="002A4F0C" w:rsidP="002A4F0C">
            <w:pPr>
              <w:spacing w:line="240" w:lineRule="auto"/>
              <w:rPr>
                <w:rFonts w:ascii="Arial" w:hAnsi="Arial"/>
                <w:szCs w:val="22"/>
              </w:rPr>
            </w:pPr>
            <w:r w:rsidRPr="002A4F0C">
              <w:rPr>
                <w:rFonts w:ascii="Arial" w:hAnsi="Arial"/>
                <w:szCs w:val="22"/>
              </w:rPr>
              <w:t>Vasterling JJ, Bremner JD (2006). The impact of the 1991 Gulf War on the mind and brain: findings from neuropsychological and neuroimaging research. Philos Trans R Soc Lond B Biol Sci, 361(1468): 593-604.</w:t>
            </w:r>
          </w:p>
        </w:tc>
      </w:tr>
      <w:tr w:rsidR="002A4F0C" w:rsidRPr="002A4F0C" w14:paraId="6A3A95F8" w14:textId="77777777" w:rsidTr="002A4F0C">
        <w:trPr>
          <w:cantSplit/>
        </w:trPr>
        <w:tc>
          <w:tcPr>
            <w:tcW w:w="1575" w:type="dxa"/>
            <w:shd w:val="clear" w:color="auto" w:fill="auto"/>
            <w:noWrap/>
            <w:vAlign w:val="center"/>
          </w:tcPr>
          <w:p w14:paraId="34278F90" w14:textId="77777777" w:rsidR="002A4F0C" w:rsidRPr="002A4F0C" w:rsidRDefault="002A4F0C" w:rsidP="002A4F0C">
            <w:pPr>
              <w:spacing w:line="240" w:lineRule="auto"/>
              <w:jc w:val="center"/>
              <w:rPr>
                <w:rFonts w:ascii="Arial" w:hAnsi="Arial"/>
                <w:szCs w:val="22"/>
              </w:rPr>
            </w:pPr>
            <w:r w:rsidRPr="002A4F0C">
              <w:rPr>
                <w:rFonts w:ascii="Arial" w:hAnsi="Arial"/>
                <w:szCs w:val="22"/>
              </w:rPr>
              <w:t>57105</w:t>
            </w:r>
          </w:p>
        </w:tc>
        <w:tc>
          <w:tcPr>
            <w:tcW w:w="7938" w:type="dxa"/>
            <w:shd w:val="clear" w:color="auto" w:fill="auto"/>
            <w:vAlign w:val="bottom"/>
          </w:tcPr>
          <w:p w14:paraId="6CBB5862" w14:textId="77777777" w:rsidR="002A4F0C" w:rsidRPr="002A4F0C" w:rsidRDefault="002A4F0C" w:rsidP="002A4F0C">
            <w:pPr>
              <w:spacing w:line="240" w:lineRule="auto"/>
              <w:rPr>
                <w:rFonts w:ascii="Arial" w:hAnsi="Arial"/>
                <w:szCs w:val="22"/>
              </w:rPr>
            </w:pPr>
            <w:r w:rsidRPr="002A4F0C">
              <w:rPr>
                <w:rFonts w:ascii="Arial" w:hAnsi="Arial"/>
                <w:szCs w:val="22"/>
              </w:rPr>
              <w:t>Wells TS, LeardMann CA, Smith TC, Smith B, et al; Millennium Cohort Study Team (2008). Self-reported adverse health events following smallpox vaccination in a large prospective study of US military service members. Hum Vaccin, 4(2): 127-33.</w:t>
            </w:r>
          </w:p>
        </w:tc>
      </w:tr>
      <w:tr w:rsidR="002A4F0C" w:rsidRPr="002A4F0C" w14:paraId="10894C42" w14:textId="77777777" w:rsidTr="002A4F0C">
        <w:trPr>
          <w:cantSplit/>
        </w:trPr>
        <w:tc>
          <w:tcPr>
            <w:tcW w:w="1575" w:type="dxa"/>
            <w:shd w:val="clear" w:color="auto" w:fill="auto"/>
            <w:noWrap/>
            <w:vAlign w:val="center"/>
          </w:tcPr>
          <w:p w14:paraId="64983A5C" w14:textId="77777777" w:rsidR="002A4F0C" w:rsidRPr="002A4F0C" w:rsidRDefault="002A4F0C" w:rsidP="002A4F0C">
            <w:pPr>
              <w:spacing w:line="240" w:lineRule="auto"/>
              <w:jc w:val="center"/>
              <w:rPr>
                <w:rFonts w:ascii="Arial" w:hAnsi="Arial"/>
                <w:szCs w:val="22"/>
              </w:rPr>
            </w:pPr>
            <w:r w:rsidRPr="002A4F0C">
              <w:rPr>
                <w:rFonts w:ascii="Arial" w:hAnsi="Arial"/>
                <w:szCs w:val="22"/>
              </w:rPr>
              <w:t>58284</w:t>
            </w:r>
          </w:p>
        </w:tc>
        <w:tc>
          <w:tcPr>
            <w:tcW w:w="7938" w:type="dxa"/>
            <w:shd w:val="clear" w:color="auto" w:fill="auto"/>
            <w:vAlign w:val="bottom"/>
          </w:tcPr>
          <w:p w14:paraId="3F03D182" w14:textId="77777777" w:rsidR="002A4F0C" w:rsidRPr="002A4F0C" w:rsidRDefault="002A4F0C" w:rsidP="002A4F0C">
            <w:pPr>
              <w:spacing w:line="240" w:lineRule="auto"/>
              <w:rPr>
                <w:rFonts w:ascii="Arial" w:hAnsi="Arial"/>
                <w:szCs w:val="22"/>
              </w:rPr>
            </w:pPr>
            <w:r w:rsidRPr="002A4F0C">
              <w:rPr>
                <w:rFonts w:ascii="Arial" w:hAnsi="Arial"/>
                <w:szCs w:val="22"/>
              </w:rPr>
              <w:t>Axelrod SR, Morgan CA III, Southwick SM (2005). Symptoms of posttraumatic stress disorder and borderline personality disorder in veterans of operation desert storm. Am J Psychiatry, 162: 270-5.</w:t>
            </w:r>
          </w:p>
        </w:tc>
      </w:tr>
      <w:tr w:rsidR="002A4F0C" w:rsidRPr="002A4F0C" w14:paraId="65066995" w14:textId="77777777" w:rsidTr="002A4F0C">
        <w:trPr>
          <w:cantSplit/>
        </w:trPr>
        <w:tc>
          <w:tcPr>
            <w:tcW w:w="1575" w:type="dxa"/>
            <w:shd w:val="clear" w:color="auto" w:fill="auto"/>
            <w:noWrap/>
            <w:vAlign w:val="center"/>
          </w:tcPr>
          <w:p w14:paraId="7E3F4641" w14:textId="77777777" w:rsidR="002A4F0C" w:rsidRPr="002A4F0C" w:rsidRDefault="002A4F0C" w:rsidP="002A4F0C">
            <w:pPr>
              <w:spacing w:line="240" w:lineRule="auto"/>
              <w:jc w:val="center"/>
              <w:rPr>
                <w:rFonts w:ascii="Arial" w:hAnsi="Arial"/>
                <w:szCs w:val="22"/>
              </w:rPr>
            </w:pPr>
            <w:r w:rsidRPr="002A4F0C">
              <w:rPr>
                <w:rFonts w:ascii="Arial" w:hAnsi="Arial"/>
                <w:szCs w:val="22"/>
              </w:rPr>
              <w:t>60480</w:t>
            </w:r>
          </w:p>
        </w:tc>
        <w:tc>
          <w:tcPr>
            <w:tcW w:w="7938" w:type="dxa"/>
            <w:shd w:val="clear" w:color="auto" w:fill="auto"/>
            <w:vAlign w:val="bottom"/>
          </w:tcPr>
          <w:p w14:paraId="5C773A5A" w14:textId="77777777" w:rsidR="002A4F0C" w:rsidRPr="002A4F0C" w:rsidRDefault="002A4F0C" w:rsidP="002A4F0C">
            <w:pPr>
              <w:spacing w:line="240" w:lineRule="auto"/>
              <w:rPr>
                <w:rFonts w:ascii="Arial" w:hAnsi="Arial"/>
                <w:szCs w:val="22"/>
              </w:rPr>
            </w:pPr>
            <w:r w:rsidRPr="002A4F0C">
              <w:rPr>
                <w:rFonts w:ascii="Arial" w:hAnsi="Arial"/>
                <w:szCs w:val="22"/>
              </w:rPr>
              <w:t>Wolfe F, Clauw DJ, Fitzcharles M-A, Goldenberg DL, et al (2010). The American College of Rheumatology preliminary diagnostic criteria for fibromyalgia and measurement of symptom severity. Arthritis Care and Research, 62(5): 600-10.</w:t>
            </w:r>
          </w:p>
        </w:tc>
      </w:tr>
      <w:tr w:rsidR="002A4F0C" w:rsidRPr="002A4F0C" w14:paraId="140FB11E" w14:textId="77777777" w:rsidTr="002A4F0C">
        <w:trPr>
          <w:cantSplit/>
        </w:trPr>
        <w:tc>
          <w:tcPr>
            <w:tcW w:w="1575" w:type="dxa"/>
            <w:shd w:val="clear" w:color="auto" w:fill="auto"/>
            <w:noWrap/>
            <w:vAlign w:val="center"/>
          </w:tcPr>
          <w:p w14:paraId="420D5FA2" w14:textId="77777777" w:rsidR="002A4F0C" w:rsidRPr="002A4F0C" w:rsidRDefault="002A4F0C" w:rsidP="002A4F0C">
            <w:pPr>
              <w:spacing w:line="240" w:lineRule="auto"/>
              <w:jc w:val="center"/>
              <w:rPr>
                <w:rFonts w:ascii="Arial" w:hAnsi="Arial"/>
                <w:szCs w:val="22"/>
              </w:rPr>
            </w:pPr>
            <w:r w:rsidRPr="002A4F0C">
              <w:rPr>
                <w:rFonts w:ascii="Arial" w:hAnsi="Arial"/>
                <w:szCs w:val="22"/>
              </w:rPr>
              <w:t>61456</w:t>
            </w:r>
          </w:p>
        </w:tc>
        <w:tc>
          <w:tcPr>
            <w:tcW w:w="7938" w:type="dxa"/>
            <w:shd w:val="clear" w:color="auto" w:fill="auto"/>
            <w:vAlign w:val="bottom"/>
          </w:tcPr>
          <w:p w14:paraId="161A8FEA" w14:textId="77777777" w:rsidR="002A4F0C" w:rsidRPr="002A4F0C" w:rsidRDefault="002A4F0C" w:rsidP="002A4F0C">
            <w:pPr>
              <w:spacing w:line="240" w:lineRule="auto"/>
              <w:rPr>
                <w:rFonts w:ascii="Arial" w:hAnsi="Arial"/>
                <w:szCs w:val="22"/>
              </w:rPr>
            </w:pPr>
            <w:r w:rsidRPr="002A4F0C">
              <w:rPr>
                <w:rFonts w:ascii="Arial" w:hAnsi="Arial"/>
                <w:szCs w:val="22"/>
              </w:rPr>
              <w:t>International Association for the Study of Pain (1994). Classification of chronic pain. Descriptions of chronic pain syndromes and definitions of pain terms. Harold Merskey &amp; Nikolai Bogduk (Eds). Task Force on Taxonomy, 2nd Edition,. IASP Press.</w:t>
            </w:r>
          </w:p>
        </w:tc>
      </w:tr>
      <w:tr w:rsidR="002A4F0C" w:rsidRPr="002A4F0C" w14:paraId="74B20FC9" w14:textId="77777777" w:rsidTr="002A4F0C">
        <w:trPr>
          <w:cantSplit/>
        </w:trPr>
        <w:tc>
          <w:tcPr>
            <w:tcW w:w="1575" w:type="dxa"/>
            <w:shd w:val="clear" w:color="auto" w:fill="auto"/>
            <w:noWrap/>
            <w:vAlign w:val="center"/>
          </w:tcPr>
          <w:p w14:paraId="390A8CB6" w14:textId="77777777" w:rsidR="002A4F0C" w:rsidRPr="002A4F0C" w:rsidRDefault="002A4F0C" w:rsidP="002A4F0C">
            <w:pPr>
              <w:spacing w:line="240" w:lineRule="auto"/>
              <w:jc w:val="center"/>
              <w:rPr>
                <w:rFonts w:ascii="Arial" w:hAnsi="Arial"/>
                <w:szCs w:val="22"/>
              </w:rPr>
            </w:pPr>
            <w:r w:rsidRPr="002A4F0C">
              <w:rPr>
                <w:rFonts w:ascii="Arial" w:hAnsi="Arial"/>
                <w:szCs w:val="22"/>
              </w:rPr>
              <w:t>62337</w:t>
            </w:r>
          </w:p>
        </w:tc>
        <w:tc>
          <w:tcPr>
            <w:tcW w:w="7938" w:type="dxa"/>
            <w:shd w:val="clear" w:color="auto" w:fill="auto"/>
            <w:vAlign w:val="bottom"/>
          </w:tcPr>
          <w:p w14:paraId="64C50086" w14:textId="77777777" w:rsidR="002A4F0C" w:rsidRPr="002A4F0C" w:rsidRDefault="002A4F0C" w:rsidP="002A4F0C">
            <w:pPr>
              <w:spacing w:line="240" w:lineRule="auto"/>
              <w:rPr>
                <w:rFonts w:ascii="Arial" w:hAnsi="Arial"/>
                <w:szCs w:val="22"/>
              </w:rPr>
            </w:pPr>
            <w:r w:rsidRPr="002A4F0C">
              <w:rPr>
                <w:rFonts w:ascii="Arial" w:hAnsi="Arial"/>
                <w:szCs w:val="22"/>
              </w:rPr>
              <w:t>Baris D, Garrity TJ, Telles JL, Heineman EF, et al (2001). Cohort mortality study of Philadelphia firefighters. Am J Ind Med, 39: 463-76.</w:t>
            </w:r>
          </w:p>
        </w:tc>
      </w:tr>
      <w:tr w:rsidR="002A4F0C" w:rsidRPr="002A4F0C" w14:paraId="2BFEA60B" w14:textId="77777777" w:rsidTr="002A4F0C">
        <w:trPr>
          <w:cantSplit/>
        </w:trPr>
        <w:tc>
          <w:tcPr>
            <w:tcW w:w="1575" w:type="dxa"/>
            <w:shd w:val="clear" w:color="auto" w:fill="auto"/>
            <w:noWrap/>
            <w:vAlign w:val="center"/>
          </w:tcPr>
          <w:p w14:paraId="6E147C91" w14:textId="77777777" w:rsidR="002A4F0C" w:rsidRPr="002A4F0C" w:rsidRDefault="002A4F0C" w:rsidP="002A4F0C">
            <w:pPr>
              <w:spacing w:line="240" w:lineRule="auto"/>
              <w:jc w:val="center"/>
              <w:rPr>
                <w:rFonts w:ascii="Arial" w:hAnsi="Arial"/>
                <w:szCs w:val="22"/>
              </w:rPr>
            </w:pPr>
            <w:r w:rsidRPr="002A4F0C">
              <w:rPr>
                <w:rFonts w:ascii="Arial" w:hAnsi="Arial"/>
                <w:szCs w:val="22"/>
              </w:rPr>
              <w:t>63044</w:t>
            </w:r>
          </w:p>
        </w:tc>
        <w:tc>
          <w:tcPr>
            <w:tcW w:w="7938" w:type="dxa"/>
            <w:shd w:val="clear" w:color="auto" w:fill="auto"/>
            <w:vAlign w:val="bottom"/>
          </w:tcPr>
          <w:p w14:paraId="22FBABE8" w14:textId="77777777" w:rsidR="002A4F0C" w:rsidRPr="002A4F0C" w:rsidRDefault="002A4F0C" w:rsidP="002A4F0C">
            <w:pPr>
              <w:spacing w:line="240" w:lineRule="auto"/>
              <w:rPr>
                <w:rFonts w:ascii="Arial" w:hAnsi="Arial"/>
                <w:szCs w:val="22"/>
              </w:rPr>
            </w:pPr>
            <w:r w:rsidRPr="002A4F0C">
              <w:rPr>
                <w:rFonts w:ascii="Arial" w:hAnsi="Arial"/>
                <w:szCs w:val="22"/>
              </w:rPr>
              <w:t>Ponsford J, Cameron P, Fitzgerald M, Grant M, Mikocka-Walus A (2011). Long-term outcomes after uncomplicated mild traumatic brain injury: a comparison with trauma controls. J Neurotrauma, 28: 937-46.</w:t>
            </w:r>
          </w:p>
        </w:tc>
      </w:tr>
      <w:tr w:rsidR="002A4F0C" w:rsidRPr="002A4F0C" w14:paraId="12A3A6C2" w14:textId="77777777" w:rsidTr="002A4F0C">
        <w:trPr>
          <w:cantSplit/>
        </w:trPr>
        <w:tc>
          <w:tcPr>
            <w:tcW w:w="1575" w:type="dxa"/>
            <w:shd w:val="clear" w:color="auto" w:fill="auto"/>
            <w:noWrap/>
            <w:vAlign w:val="center"/>
          </w:tcPr>
          <w:p w14:paraId="6334C7C4" w14:textId="77777777" w:rsidR="002A4F0C" w:rsidRPr="002A4F0C" w:rsidRDefault="002A4F0C" w:rsidP="002A4F0C">
            <w:pPr>
              <w:spacing w:line="240" w:lineRule="auto"/>
              <w:jc w:val="center"/>
              <w:rPr>
                <w:rFonts w:ascii="Arial" w:hAnsi="Arial"/>
                <w:szCs w:val="22"/>
              </w:rPr>
            </w:pPr>
            <w:r w:rsidRPr="002A4F0C">
              <w:rPr>
                <w:rFonts w:ascii="Arial" w:hAnsi="Arial"/>
                <w:szCs w:val="22"/>
              </w:rPr>
              <w:t>63090</w:t>
            </w:r>
          </w:p>
        </w:tc>
        <w:tc>
          <w:tcPr>
            <w:tcW w:w="7938" w:type="dxa"/>
            <w:shd w:val="clear" w:color="auto" w:fill="auto"/>
            <w:vAlign w:val="bottom"/>
          </w:tcPr>
          <w:p w14:paraId="7AE086E3" w14:textId="77777777" w:rsidR="002A4F0C" w:rsidRPr="002A4F0C" w:rsidRDefault="002A4F0C" w:rsidP="002A4F0C">
            <w:pPr>
              <w:spacing w:line="240" w:lineRule="auto"/>
              <w:rPr>
                <w:rFonts w:ascii="Arial" w:hAnsi="Arial"/>
                <w:szCs w:val="22"/>
              </w:rPr>
            </w:pPr>
            <w:r w:rsidRPr="002A4F0C">
              <w:rPr>
                <w:rFonts w:ascii="Arial" w:hAnsi="Arial"/>
                <w:szCs w:val="22"/>
              </w:rPr>
              <w:t>Rohling ML,, Binder LM, Demakis GJ, Larrabee GJ, Ploetz DM, Langhinrichsen-Rohling (2011). A meta-analysis of neuropsychological outcome after mild traumatic brain injury: Re-analyses and reconsiderations of Binder et al. (1997), Frencham et al. (2005), and Pertab et al. (2009). The Clinical Neuropsychologist, 25(4): 608-23.</w:t>
            </w:r>
          </w:p>
        </w:tc>
      </w:tr>
      <w:tr w:rsidR="002A4F0C" w:rsidRPr="002A4F0C" w14:paraId="518080B3" w14:textId="77777777" w:rsidTr="002A4F0C">
        <w:trPr>
          <w:cantSplit/>
        </w:trPr>
        <w:tc>
          <w:tcPr>
            <w:tcW w:w="1575" w:type="dxa"/>
            <w:shd w:val="clear" w:color="auto" w:fill="auto"/>
            <w:noWrap/>
            <w:vAlign w:val="center"/>
          </w:tcPr>
          <w:p w14:paraId="2B41105B" w14:textId="77777777" w:rsidR="002A4F0C" w:rsidRPr="002A4F0C" w:rsidRDefault="002A4F0C" w:rsidP="002A4F0C">
            <w:pPr>
              <w:spacing w:line="240" w:lineRule="auto"/>
              <w:jc w:val="center"/>
              <w:rPr>
                <w:rFonts w:ascii="Arial" w:hAnsi="Arial"/>
                <w:szCs w:val="22"/>
              </w:rPr>
            </w:pPr>
            <w:r w:rsidRPr="002A4F0C">
              <w:rPr>
                <w:rFonts w:ascii="Arial" w:hAnsi="Arial"/>
                <w:szCs w:val="22"/>
              </w:rPr>
              <w:t>63203</w:t>
            </w:r>
          </w:p>
        </w:tc>
        <w:tc>
          <w:tcPr>
            <w:tcW w:w="7938" w:type="dxa"/>
            <w:shd w:val="clear" w:color="auto" w:fill="auto"/>
            <w:vAlign w:val="bottom"/>
          </w:tcPr>
          <w:p w14:paraId="7A1D4F84" w14:textId="77777777" w:rsidR="002A4F0C" w:rsidRPr="002A4F0C" w:rsidRDefault="002A4F0C" w:rsidP="002A4F0C">
            <w:pPr>
              <w:spacing w:line="240" w:lineRule="auto"/>
              <w:rPr>
                <w:rFonts w:ascii="Arial" w:hAnsi="Arial"/>
                <w:szCs w:val="22"/>
              </w:rPr>
            </w:pPr>
            <w:r w:rsidRPr="002A4F0C">
              <w:rPr>
                <w:rFonts w:ascii="Arial" w:hAnsi="Arial"/>
                <w:szCs w:val="22"/>
              </w:rPr>
              <w:t>Lew HL, Otis JD, Tun C, Kern RD (2009). Prevalence of chronic pain, posttraumatic stress disorder, and persistent postconcussive symptoms in OIF/OEF veterans: Polytrauma clinical triad. JRRD, 46(6): 697-702.</w:t>
            </w:r>
          </w:p>
        </w:tc>
      </w:tr>
      <w:tr w:rsidR="002A4F0C" w:rsidRPr="002A4F0C" w14:paraId="12347C48" w14:textId="77777777" w:rsidTr="002A4F0C">
        <w:trPr>
          <w:cantSplit/>
        </w:trPr>
        <w:tc>
          <w:tcPr>
            <w:tcW w:w="1575" w:type="dxa"/>
            <w:shd w:val="clear" w:color="auto" w:fill="auto"/>
            <w:noWrap/>
            <w:vAlign w:val="center"/>
          </w:tcPr>
          <w:p w14:paraId="49D635B5" w14:textId="77777777" w:rsidR="002A4F0C" w:rsidRPr="002A4F0C" w:rsidRDefault="002A4F0C" w:rsidP="002A4F0C">
            <w:pPr>
              <w:spacing w:line="240" w:lineRule="auto"/>
              <w:jc w:val="center"/>
              <w:rPr>
                <w:rFonts w:ascii="Arial" w:hAnsi="Arial"/>
                <w:szCs w:val="22"/>
              </w:rPr>
            </w:pPr>
            <w:r w:rsidRPr="002A4F0C">
              <w:rPr>
                <w:rFonts w:ascii="Arial" w:hAnsi="Arial"/>
                <w:szCs w:val="22"/>
              </w:rPr>
              <w:t>63307</w:t>
            </w:r>
          </w:p>
        </w:tc>
        <w:tc>
          <w:tcPr>
            <w:tcW w:w="7938" w:type="dxa"/>
            <w:shd w:val="clear" w:color="auto" w:fill="auto"/>
            <w:vAlign w:val="bottom"/>
          </w:tcPr>
          <w:p w14:paraId="39D7430F" w14:textId="77777777" w:rsidR="002A4F0C" w:rsidRPr="002A4F0C" w:rsidRDefault="002A4F0C" w:rsidP="002A4F0C">
            <w:pPr>
              <w:spacing w:line="240" w:lineRule="auto"/>
              <w:rPr>
                <w:rFonts w:ascii="Arial" w:hAnsi="Arial"/>
                <w:szCs w:val="22"/>
              </w:rPr>
            </w:pPr>
            <w:r w:rsidRPr="002A4F0C">
              <w:rPr>
                <w:rFonts w:ascii="Arial" w:hAnsi="Arial"/>
                <w:szCs w:val="22"/>
              </w:rPr>
              <w:t>Bogaerts K, Van Eylen L, Li W, Bresseleers J, et al (2010). Distorted symptom perception in patients with medically unexplained symptoms. J Abnorm Psychol, 119(1): 226-34.</w:t>
            </w:r>
          </w:p>
        </w:tc>
      </w:tr>
      <w:tr w:rsidR="002A4F0C" w:rsidRPr="002A4F0C" w14:paraId="3D9D5D7E" w14:textId="77777777" w:rsidTr="002A4F0C">
        <w:trPr>
          <w:cantSplit/>
        </w:trPr>
        <w:tc>
          <w:tcPr>
            <w:tcW w:w="1575" w:type="dxa"/>
            <w:shd w:val="clear" w:color="auto" w:fill="auto"/>
            <w:noWrap/>
            <w:vAlign w:val="center"/>
          </w:tcPr>
          <w:p w14:paraId="029083DE" w14:textId="77777777" w:rsidR="002A4F0C" w:rsidRPr="002A4F0C" w:rsidRDefault="002A4F0C" w:rsidP="002A4F0C">
            <w:pPr>
              <w:spacing w:line="240" w:lineRule="auto"/>
              <w:jc w:val="center"/>
              <w:rPr>
                <w:rFonts w:ascii="Arial" w:hAnsi="Arial"/>
                <w:szCs w:val="22"/>
              </w:rPr>
            </w:pPr>
            <w:r w:rsidRPr="002A4F0C">
              <w:rPr>
                <w:rFonts w:ascii="Arial" w:hAnsi="Arial"/>
                <w:szCs w:val="22"/>
              </w:rPr>
              <w:t>63308</w:t>
            </w:r>
          </w:p>
        </w:tc>
        <w:tc>
          <w:tcPr>
            <w:tcW w:w="7938" w:type="dxa"/>
            <w:shd w:val="clear" w:color="auto" w:fill="auto"/>
            <w:vAlign w:val="bottom"/>
          </w:tcPr>
          <w:p w14:paraId="7D1F877A" w14:textId="77777777" w:rsidR="002A4F0C" w:rsidRPr="002A4F0C" w:rsidRDefault="002A4F0C" w:rsidP="002A4F0C">
            <w:pPr>
              <w:spacing w:line="240" w:lineRule="auto"/>
              <w:rPr>
                <w:rFonts w:ascii="Arial" w:hAnsi="Arial"/>
                <w:szCs w:val="22"/>
              </w:rPr>
            </w:pPr>
            <w:r w:rsidRPr="002A4F0C">
              <w:rPr>
                <w:rFonts w:ascii="Arial" w:hAnsi="Arial"/>
                <w:szCs w:val="22"/>
              </w:rPr>
              <w:t>Swanson LM, Hamilton JC, Feldman MD (2010). Physician-based estimates of medically unexplained symptoms: a comparison of four case definitions. Family Practice, 27: 487-93.</w:t>
            </w:r>
          </w:p>
        </w:tc>
      </w:tr>
      <w:tr w:rsidR="002A4F0C" w:rsidRPr="002A4F0C" w14:paraId="764F9E82" w14:textId="77777777" w:rsidTr="002A4F0C">
        <w:trPr>
          <w:cantSplit/>
        </w:trPr>
        <w:tc>
          <w:tcPr>
            <w:tcW w:w="1575" w:type="dxa"/>
            <w:shd w:val="clear" w:color="auto" w:fill="auto"/>
            <w:noWrap/>
            <w:vAlign w:val="center"/>
          </w:tcPr>
          <w:p w14:paraId="5918733A" w14:textId="77777777" w:rsidR="002A4F0C" w:rsidRPr="002A4F0C" w:rsidRDefault="002A4F0C" w:rsidP="002A4F0C">
            <w:pPr>
              <w:spacing w:line="240" w:lineRule="auto"/>
              <w:jc w:val="center"/>
              <w:rPr>
                <w:rFonts w:ascii="Arial" w:hAnsi="Arial"/>
                <w:szCs w:val="22"/>
              </w:rPr>
            </w:pPr>
            <w:r w:rsidRPr="002A4F0C">
              <w:rPr>
                <w:rFonts w:ascii="Arial" w:hAnsi="Arial"/>
                <w:szCs w:val="22"/>
              </w:rPr>
              <w:t>63309</w:t>
            </w:r>
          </w:p>
        </w:tc>
        <w:tc>
          <w:tcPr>
            <w:tcW w:w="7938" w:type="dxa"/>
            <w:shd w:val="clear" w:color="auto" w:fill="auto"/>
            <w:vAlign w:val="bottom"/>
          </w:tcPr>
          <w:p w14:paraId="1A096AB7" w14:textId="77777777" w:rsidR="002A4F0C" w:rsidRPr="002A4F0C" w:rsidRDefault="002A4F0C" w:rsidP="002A4F0C">
            <w:pPr>
              <w:spacing w:line="240" w:lineRule="auto"/>
              <w:rPr>
                <w:rFonts w:ascii="Arial" w:hAnsi="Arial"/>
                <w:szCs w:val="22"/>
              </w:rPr>
            </w:pPr>
            <w:r w:rsidRPr="002A4F0C">
              <w:rPr>
                <w:rFonts w:ascii="Arial" w:hAnsi="Arial"/>
                <w:szCs w:val="22"/>
              </w:rPr>
              <w:t>Steinbrecher N, Koerber S, Frieser D, Hiller W (2011). The prevalence of medically unexplained symptoms in primary care. Psychosomatics, 52: 263-71.</w:t>
            </w:r>
          </w:p>
        </w:tc>
      </w:tr>
      <w:tr w:rsidR="002A4F0C" w:rsidRPr="002A4F0C" w14:paraId="3D7B640F" w14:textId="77777777" w:rsidTr="002A4F0C">
        <w:trPr>
          <w:cantSplit/>
        </w:trPr>
        <w:tc>
          <w:tcPr>
            <w:tcW w:w="1575" w:type="dxa"/>
            <w:shd w:val="clear" w:color="auto" w:fill="auto"/>
            <w:noWrap/>
            <w:vAlign w:val="center"/>
          </w:tcPr>
          <w:p w14:paraId="6780CB9F" w14:textId="77777777" w:rsidR="002A4F0C" w:rsidRPr="002A4F0C" w:rsidRDefault="002A4F0C" w:rsidP="002A4F0C">
            <w:pPr>
              <w:spacing w:line="240" w:lineRule="auto"/>
              <w:jc w:val="center"/>
              <w:rPr>
                <w:rFonts w:ascii="Arial" w:hAnsi="Arial"/>
                <w:szCs w:val="22"/>
              </w:rPr>
            </w:pPr>
            <w:r w:rsidRPr="002A4F0C">
              <w:rPr>
                <w:rFonts w:ascii="Arial" w:hAnsi="Arial"/>
                <w:szCs w:val="22"/>
              </w:rPr>
              <w:t>63313</w:t>
            </w:r>
          </w:p>
        </w:tc>
        <w:tc>
          <w:tcPr>
            <w:tcW w:w="7938" w:type="dxa"/>
            <w:shd w:val="clear" w:color="auto" w:fill="auto"/>
            <w:vAlign w:val="bottom"/>
          </w:tcPr>
          <w:p w14:paraId="53109044" w14:textId="77777777" w:rsidR="002A4F0C" w:rsidRPr="002A4F0C" w:rsidRDefault="002A4F0C" w:rsidP="002A4F0C">
            <w:pPr>
              <w:spacing w:line="240" w:lineRule="auto"/>
              <w:rPr>
                <w:rFonts w:ascii="Arial" w:hAnsi="Arial"/>
                <w:szCs w:val="22"/>
              </w:rPr>
            </w:pPr>
            <w:r w:rsidRPr="002A4F0C">
              <w:rPr>
                <w:rFonts w:ascii="Arial" w:hAnsi="Arial"/>
                <w:szCs w:val="22"/>
              </w:rPr>
              <w:t>Dwamena FC, Lyles JS, Frankel RM, Smith RC (2009). In their own words: qualitative study of high-utilising primary care patients with medically unexplained symptoms. BMC Family Practice, 10: 67.</w:t>
            </w:r>
          </w:p>
        </w:tc>
      </w:tr>
      <w:tr w:rsidR="002A4F0C" w:rsidRPr="002A4F0C" w14:paraId="2FBF6211" w14:textId="77777777" w:rsidTr="002A4F0C">
        <w:trPr>
          <w:cantSplit/>
        </w:trPr>
        <w:tc>
          <w:tcPr>
            <w:tcW w:w="1575" w:type="dxa"/>
            <w:shd w:val="clear" w:color="auto" w:fill="auto"/>
            <w:noWrap/>
            <w:vAlign w:val="center"/>
          </w:tcPr>
          <w:p w14:paraId="41BA67BE" w14:textId="77777777" w:rsidR="002A4F0C" w:rsidRPr="002A4F0C" w:rsidRDefault="002A4F0C" w:rsidP="002A4F0C">
            <w:pPr>
              <w:spacing w:line="240" w:lineRule="auto"/>
              <w:jc w:val="center"/>
              <w:rPr>
                <w:rFonts w:ascii="Arial" w:hAnsi="Arial"/>
                <w:szCs w:val="22"/>
              </w:rPr>
            </w:pPr>
            <w:r w:rsidRPr="002A4F0C">
              <w:rPr>
                <w:rFonts w:ascii="Arial" w:hAnsi="Arial"/>
                <w:szCs w:val="22"/>
              </w:rPr>
              <w:t>63316</w:t>
            </w:r>
          </w:p>
        </w:tc>
        <w:tc>
          <w:tcPr>
            <w:tcW w:w="7938" w:type="dxa"/>
            <w:shd w:val="clear" w:color="auto" w:fill="auto"/>
            <w:vAlign w:val="bottom"/>
          </w:tcPr>
          <w:p w14:paraId="272ACB20" w14:textId="77777777" w:rsidR="002A4F0C" w:rsidRPr="002A4F0C" w:rsidRDefault="002A4F0C" w:rsidP="002A4F0C">
            <w:pPr>
              <w:spacing w:line="240" w:lineRule="auto"/>
              <w:rPr>
                <w:rFonts w:ascii="Arial" w:hAnsi="Arial"/>
                <w:szCs w:val="22"/>
              </w:rPr>
            </w:pPr>
            <w:r w:rsidRPr="002A4F0C">
              <w:rPr>
                <w:rFonts w:ascii="Arial" w:hAnsi="Arial"/>
                <w:szCs w:val="22"/>
              </w:rPr>
              <w:t>van den Berg B, Yzermans CJ, van der Velden PG, Stellato RK, Brunekreef B (2009). Risk factors for unexplained symptoms after a disaster: a five-year longitudinal study in general practice. Psychosomatics, 50(1): 69-77.</w:t>
            </w:r>
          </w:p>
        </w:tc>
      </w:tr>
      <w:tr w:rsidR="002A4F0C" w:rsidRPr="002A4F0C" w14:paraId="43F22370" w14:textId="77777777" w:rsidTr="002A4F0C">
        <w:trPr>
          <w:cantSplit/>
        </w:trPr>
        <w:tc>
          <w:tcPr>
            <w:tcW w:w="1575" w:type="dxa"/>
            <w:shd w:val="clear" w:color="auto" w:fill="auto"/>
            <w:noWrap/>
            <w:vAlign w:val="center"/>
          </w:tcPr>
          <w:p w14:paraId="5C21FF0A" w14:textId="77777777" w:rsidR="002A4F0C" w:rsidRPr="002A4F0C" w:rsidRDefault="002A4F0C" w:rsidP="002A4F0C">
            <w:pPr>
              <w:spacing w:line="240" w:lineRule="auto"/>
              <w:jc w:val="center"/>
              <w:rPr>
                <w:rFonts w:ascii="Arial" w:hAnsi="Arial"/>
                <w:szCs w:val="22"/>
              </w:rPr>
            </w:pPr>
            <w:r w:rsidRPr="002A4F0C">
              <w:rPr>
                <w:rFonts w:ascii="Arial" w:hAnsi="Arial"/>
                <w:szCs w:val="22"/>
              </w:rPr>
              <w:t>63336</w:t>
            </w:r>
          </w:p>
        </w:tc>
        <w:tc>
          <w:tcPr>
            <w:tcW w:w="7938" w:type="dxa"/>
            <w:shd w:val="clear" w:color="auto" w:fill="auto"/>
            <w:vAlign w:val="bottom"/>
          </w:tcPr>
          <w:p w14:paraId="1F420CCF" w14:textId="77777777" w:rsidR="002A4F0C" w:rsidRPr="002A4F0C" w:rsidRDefault="002A4F0C" w:rsidP="002A4F0C">
            <w:pPr>
              <w:spacing w:line="240" w:lineRule="auto"/>
              <w:rPr>
                <w:rFonts w:ascii="Arial" w:hAnsi="Arial"/>
                <w:szCs w:val="22"/>
              </w:rPr>
            </w:pPr>
            <w:r w:rsidRPr="002A4F0C">
              <w:rPr>
                <w:rFonts w:ascii="Arial" w:hAnsi="Arial"/>
                <w:szCs w:val="22"/>
              </w:rPr>
              <w:t>Rumage C, Falca-Dodson M, Santos S, Teichman R (2011). Medically unexplained symptoms in the veteran population: Challenges and opportunities. MD Advisor, 4(2): 34-6.</w:t>
            </w:r>
          </w:p>
        </w:tc>
      </w:tr>
      <w:tr w:rsidR="002A4F0C" w:rsidRPr="002A4F0C" w14:paraId="7A5F82EC" w14:textId="77777777" w:rsidTr="002A4F0C">
        <w:trPr>
          <w:cantSplit/>
        </w:trPr>
        <w:tc>
          <w:tcPr>
            <w:tcW w:w="1575" w:type="dxa"/>
            <w:shd w:val="clear" w:color="auto" w:fill="auto"/>
            <w:noWrap/>
            <w:vAlign w:val="center"/>
          </w:tcPr>
          <w:p w14:paraId="3B46490B" w14:textId="77777777" w:rsidR="002A4F0C" w:rsidRPr="002A4F0C" w:rsidRDefault="002A4F0C" w:rsidP="002A4F0C">
            <w:pPr>
              <w:spacing w:line="240" w:lineRule="auto"/>
              <w:jc w:val="center"/>
              <w:rPr>
                <w:rFonts w:ascii="Arial" w:hAnsi="Arial"/>
                <w:szCs w:val="22"/>
              </w:rPr>
            </w:pPr>
            <w:r w:rsidRPr="002A4F0C">
              <w:rPr>
                <w:rFonts w:ascii="Arial" w:hAnsi="Arial"/>
                <w:szCs w:val="22"/>
              </w:rPr>
              <w:t>63337</w:t>
            </w:r>
          </w:p>
        </w:tc>
        <w:tc>
          <w:tcPr>
            <w:tcW w:w="7938" w:type="dxa"/>
            <w:shd w:val="clear" w:color="auto" w:fill="auto"/>
            <w:vAlign w:val="bottom"/>
          </w:tcPr>
          <w:p w14:paraId="126CFE2B" w14:textId="77777777" w:rsidR="002A4F0C" w:rsidRPr="002A4F0C" w:rsidRDefault="002A4F0C" w:rsidP="002A4F0C">
            <w:pPr>
              <w:spacing w:line="240" w:lineRule="auto"/>
              <w:rPr>
                <w:rFonts w:ascii="Arial" w:hAnsi="Arial"/>
                <w:szCs w:val="22"/>
              </w:rPr>
            </w:pPr>
            <w:r w:rsidRPr="002A4F0C">
              <w:rPr>
                <w:rFonts w:ascii="Arial" w:hAnsi="Arial"/>
                <w:szCs w:val="22"/>
              </w:rPr>
              <w:t>LaFrance WC (2009). Somatoform disorders. Seminars in Neurology, 29(3): 234-46.</w:t>
            </w:r>
          </w:p>
        </w:tc>
      </w:tr>
      <w:tr w:rsidR="002A4F0C" w:rsidRPr="002A4F0C" w14:paraId="501C7B91" w14:textId="77777777" w:rsidTr="002A4F0C">
        <w:trPr>
          <w:cantSplit/>
        </w:trPr>
        <w:tc>
          <w:tcPr>
            <w:tcW w:w="1575" w:type="dxa"/>
            <w:shd w:val="clear" w:color="auto" w:fill="auto"/>
            <w:noWrap/>
            <w:vAlign w:val="center"/>
          </w:tcPr>
          <w:p w14:paraId="3D2E86A1" w14:textId="77777777" w:rsidR="002A4F0C" w:rsidRPr="002A4F0C" w:rsidRDefault="002A4F0C" w:rsidP="002A4F0C">
            <w:pPr>
              <w:spacing w:line="240" w:lineRule="auto"/>
              <w:jc w:val="center"/>
              <w:rPr>
                <w:rFonts w:ascii="Arial" w:hAnsi="Arial"/>
                <w:szCs w:val="22"/>
              </w:rPr>
            </w:pPr>
            <w:r w:rsidRPr="002A4F0C">
              <w:rPr>
                <w:rFonts w:ascii="Arial" w:hAnsi="Arial"/>
                <w:szCs w:val="22"/>
              </w:rPr>
              <w:t>63351</w:t>
            </w:r>
          </w:p>
        </w:tc>
        <w:tc>
          <w:tcPr>
            <w:tcW w:w="7938" w:type="dxa"/>
            <w:shd w:val="clear" w:color="auto" w:fill="auto"/>
            <w:vAlign w:val="bottom"/>
          </w:tcPr>
          <w:p w14:paraId="3CEFA1BC" w14:textId="77777777" w:rsidR="002A4F0C" w:rsidRPr="002A4F0C" w:rsidRDefault="002A4F0C" w:rsidP="002A4F0C">
            <w:pPr>
              <w:spacing w:line="240" w:lineRule="auto"/>
              <w:rPr>
                <w:rFonts w:ascii="Arial" w:hAnsi="Arial"/>
                <w:szCs w:val="22"/>
              </w:rPr>
            </w:pPr>
            <w:r w:rsidRPr="002A4F0C">
              <w:rPr>
                <w:rFonts w:ascii="Arial" w:hAnsi="Arial"/>
                <w:szCs w:val="22"/>
              </w:rPr>
              <w:t>Ladwig KH, Marten-Mittag B, Lacruz ME, Henningsen P, Creed F (2010). Screening for multiple somatic complaints in a population-based survey: Does excessive symptom reporting capture the concept of somatic symptom disorders? Findings from the  MONICA-KORA cohort study. J Psychosomatic Res, 68: 427-37.</w:t>
            </w:r>
          </w:p>
        </w:tc>
      </w:tr>
      <w:tr w:rsidR="002A4F0C" w:rsidRPr="002A4F0C" w14:paraId="19EC7ECF" w14:textId="77777777" w:rsidTr="002A4F0C">
        <w:trPr>
          <w:cantSplit/>
        </w:trPr>
        <w:tc>
          <w:tcPr>
            <w:tcW w:w="1575" w:type="dxa"/>
            <w:shd w:val="clear" w:color="auto" w:fill="auto"/>
            <w:noWrap/>
            <w:vAlign w:val="center"/>
          </w:tcPr>
          <w:p w14:paraId="6FBD5472" w14:textId="77777777" w:rsidR="002A4F0C" w:rsidRPr="002A4F0C" w:rsidRDefault="002A4F0C" w:rsidP="002A4F0C">
            <w:pPr>
              <w:spacing w:line="240" w:lineRule="auto"/>
              <w:jc w:val="center"/>
              <w:rPr>
                <w:rFonts w:ascii="Arial" w:hAnsi="Arial"/>
                <w:szCs w:val="22"/>
              </w:rPr>
            </w:pPr>
            <w:r w:rsidRPr="002A4F0C">
              <w:rPr>
                <w:rFonts w:ascii="Arial" w:hAnsi="Arial"/>
                <w:szCs w:val="22"/>
              </w:rPr>
              <w:t>64631</w:t>
            </w:r>
          </w:p>
        </w:tc>
        <w:tc>
          <w:tcPr>
            <w:tcW w:w="7938" w:type="dxa"/>
            <w:shd w:val="clear" w:color="auto" w:fill="auto"/>
            <w:vAlign w:val="bottom"/>
          </w:tcPr>
          <w:p w14:paraId="4D5D9366" w14:textId="77777777" w:rsidR="002A4F0C" w:rsidRPr="002A4F0C" w:rsidRDefault="002A4F0C" w:rsidP="002A4F0C">
            <w:pPr>
              <w:spacing w:line="240" w:lineRule="auto"/>
              <w:rPr>
                <w:rFonts w:ascii="Arial" w:hAnsi="Arial"/>
                <w:szCs w:val="22"/>
              </w:rPr>
            </w:pPr>
            <w:r w:rsidRPr="002A4F0C">
              <w:rPr>
                <w:rFonts w:ascii="Arial" w:hAnsi="Arial"/>
                <w:szCs w:val="22"/>
              </w:rPr>
              <w:t>Creed F (2009). The outcome of medically unexplained symptoms - will DSM-V improve on DSM-IV somatoform disorders? J Psychosom Res, 66: 379-81.</w:t>
            </w:r>
          </w:p>
        </w:tc>
      </w:tr>
      <w:tr w:rsidR="002A4F0C" w:rsidRPr="002A4F0C" w14:paraId="1F277711" w14:textId="77777777" w:rsidTr="002A4F0C">
        <w:trPr>
          <w:cantSplit/>
        </w:trPr>
        <w:tc>
          <w:tcPr>
            <w:tcW w:w="1575" w:type="dxa"/>
            <w:shd w:val="clear" w:color="auto" w:fill="auto"/>
            <w:noWrap/>
            <w:vAlign w:val="center"/>
          </w:tcPr>
          <w:p w14:paraId="20C97B01" w14:textId="77777777" w:rsidR="002A4F0C" w:rsidRPr="002A4F0C" w:rsidRDefault="002A4F0C" w:rsidP="002A4F0C">
            <w:pPr>
              <w:spacing w:line="240" w:lineRule="auto"/>
              <w:jc w:val="center"/>
              <w:rPr>
                <w:rFonts w:ascii="Arial" w:hAnsi="Arial"/>
                <w:szCs w:val="22"/>
              </w:rPr>
            </w:pPr>
            <w:r w:rsidRPr="002A4F0C">
              <w:rPr>
                <w:rFonts w:ascii="Arial" w:hAnsi="Arial"/>
                <w:szCs w:val="22"/>
              </w:rPr>
              <w:t>65097</w:t>
            </w:r>
          </w:p>
        </w:tc>
        <w:tc>
          <w:tcPr>
            <w:tcW w:w="7938" w:type="dxa"/>
            <w:shd w:val="clear" w:color="auto" w:fill="auto"/>
            <w:vAlign w:val="bottom"/>
          </w:tcPr>
          <w:p w14:paraId="6C80AADB" w14:textId="77777777" w:rsidR="002A4F0C" w:rsidRPr="002A4F0C" w:rsidRDefault="002A4F0C" w:rsidP="002A4F0C">
            <w:pPr>
              <w:spacing w:line="240" w:lineRule="auto"/>
              <w:rPr>
                <w:rFonts w:ascii="Arial" w:hAnsi="Arial"/>
                <w:szCs w:val="22"/>
              </w:rPr>
            </w:pPr>
            <w:r w:rsidRPr="002A4F0C">
              <w:rPr>
                <w:rFonts w:ascii="Arial" w:hAnsi="Arial"/>
                <w:szCs w:val="22"/>
              </w:rPr>
              <w:t>Postlewaite RC (2012). Theater burn pit emissions and possible health effects - POWER POINT PRESENTATION. US Defense &amp; Health Affairs .</w:t>
            </w:r>
          </w:p>
        </w:tc>
      </w:tr>
      <w:tr w:rsidR="002A4F0C" w:rsidRPr="002A4F0C" w14:paraId="5BF078BF" w14:textId="77777777" w:rsidTr="002A4F0C">
        <w:trPr>
          <w:cantSplit/>
        </w:trPr>
        <w:tc>
          <w:tcPr>
            <w:tcW w:w="1575" w:type="dxa"/>
            <w:shd w:val="clear" w:color="auto" w:fill="auto"/>
            <w:noWrap/>
            <w:vAlign w:val="center"/>
          </w:tcPr>
          <w:p w14:paraId="480F830B" w14:textId="77777777" w:rsidR="002A4F0C" w:rsidRPr="002A4F0C" w:rsidRDefault="002A4F0C" w:rsidP="002A4F0C">
            <w:pPr>
              <w:spacing w:line="240" w:lineRule="auto"/>
              <w:jc w:val="center"/>
              <w:rPr>
                <w:rFonts w:ascii="Arial" w:hAnsi="Arial"/>
                <w:szCs w:val="22"/>
              </w:rPr>
            </w:pPr>
            <w:r w:rsidRPr="002A4F0C">
              <w:rPr>
                <w:rFonts w:ascii="Arial" w:hAnsi="Arial"/>
                <w:szCs w:val="22"/>
              </w:rPr>
              <w:t>66136</w:t>
            </w:r>
          </w:p>
        </w:tc>
        <w:tc>
          <w:tcPr>
            <w:tcW w:w="7938" w:type="dxa"/>
            <w:shd w:val="clear" w:color="auto" w:fill="auto"/>
            <w:vAlign w:val="bottom"/>
          </w:tcPr>
          <w:p w14:paraId="16231BDC" w14:textId="77777777" w:rsidR="002A4F0C" w:rsidRPr="002A4F0C" w:rsidRDefault="002A4F0C" w:rsidP="002A4F0C">
            <w:pPr>
              <w:spacing w:line="240" w:lineRule="auto"/>
              <w:rPr>
                <w:rFonts w:ascii="Arial" w:hAnsi="Arial"/>
                <w:szCs w:val="22"/>
              </w:rPr>
            </w:pPr>
            <w:r w:rsidRPr="002A4F0C">
              <w:rPr>
                <w:rFonts w:ascii="Arial" w:hAnsi="Arial"/>
                <w:szCs w:val="22"/>
              </w:rPr>
              <w:t>Nicolson GL, Nicolson NL (1996). Diagnosis and treatment of mycoplasmal infections in Persian Gulf War illnesses-CFIDS patients. Int J Occup Med Immun Toxicol, 5: 83-86, Epub.</w:t>
            </w:r>
          </w:p>
        </w:tc>
      </w:tr>
      <w:tr w:rsidR="002A4F0C" w:rsidRPr="002A4F0C" w14:paraId="63026B21" w14:textId="77777777" w:rsidTr="002A4F0C">
        <w:trPr>
          <w:cantSplit/>
        </w:trPr>
        <w:tc>
          <w:tcPr>
            <w:tcW w:w="1575" w:type="dxa"/>
            <w:shd w:val="clear" w:color="auto" w:fill="auto"/>
            <w:noWrap/>
            <w:vAlign w:val="center"/>
          </w:tcPr>
          <w:p w14:paraId="33552F93"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66320</w:t>
            </w:r>
          </w:p>
        </w:tc>
        <w:tc>
          <w:tcPr>
            <w:tcW w:w="7938" w:type="dxa"/>
            <w:shd w:val="clear" w:color="auto" w:fill="auto"/>
            <w:vAlign w:val="bottom"/>
          </w:tcPr>
          <w:p w14:paraId="660EDB5D" w14:textId="77777777" w:rsidR="002A4F0C" w:rsidRPr="002A4F0C" w:rsidRDefault="002A4F0C" w:rsidP="002A4F0C">
            <w:pPr>
              <w:spacing w:line="240" w:lineRule="auto"/>
              <w:rPr>
                <w:rFonts w:ascii="Arial" w:hAnsi="Arial"/>
                <w:szCs w:val="22"/>
              </w:rPr>
            </w:pPr>
            <w:r w:rsidRPr="002A4F0C">
              <w:rPr>
                <w:rFonts w:ascii="Arial" w:hAnsi="Arial"/>
                <w:szCs w:val="22"/>
              </w:rPr>
              <w:t>Tillman GD, Calley CS, Green TA, Buhl VI et al (2012). Visual event-related potentials as markers of hyperarousal in Gulf War illness: Evidence against a stress-related etiology. Psychiatry Research: Neuroimaging, : Epub ahead of print.</w:t>
            </w:r>
          </w:p>
        </w:tc>
      </w:tr>
      <w:tr w:rsidR="002A4F0C" w:rsidRPr="002A4F0C" w14:paraId="54F758CF" w14:textId="77777777" w:rsidTr="002A4F0C">
        <w:trPr>
          <w:cantSplit/>
        </w:trPr>
        <w:tc>
          <w:tcPr>
            <w:tcW w:w="1575" w:type="dxa"/>
            <w:shd w:val="clear" w:color="auto" w:fill="auto"/>
            <w:noWrap/>
            <w:vAlign w:val="center"/>
          </w:tcPr>
          <w:p w14:paraId="6ED4C3DA"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66321</w:t>
            </w:r>
          </w:p>
        </w:tc>
        <w:tc>
          <w:tcPr>
            <w:tcW w:w="7938" w:type="dxa"/>
            <w:shd w:val="clear" w:color="auto" w:fill="auto"/>
            <w:vAlign w:val="bottom"/>
          </w:tcPr>
          <w:p w14:paraId="736A6D7D" w14:textId="77777777" w:rsidR="002A4F0C" w:rsidRPr="002A4F0C" w:rsidRDefault="002A4F0C" w:rsidP="002A4F0C">
            <w:pPr>
              <w:spacing w:line="240" w:lineRule="auto"/>
              <w:rPr>
                <w:rFonts w:ascii="Arial" w:hAnsi="Arial"/>
                <w:szCs w:val="22"/>
              </w:rPr>
            </w:pPr>
            <w:r w:rsidRPr="002A4F0C">
              <w:rPr>
                <w:rFonts w:ascii="Arial" w:hAnsi="Arial"/>
                <w:szCs w:val="22"/>
              </w:rPr>
              <w:t>Gopinath K, Gandhi P, Goyal A, Jiang L et al (2012). FMRI reveals abnormal central processing of sensory and pain stimuli in ill Gulf War veterans. NeuroToxicology, 33: 261-71.</w:t>
            </w:r>
          </w:p>
        </w:tc>
      </w:tr>
      <w:tr w:rsidR="002A4F0C" w:rsidRPr="002A4F0C" w14:paraId="797B7FE9" w14:textId="77777777" w:rsidTr="002A4F0C">
        <w:trPr>
          <w:cantSplit/>
        </w:trPr>
        <w:tc>
          <w:tcPr>
            <w:tcW w:w="1575" w:type="dxa"/>
            <w:shd w:val="clear" w:color="auto" w:fill="auto"/>
            <w:noWrap/>
            <w:vAlign w:val="center"/>
          </w:tcPr>
          <w:p w14:paraId="3016D58A"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66322</w:t>
            </w:r>
          </w:p>
        </w:tc>
        <w:tc>
          <w:tcPr>
            <w:tcW w:w="7938" w:type="dxa"/>
            <w:shd w:val="clear" w:color="auto" w:fill="auto"/>
            <w:vAlign w:val="bottom"/>
          </w:tcPr>
          <w:p w14:paraId="770AEEE3" w14:textId="77777777" w:rsidR="002A4F0C" w:rsidRPr="002A4F0C" w:rsidRDefault="002A4F0C" w:rsidP="002A4F0C">
            <w:pPr>
              <w:spacing w:line="240" w:lineRule="auto"/>
              <w:rPr>
                <w:rFonts w:ascii="Arial" w:hAnsi="Arial"/>
                <w:szCs w:val="22"/>
              </w:rPr>
            </w:pPr>
            <w:r w:rsidRPr="002A4F0C">
              <w:rPr>
                <w:rFonts w:ascii="Arial" w:hAnsi="Arial"/>
                <w:szCs w:val="22"/>
              </w:rPr>
              <w:t>Delcher C, Wang Y (2012). RE: "Longitudinal health study of US 1991 Gulf War veterans: changes in health status at 10-year follow-up". Am J Epidemiol, 175(5): 473.</w:t>
            </w:r>
          </w:p>
        </w:tc>
      </w:tr>
      <w:tr w:rsidR="002A4F0C" w:rsidRPr="002A4F0C" w14:paraId="218470E6" w14:textId="77777777" w:rsidTr="002A4F0C">
        <w:trPr>
          <w:cantSplit/>
        </w:trPr>
        <w:tc>
          <w:tcPr>
            <w:tcW w:w="1575" w:type="dxa"/>
            <w:shd w:val="clear" w:color="auto" w:fill="auto"/>
            <w:noWrap/>
            <w:vAlign w:val="center"/>
          </w:tcPr>
          <w:p w14:paraId="11E6FAD1"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66323</w:t>
            </w:r>
          </w:p>
        </w:tc>
        <w:tc>
          <w:tcPr>
            <w:tcW w:w="7938" w:type="dxa"/>
            <w:shd w:val="clear" w:color="auto" w:fill="auto"/>
            <w:vAlign w:val="bottom"/>
          </w:tcPr>
          <w:p w14:paraId="6530F06D" w14:textId="77777777" w:rsidR="002A4F0C" w:rsidRPr="002A4F0C" w:rsidRDefault="002A4F0C" w:rsidP="002A4F0C">
            <w:pPr>
              <w:spacing w:line="240" w:lineRule="auto"/>
              <w:rPr>
                <w:rFonts w:ascii="Arial" w:hAnsi="Arial"/>
                <w:szCs w:val="22"/>
              </w:rPr>
            </w:pPr>
            <w:r w:rsidRPr="002A4F0C">
              <w:rPr>
                <w:rFonts w:ascii="Arial" w:hAnsi="Arial"/>
                <w:szCs w:val="22"/>
              </w:rPr>
              <w:t>McKenzie DP, Creamer M, Kelsall HL, Forbes AB et al (2010). Temporal relationships between Gulf War deployment and subsequent psychological disorders in Royal Australian Navy Gulf War veterans. Soc Psychiat Epidemiol, 45: 843-52.</w:t>
            </w:r>
          </w:p>
        </w:tc>
      </w:tr>
      <w:tr w:rsidR="002A4F0C" w:rsidRPr="002A4F0C" w14:paraId="5217982E" w14:textId="77777777" w:rsidTr="002A4F0C">
        <w:trPr>
          <w:cantSplit/>
        </w:trPr>
        <w:tc>
          <w:tcPr>
            <w:tcW w:w="1575" w:type="dxa"/>
            <w:shd w:val="clear" w:color="auto" w:fill="auto"/>
            <w:noWrap/>
            <w:vAlign w:val="center"/>
          </w:tcPr>
          <w:p w14:paraId="70EBDF39"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66324</w:t>
            </w:r>
          </w:p>
        </w:tc>
        <w:tc>
          <w:tcPr>
            <w:tcW w:w="7938" w:type="dxa"/>
            <w:shd w:val="clear" w:color="auto" w:fill="auto"/>
            <w:vAlign w:val="bottom"/>
          </w:tcPr>
          <w:p w14:paraId="23DF8C57" w14:textId="77777777" w:rsidR="002A4F0C" w:rsidRPr="002A4F0C" w:rsidRDefault="002A4F0C" w:rsidP="002A4F0C">
            <w:pPr>
              <w:spacing w:line="240" w:lineRule="auto"/>
              <w:rPr>
                <w:rFonts w:ascii="Arial" w:hAnsi="Arial"/>
                <w:szCs w:val="22"/>
              </w:rPr>
            </w:pPr>
            <w:r w:rsidRPr="002A4F0C">
              <w:rPr>
                <w:rFonts w:ascii="Arial" w:hAnsi="Arial"/>
                <w:szCs w:val="22"/>
              </w:rPr>
              <w:t>Abouzeid M, Kelsall HL, Forbes AB, Sim MR, Creamer MC (2012). Posttraumatic stress disorder and hypertension in Australian veterans of the 1991 Gulf War. Journal of Psychosomatic Research, 72: 33-8.</w:t>
            </w:r>
          </w:p>
        </w:tc>
      </w:tr>
      <w:tr w:rsidR="002A4F0C" w:rsidRPr="002A4F0C" w14:paraId="60F6DEA6" w14:textId="77777777" w:rsidTr="002A4F0C">
        <w:trPr>
          <w:cantSplit/>
        </w:trPr>
        <w:tc>
          <w:tcPr>
            <w:tcW w:w="1575" w:type="dxa"/>
            <w:shd w:val="clear" w:color="auto" w:fill="auto"/>
            <w:noWrap/>
            <w:vAlign w:val="center"/>
          </w:tcPr>
          <w:p w14:paraId="6E360DDA"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66325</w:t>
            </w:r>
          </w:p>
        </w:tc>
        <w:tc>
          <w:tcPr>
            <w:tcW w:w="7938" w:type="dxa"/>
            <w:shd w:val="clear" w:color="auto" w:fill="auto"/>
            <w:vAlign w:val="bottom"/>
          </w:tcPr>
          <w:p w14:paraId="2ABE48AD" w14:textId="77777777" w:rsidR="002A4F0C" w:rsidRPr="002A4F0C" w:rsidRDefault="002A4F0C" w:rsidP="002A4F0C">
            <w:pPr>
              <w:spacing w:line="240" w:lineRule="auto"/>
              <w:rPr>
                <w:rFonts w:ascii="Arial" w:hAnsi="Arial"/>
                <w:szCs w:val="22"/>
              </w:rPr>
            </w:pPr>
            <w:r w:rsidRPr="002A4F0C">
              <w:rPr>
                <w:rFonts w:ascii="Arial" w:hAnsi="Arial"/>
                <w:szCs w:val="22"/>
              </w:rPr>
              <w:t>Richards EE (2011). Responses to occupational and environmental exposures in the U.S. military-World War II to the present. Military Medicine, 176(7): 22-8.</w:t>
            </w:r>
          </w:p>
        </w:tc>
      </w:tr>
      <w:tr w:rsidR="002A4F0C" w:rsidRPr="002A4F0C" w14:paraId="5EBE59B8" w14:textId="77777777" w:rsidTr="002A4F0C">
        <w:trPr>
          <w:cantSplit/>
        </w:trPr>
        <w:tc>
          <w:tcPr>
            <w:tcW w:w="1575" w:type="dxa"/>
            <w:shd w:val="clear" w:color="auto" w:fill="auto"/>
            <w:noWrap/>
            <w:vAlign w:val="center"/>
          </w:tcPr>
          <w:p w14:paraId="79C88348"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66326</w:t>
            </w:r>
          </w:p>
        </w:tc>
        <w:tc>
          <w:tcPr>
            <w:tcW w:w="7938" w:type="dxa"/>
            <w:shd w:val="clear" w:color="auto" w:fill="auto"/>
            <w:vAlign w:val="bottom"/>
          </w:tcPr>
          <w:p w14:paraId="1C616076" w14:textId="77777777" w:rsidR="002A4F0C" w:rsidRPr="002A4F0C" w:rsidRDefault="002A4F0C" w:rsidP="002A4F0C">
            <w:pPr>
              <w:spacing w:line="240" w:lineRule="auto"/>
              <w:rPr>
                <w:rFonts w:ascii="Arial" w:hAnsi="Arial"/>
                <w:szCs w:val="22"/>
              </w:rPr>
            </w:pPr>
            <w:r w:rsidRPr="002A4F0C">
              <w:rPr>
                <w:rFonts w:ascii="Arial" w:hAnsi="Arial"/>
                <w:szCs w:val="22"/>
              </w:rPr>
              <w:t>Li X, Spence JS, Buhner DM, Hart J et al (2011). Hippocampal dysfunction in Gulf War Veterans: Investigation with ASL Perfusion MR Imaging and physostigmine challenge. Radiology, 261(1): 218-25.</w:t>
            </w:r>
          </w:p>
        </w:tc>
      </w:tr>
      <w:tr w:rsidR="002A4F0C" w:rsidRPr="002A4F0C" w14:paraId="27430695" w14:textId="77777777" w:rsidTr="002A4F0C">
        <w:trPr>
          <w:cantSplit/>
        </w:trPr>
        <w:tc>
          <w:tcPr>
            <w:tcW w:w="1575" w:type="dxa"/>
            <w:shd w:val="clear" w:color="auto" w:fill="auto"/>
            <w:noWrap/>
            <w:vAlign w:val="center"/>
          </w:tcPr>
          <w:p w14:paraId="4784D34A"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66327</w:t>
            </w:r>
          </w:p>
        </w:tc>
        <w:tc>
          <w:tcPr>
            <w:tcW w:w="7938" w:type="dxa"/>
            <w:shd w:val="clear" w:color="auto" w:fill="auto"/>
            <w:vAlign w:val="bottom"/>
          </w:tcPr>
          <w:p w14:paraId="4DAAA9DB" w14:textId="77777777" w:rsidR="002A4F0C" w:rsidRPr="002A4F0C" w:rsidRDefault="002A4F0C" w:rsidP="002A4F0C">
            <w:pPr>
              <w:spacing w:line="240" w:lineRule="auto"/>
              <w:rPr>
                <w:rFonts w:ascii="Arial" w:hAnsi="Arial"/>
                <w:szCs w:val="22"/>
              </w:rPr>
            </w:pPr>
            <w:r w:rsidRPr="002A4F0C">
              <w:rPr>
                <w:rFonts w:ascii="Arial" w:hAnsi="Arial"/>
                <w:szCs w:val="22"/>
              </w:rPr>
              <w:t>Torres-Altoro MI, Mathur BN, Drerup JM, Thomas R et al (2011). Organophosphates dysregulate dopamine signaling, glutamatergic neurotransmission, and induce neuronal injury markers in striatum. Journal of Neurochemistry, 119: 303-13.</w:t>
            </w:r>
          </w:p>
        </w:tc>
      </w:tr>
      <w:tr w:rsidR="002A4F0C" w:rsidRPr="002A4F0C" w14:paraId="1B513308" w14:textId="77777777" w:rsidTr="002A4F0C">
        <w:trPr>
          <w:cantSplit/>
        </w:trPr>
        <w:tc>
          <w:tcPr>
            <w:tcW w:w="1575" w:type="dxa"/>
            <w:shd w:val="clear" w:color="auto" w:fill="auto"/>
            <w:noWrap/>
            <w:vAlign w:val="center"/>
          </w:tcPr>
          <w:p w14:paraId="51605BAB"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66328</w:t>
            </w:r>
          </w:p>
        </w:tc>
        <w:tc>
          <w:tcPr>
            <w:tcW w:w="7938" w:type="dxa"/>
            <w:shd w:val="clear" w:color="auto" w:fill="auto"/>
            <w:vAlign w:val="bottom"/>
          </w:tcPr>
          <w:p w14:paraId="78A98B48" w14:textId="77777777" w:rsidR="002A4F0C" w:rsidRPr="002A4F0C" w:rsidRDefault="002A4F0C" w:rsidP="002A4F0C">
            <w:pPr>
              <w:spacing w:line="240" w:lineRule="auto"/>
              <w:rPr>
                <w:rFonts w:ascii="Arial" w:hAnsi="Arial"/>
                <w:szCs w:val="22"/>
              </w:rPr>
            </w:pPr>
            <w:r w:rsidRPr="002A4F0C">
              <w:rPr>
                <w:rFonts w:ascii="Arial" w:hAnsi="Arial"/>
                <w:szCs w:val="22"/>
              </w:rPr>
              <w:t>Odegard TN, Cooper CM, Farris EA, Arduengo J, Bartlett J, Haley R (2012). Memory impairment exhibited by veterans with Gulf War illness. Neurocase, : Epub ahead of print.</w:t>
            </w:r>
          </w:p>
        </w:tc>
      </w:tr>
      <w:tr w:rsidR="002A4F0C" w:rsidRPr="002A4F0C" w14:paraId="3E5897DD" w14:textId="77777777" w:rsidTr="002A4F0C">
        <w:trPr>
          <w:cantSplit/>
        </w:trPr>
        <w:tc>
          <w:tcPr>
            <w:tcW w:w="1575" w:type="dxa"/>
            <w:shd w:val="clear" w:color="auto" w:fill="auto"/>
            <w:noWrap/>
            <w:vAlign w:val="center"/>
          </w:tcPr>
          <w:p w14:paraId="151F86B6"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66329</w:t>
            </w:r>
          </w:p>
        </w:tc>
        <w:tc>
          <w:tcPr>
            <w:tcW w:w="7938" w:type="dxa"/>
            <w:shd w:val="clear" w:color="auto" w:fill="auto"/>
            <w:vAlign w:val="bottom"/>
          </w:tcPr>
          <w:p w14:paraId="757FAE8F" w14:textId="77777777" w:rsidR="002A4F0C" w:rsidRPr="002A4F0C" w:rsidRDefault="002A4F0C" w:rsidP="002A4F0C">
            <w:pPr>
              <w:spacing w:line="240" w:lineRule="auto"/>
              <w:rPr>
                <w:rFonts w:ascii="Arial" w:hAnsi="Arial"/>
                <w:szCs w:val="22"/>
              </w:rPr>
            </w:pPr>
            <w:r w:rsidRPr="002A4F0C">
              <w:rPr>
                <w:rFonts w:ascii="Arial" w:hAnsi="Arial"/>
                <w:szCs w:val="22"/>
              </w:rPr>
              <w:t>Tillman GD, Calley CS, Green TA, Buhl VI et al (2012). Event-related potential patterns associated with hyperarousal in Gulf War illness syndrome groups. NeuroToxicology, 33: 1096-105.</w:t>
            </w:r>
          </w:p>
        </w:tc>
      </w:tr>
      <w:tr w:rsidR="002A4F0C" w:rsidRPr="002A4F0C" w14:paraId="3FAEF100" w14:textId="77777777" w:rsidTr="002A4F0C">
        <w:trPr>
          <w:cantSplit/>
        </w:trPr>
        <w:tc>
          <w:tcPr>
            <w:tcW w:w="1575" w:type="dxa"/>
            <w:shd w:val="clear" w:color="auto" w:fill="auto"/>
            <w:noWrap/>
            <w:vAlign w:val="center"/>
          </w:tcPr>
          <w:p w14:paraId="67C6D31F"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66330</w:t>
            </w:r>
          </w:p>
        </w:tc>
        <w:tc>
          <w:tcPr>
            <w:tcW w:w="7938" w:type="dxa"/>
            <w:shd w:val="clear" w:color="auto" w:fill="auto"/>
            <w:vAlign w:val="bottom"/>
          </w:tcPr>
          <w:p w14:paraId="519E444C" w14:textId="77777777" w:rsidR="002A4F0C" w:rsidRPr="002A4F0C" w:rsidRDefault="002A4F0C" w:rsidP="002A4F0C">
            <w:pPr>
              <w:spacing w:line="240" w:lineRule="auto"/>
              <w:rPr>
                <w:rFonts w:ascii="Arial" w:hAnsi="Arial"/>
                <w:szCs w:val="22"/>
              </w:rPr>
            </w:pPr>
            <w:r w:rsidRPr="002A4F0C">
              <w:rPr>
                <w:rFonts w:ascii="Arial" w:hAnsi="Arial"/>
                <w:szCs w:val="22"/>
              </w:rPr>
              <w:t>Moss JI (2012). Gulf War illnesses are autoimmune illnesses caused by reactive oxygen species which were caused by nerve agent prophylaxis. Medical Hypotheses, 79: 283-4.</w:t>
            </w:r>
          </w:p>
        </w:tc>
      </w:tr>
      <w:tr w:rsidR="002A4F0C" w:rsidRPr="002A4F0C" w14:paraId="1338E9A2" w14:textId="77777777" w:rsidTr="002A4F0C">
        <w:trPr>
          <w:cantSplit/>
        </w:trPr>
        <w:tc>
          <w:tcPr>
            <w:tcW w:w="1575" w:type="dxa"/>
            <w:shd w:val="clear" w:color="auto" w:fill="auto"/>
            <w:noWrap/>
            <w:vAlign w:val="center"/>
          </w:tcPr>
          <w:p w14:paraId="35605B3A"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66331</w:t>
            </w:r>
          </w:p>
        </w:tc>
        <w:tc>
          <w:tcPr>
            <w:tcW w:w="7938" w:type="dxa"/>
            <w:shd w:val="clear" w:color="auto" w:fill="auto"/>
            <w:vAlign w:val="bottom"/>
          </w:tcPr>
          <w:p w14:paraId="4C988BD3" w14:textId="77777777" w:rsidR="002A4F0C" w:rsidRPr="002A4F0C" w:rsidRDefault="002A4F0C" w:rsidP="002A4F0C">
            <w:pPr>
              <w:spacing w:line="240" w:lineRule="auto"/>
              <w:rPr>
                <w:rFonts w:ascii="Arial" w:hAnsi="Arial"/>
                <w:szCs w:val="22"/>
              </w:rPr>
            </w:pPr>
            <w:r w:rsidRPr="002A4F0C">
              <w:rPr>
                <w:rFonts w:ascii="Arial" w:hAnsi="Arial"/>
                <w:szCs w:val="22"/>
              </w:rPr>
              <w:t>Kang HK, Mahan CM, Li B, Eisen S, Engel CC (2012). [Comment] The Authors reply to Delcher. Am J Epidemiol, 175(5): 473-7. Comment on ID: 66322.</w:t>
            </w:r>
          </w:p>
        </w:tc>
      </w:tr>
      <w:tr w:rsidR="002A4F0C" w:rsidRPr="002A4F0C" w14:paraId="3A588B8D" w14:textId="77777777" w:rsidTr="002A4F0C">
        <w:trPr>
          <w:cantSplit/>
        </w:trPr>
        <w:tc>
          <w:tcPr>
            <w:tcW w:w="1575" w:type="dxa"/>
            <w:shd w:val="clear" w:color="auto" w:fill="auto"/>
            <w:noWrap/>
            <w:vAlign w:val="center"/>
          </w:tcPr>
          <w:p w14:paraId="0967A660"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66332</w:t>
            </w:r>
          </w:p>
        </w:tc>
        <w:tc>
          <w:tcPr>
            <w:tcW w:w="7938" w:type="dxa"/>
            <w:shd w:val="clear" w:color="auto" w:fill="auto"/>
            <w:vAlign w:val="bottom"/>
          </w:tcPr>
          <w:p w14:paraId="68665F07" w14:textId="77777777" w:rsidR="002A4F0C" w:rsidRPr="002A4F0C" w:rsidRDefault="002A4F0C" w:rsidP="002A4F0C">
            <w:pPr>
              <w:spacing w:line="240" w:lineRule="auto"/>
              <w:rPr>
                <w:rFonts w:ascii="Arial" w:hAnsi="Arial"/>
                <w:szCs w:val="22"/>
              </w:rPr>
            </w:pPr>
            <w:r w:rsidRPr="002A4F0C">
              <w:rPr>
                <w:rFonts w:ascii="Arial" w:hAnsi="Arial"/>
                <w:szCs w:val="22"/>
              </w:rPr>
              <w:t>Chagaris MJ, Smith RC, Goldstein AL (2012). Immunoglobulin M and immunoglobulin G seronegative Q fever: A hypothesis for veterans' medically unexplained chronic multi-symptom illnesses. Journal of Special Operations Medicine, 12(1): 37-48.</w:t>
            </w:r>
          </w:p>
        </w:tc>
      </w:tr>
      <w:tr w:rsidR="002A4F0C" w:rsidRPr="002A4F0C" w14:paraId="5FF0B70D" w14:textId="77777777" w:rsidTr="002A4F0C">
        <w:trPr>
          <w:cantSplit/>
        </w:trPr>
        <w:tc>
          <w:tcPr>
            <w:tcW w:w="1575" w:type="dxa"/>
            <w:shd w:val="clear" w:color="auto" w:fill="auto"/>
            <w:noWrap/>
            <w:vAlign w:val="center"/>
          </w:tcPr>
          <w:p w14:paraId="71EE6B4C"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66333</w:t>
            </w:r>
          </w:p>
        </w:tc>
        <w:tc>
          <w:tcPr>
            <w:tcW w:w="7938" w:type="dxa"/>
            <w:shd w:val="clear" w:color="auto" w:fill="auto"/>
            <w:vAlign w:val="bottom"/>
          </w:tcPr>
          <w:p w14:paraId="629742F6" w14:textId="77777777" w:rsidR="002A4F0C" w:rsidRPr="002A4F0C" w:rsidRDefault="002A4F0C" w:rsidP="002A4F0C">
            <w:pPr>
              <w:spacing w:line="240" w:lineRule="auto"/>
              <w:rPr>
                <w:rFonts w:ascii="Arial" w:hAnsi="Arial"/>
                <w:szCs w:val="22"/>
              </w:rPr>
            </w:pPr>
            <w:r w:rsidRPr="002A4F0C">
              <w:rPr>
                <w:rFonts w:ascii="Arial" w:hAnsi="Arial"/>
                <w:szCs w:val="22"/>
              </w:rPr>
              <w:t>Brimfield AA (2012). Chemicals of military deployments: Revisiting Gulf War syndrome in light of new information. Prog Mol Biol Transl Sci, 112: 209-30.</w:t>
            </w:r>
          </w:p>
        </w:tc>
      </w:tr>
      <w:tr w:rsidR="002A4F0C" w:rsidRPr="002A4F0C" w14:paraId="4C418973" w14:textId="77777777" w:rsidTr="002A4F0C">
        <w:trPr>
          <w:cantSplit/>
        </w:trPr>
        <w:tc>
          <w:tcPr>
            <w:tcW w:w="1575" w:type="dxa"/>
            <w:shd w:val="clear" w:color="auto" w:fill="auto"/>
            <w:noWrap/>
            <w:vAlign w:val="center"/>
          </w:tcPr>
          <w:p w14:paraId="30AB45D7"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66334</w:t>
            </w:r>
          </w:p>
        </w:tc>
        <w:tc>
          <w:tcPr>
            <w:tcW w:w="7938" w:type="dxa"/>
            <w:shd w:val="clear" w:color="auto" w:fill="auto"/>
            <w:vAlign w:val="bottom"/>
          </w:tcPr>
          <w:p w14:paraId="35A313F6" w14:textId="77777777" w:rsidR="002A4F0C" w:rsidRPr="002A4F0C" w:rsidRDefault="002A4F0C" w:rsidP="002A4F0C">
            <w:pPr>
              <w:spacing w:line="240" w:lineRule="auto"/>
              <w:rPr>
                <w:rFonts w:ascii="Arial" w:hAnsi="Arial"/>
                <w:szCs w:val="22"/>
              </w:rPr>
            </w:pPr>
            <w:r w:rsidRPr="002A4F0C">
              <w:rPr>
                <w:rFonts w:ascii="Arial" w:hAnsi="Arial"/>
                <w:szCs w:val="22"/>
              </w:rPr>
              <w:t>Chao LL, Abadjian L, Hlavin J, Meyerhoff DJ, Weiner MW (2011). Effects of low-level sarin and cyclosarin exposure and Gulf War illness on brain structure and function: A study at 4 T. NeuroToxicology, 32: 814-22.</w:t>
            </w:r>
          </w:p>
        </w:tc>
      </w:tr>
      <w:tr w:rsidR="002A4F0C" w:rsidRPr="002A4F0C" w14:paraId="672AF278" w14:textId="77777777" w:rsidTr="002A4F0C">
        <w:trPr>
          <w:cantSplit/>
        </w:trPr>
        <w:tc>
          <w:tcPr>
            <w:tcW w:w="1575" w:type="dxa"/>
            <w:shd w:val="clear" w:color="auto" w:fill="auto"/>
            <w:noWrap/>
            <w:vAlign w:val="center"/>
          </w:tcPr>
          <w:p w14:paraId="0942ECC1"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66335</w:t>
            </w:r>
          </w:p>
        </w:tc>
        <w:tc>
          <w:tcPr>
            <w:tcW w:w="7938" w:type="dxa"/>
            <w:shd w:val="clear" w:color="auto" w:fill="auto"/>
            <w:vAlign w:val="bottom"/>
          </w:tcPr>
          <w:p w14:paraId="678151C5" w14:textId="77777777" w:rsidR="002A4F0C" w:rsidRPr="002A4F0C" w:rsidRDefault="002A4F0C" w:rsidP="002A4F0C">
            <w:pPr>
              <w:spacing w:line="240" w:lineRule="auto"/>
              <w:rPr>
                <w:rFonts w:ascii="Arial" w:hAnsi="Arial"/>
                <w:szCs w:val="22"/>
              </w:rPr>
            </w:pPr>
            <w:r w:rsidRPr="002A4F0C">
              <w:rPr>
                <w:rFonts w:ascii="Arial" w:hAnsi="Arial"/>
                <w:szCs w:val="22"/>
              </w:rPr>
              <w:t>Israeli E (2012). Gulf War syndrome as a part of the autoimmune (autoinflammatory) syndrome. Lupus, 21: 190-4.</w:t>
            </w:r>
          </w:p>
        </w:tc>
      </w:tr>
      <w:tr w:rsidR="002A4F0C" w:rsidRPr="002A4F0C" w14:paraId="2EDBA0B7" w14:textId="77777777" w:rsidTr="002A4F0C">
        <w:trPr>
          <w:cantSplit/>
        </w:trPr>
        <w:tc>
          <w:tcPr>
            <w:tcW w:w="1575" w:type="dxa"/>
            <w:shd w:val="clear" w:color="auto" w:fill="auto"/>
            <w:noWrap/>
            <w:vAlign w:val="center"/>
          </w:tcPr>
          <w:p w14:paraId="75A4C1C1"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66352</w:t>
            </w:r>
          </w:p>
        </w:tc>
        <w:tc>
          <w:tcPr>
            <w:tcW w:w="7938" w:type="dxa"/>
            <w:shd w:val="clear" w:color="auto" w:fill="auto"/>
            <w:vAlign w:val="bottom"/>
          </w:tcPr>
          <w:p w14:paraId="4CA9F2FD" w14:textId="77777777" w:rsidR="002A4F0C" w:rsidRPr="002A4F0C" w:rsidRDefault="002A4F0C" w:rsidP="002A4F0C">
            <w:pPr>
              <w:spacing w:line="240" w:lineRule="auto"/>
              <w:rPr>
                <w:rFonts w:ascii="Arial" w:hAnsi="Arial"/>
                <w:szCs w:val="22"/>
              </w:rPr>
            </w:pPr>
            <w:r w:rsidRPr="002A4F0C">
              <w:rPr>
                <w:rFonts w:ascii="Arial" w:hAnsi="Arial"/>
                <w:szCs w:val="22"/>
              </w:rPr>
              <w:t>Kelton ML, LeardMann CA, Smith B, Boyko EJ et al (2010). Exploratory factor analysis of self-reported symptoms in a large, population-based military cohort. BMC Medical Research Methodology, 10: 94.</w:t>
            </w:r>
          </w:p>
        </w:tc>
      </w:tr>
      <w:tr w:rsidR="002A4F0C" w:rsidRPr="002A4F0C" w14:paraId="57971D11" w14:textId="77777777" w:rsidTr="002A4F0C">
        <w:trPr>
          <w:cantSplit/>
        </w:trPr>
        <w:tc>
          <w:tcPr>
            <w:tcW w:w="1575" w:type="dxa"/>
            <w:shd w:val="clear" w:color="auto" w:fill="auto"/>
            <w:noWrap/>
            <w:vAlign w:val="center"/>
          </w:tcPr>
          <w:p w14:paraId="3AB146ED"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66353</w:t>
            </w:r>
          </w:p>
        </w:tc>
        <w:tc>
          <w:tcPr>
            <w:tcW w:w="7938" w:type="dxa"/>
            <w:shd w:val="clear" w:color="auto" w:fill="auto"/>
            <w:vAlign w:val="bottom"/>
          </w:tcPr>
          <w:p w14:paraId="3DFABFA6" w14:textId="77777777" w:rsidR="002A4F0C" w:rsidRPr="002A4F0C" w:rsidRDefault="002A4F0C" w:rsidP="002A4F0C">
            <w:pPr>
              <w:spacing w:line="240" w:lineRule="auto"/>
              <w:rPr>
                <w:rFonts w:ascii="Arial" w:hAnsi="Arial"/>
                <w:szCs w:val="22"/>
              </w:rPr>
            </w:pPr>
            <w:r w:rsidRPr="002A4F0C">
              <w:rPr>
                <w:rFonts w:ascii="Arial" w:hAnsi="Arial"/>
                <w:szCs w:val="22"/>
              </w:rPr>
              <w:t>Apfel BA, Ross J, Hlavin J et al (2011). Hippocampal volume differences in Gulf War veterans with current lifetime posttraumatic stress disorder symptoms. Biol Psychiatry, 69(6): 541-8.</w:t>
            </w:r>
          </w:p>
        </w:tc>
      </w:tr>
      <w:tr w:rsidR="002A4F0C" w:rsidRPr="002A4F0C" w14:paraId="5918651E" w14:textId="77777777" w:rsidTr="002A4F0C">
        <w:trPr>
          <w:cantSplit/>
        </w:trPr>
        <w:tc>
          <w:tcPr>
            <w:tcW w:w="1575" w:type="dxa"/>
            <w:shd w:val="clear" w:color="auto" w:fill="auto"/>
            <w:noWrap/>
            <w:vAlign w:val="center"/>
          </w:tcPr>
          <w:p w14:paraId="5B43063E"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66354</w:t>
            </w:r>
          </w:p>
        </w:tc>
        <w:tc>
          <w:tcPr>
            <w:tcW w:w="7938" w:type="dxa"/>
            <w:shd w:val="clear" w:color="auto" w:fill="auto"/>
            <w:vAlign w:val="bottom"/>
          </w:tcPr>
          <w:p w14:paraId="35535609" w14:textId="77777777" w:rsidR="002A4F0C" w:rsidRPr="002A4F0C" w:rsidRDefault="002A4F0C" w:rsidP="002A4F0C">
            <w:pPr>
              <w:spacing w:line="240" w:lineRule="auto"/>
              <w:rPr>
                <w:rFonts w:ascii="Arial" w:hAnsi="Arial"/>
                <w:szCs w:val="22"/>
              </w:rPr>
            </w:pPr>
            <w:r w:rsidRPr="002A4F0C">
              <w:rPr>
                <w:rFonts w:ascii="Arial" w:hAnsi="Arial"/>
                <w:szCs w:val="22"/>
              </w:rPr>
              <w:t>Li B, Mahan CM, Kang HK et al (2011). Longitudinal health study of US 1991 Gulf War veterans: Changes in health status at 10-year follow-up. Am J Epidemiol, 174(7): 761-8.</w:t>
            </w:r>
          </w:p>
        </w:tc>
      </w:tr>
      <w:tr w:rsidR="002A4F0C" w:rsidRPr="002A4F0C" w14:paraId="266730B5" w14:textId="77777777" w:rsidTr="002A4F0C">
        <w:trPr>
          <w:cantSplit/>
        </w:trPr>
        <w:tc>
          <w:tcPr>
            <w:tcW w:w="1575" w:type="dxa"/>
            <w:shd w:val="clear" w:color="auto" w:fill="auto"/>
            <w:noWrap/>
            <w:vAlign w:val="center"/>
          </w:tcPr>
          <w:p w14:paraId="17EC258A"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66355</w:t>
            </w:r>
          </w:p>
        </w:tc>
        <w:tc>
          <w:tcPr>
            <w:tcW w:w="7938" w:type="dxa"/>
            <w:shd w:val="clear" w:color="auto" w:fill="auto"/>
            <w:vAlign w:val="bottom"/>
          </w:tcPr>
          <w:p w14:paraId="5968D95A" w14:textId="77777777" w:rsidR="002A4F0C" w:rsidRPr="002A4F0C" w:rsidRDefault="002A4F0C" w:rsidP="002A4F0C">
            <w:pPr>
              <w:spacing w:line="240" w:lineRule="auto"/>
              <w:rPr>
                <w:rFonts w:ascii="Arial" w:hAnsi="Arial"/>
                <w:szCs w:val="22"/>
              </w:rPr>
            </w:pPr>
            <w:r w:rsidRPr="002A4F0C">
              <w:rPr>
                <w:rFonts w:ascii="Arial" w:hAnsi="Arial"/>
                <w:szCs w:val="22"/>
              </w:rPr>
              <w:t>Sharma SK (2011). Importance of case definition in epidemiological studies. Neuroepidemiology, 37: 141-2.</w:t>
            </w:r>
          </w:p>
        </w:tc>
      </w:tr>
      <w:tr w:rsidR="002A4F0C" w:rsidRPr="002A4F0C" w14:paraId="61B0BB44" w14:textId="77777777" w:rsidTr="002A4F0C">
        <w:trPr>
          <w:cantSplit/>
        </w:trPr>
        <w:tc>
          <w:tcPr>
            <w:tcW w:w="1575" w:type="dxa"/>
            <w:shd w:val="clear" w:color="auto" w:fill="auto"/>
            <w:noWrap/>
            <w:vAlign w:val="center"/>
          </w:tcPr>
          <w:p w14:paraId="5FC44F84"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66356</w:t>
            </w:r>
          </w:p>
        </w:tc>
        <w:tc>
          <w:tcPr>
            <w:tcW w:w="7938" w:type="dxa"/>
            <w:shd w:val="clear" w:color="auto" w:fill="auto"/>
            <w:vAlign w:val="bottom"/>
          </w:tcPr>
          <w:p w14:paraId="092B6AE6" w14:textId="77777777" w:rsidR="002A4F0C" w:rsidRPr="002A4F0C" w:rsidRDefault="002A4F0C" w:rsidP="002A4F0C">
            <w:pPr>
              <w:spacing w:line="240" w:lineRule="auto"/>
              <w:rPr>
                <w:rFonts w:ascii="Arial" w:hAnsi="Arial"/>
                <w:szCs w:val="22"/>
              </w:rPr>
            </w:pPr>
            <w:r w:rsidRPr="002A4F0C">
              <w:rPr>
                <w:rFonts w:ascii="Arial" w:hAnsi="Arial"/>
                <w:szCs w:val="22"/>
              </w:rPr>
              <w:t>Jamil H, Hamdan TA, Grzybowski M et al (2011). Health effects associated with geographical area of residence during the 1991 Gulf War: a comparative health study of Iraqi soldiers and civilians. US Army Med Dep J, : 86-95.</w:t>
            </w:r>
          </w:p>
        </w:tc>
      </w:tr>
      <w:tr w:rsidR="002A4F0C" w:rsidRPr="002A4F0C" w14:paraId="360A6348" w14:textId="77777777" w:rsidTr="002A4F0C">
        <w:trPr>
          <w:cantSplit/>
        </w:trPr>
        <w:tc>
          <w:tcPr>
            <w:tcW w:w="1575" w:type="dxa"/>
            <w:shd w:val="clear" w:color="auto" w:fill="auto"/>
            <w:noWrap/>
            <w:vAlign w:val="center"/>
          </w:tcPr>
          <w:p w14:paraId="540D0501"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66357</w:t>
            </w:r>
          </w:p>
        </w:tc>
        <w:tc>
          <w:tcPr>
            <w:tcW w:w="7938" w:type="dxa"/>
            <w:shd w:val="clear" w:color="auto" w:fill="auto"/>
            <w:vAlign w:val="bottom"/>
          </w:tcPr>
          <w:p w14:paraId="1285E762" w14:textId="77777777" w:rsidR="002A4F0C" w:rsidRPr="002A4F0C" w:rsidRDefault="002A4F0C" w:rsidP="002A4F0C">
            <w:pPr>
              <w:spacing w:line="240" w:lineRule="auto"/>
              <w:rPr>
                <w:rFonts w:ascii="Arial" w:hAnsi="Arial"/>
                <w:szCs w:val="22"/>
              </w:rPr>
            </w:pPr>
            <w:r w:rsidRPr="002A4F0C">
              <w:rPr>
                <w:rFonts w:ascii="Arial" w:hAnsi="Arial"/>
                <w:szCs w:val="22"/>
              </w:rPr>
              <w:t>Ismail K, Fear N, Flanagan M et al (2011). A US-UK comparison of health in 1990-1991 Gulf War veterans. Occupational Medicine, 61: 483-9.</w:t>
            </w:r>
          </w:p>
        </w:tc>
      </w:tr>
      <w:tr w:rsidR="002A4F0C" w:rsidRPr="002A4F0C" w14:paraId="61390B5F" w14:textId="77777777" w:rsidTr="002A4F0C">
        <w:trPr>
          <w:cantSplit/>
        </w:trPr>
        <w:tc>
          <w:tcPr>
            <w:tcW w:w="1575" w:type="dxa"/>
            <w:shd w:val="clear" w:color="auto" w:fill="auto"/>
            <w:noWrap/>
            <w:vAlign w:val="center"/>
          </w:tcPr>
          <w:p w14:paraId="478FA257"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66358</w:t>
            </w:r>
          </w:p>
        </w:tc>
        <w:tc>
          <w:tcPr>
            <w:tcW w:w="7938" w:type="dxa"/>
            <w:shd w:val="clear" w:color="auto" w:fill="auto"/>
            <w:vAlign w:val="bottom"/>
          </w:tcPr>
          <w:p w14:paraId="6C53ADA2" w14:textId="77777777" w:rsidR="002A4F0C" w:rsidRPr="002A4F0C" w:rsidRDefault="002A4F0C" w:rsidP="002A4F0C">
            <w:pPr>
              <w:spacing w:line="240" w:lineRule="auto"/>
              <w:rPr>
                <w:rFonts w:ascii="Arial" w:hAnsi="Arial"/>
                <w:szCs w:val="22"/>
              </w:rPr>
            </w:pPr>
            <w:r w:rsidRPr="002A4F0C">
              <w:rPr>
                <w:rFonts w:ascii="Arial" w:hAnsi="Arial"/>
                <w:szCs w:val="22"/>
              </w:rPr>
              <w:t>Weiner MW, Meyerhoff DJ, Neylan TC, Hlavin J et al (2011). The relationship between Gulf war illness, brain N-acetyl aspartate and post-traumatic stress disorder. Mil Med, 176(8): 896-902.</w:t>
            </w:r>
          </w:p>
        </w:tc>
      </w:tr>
      <w:tr w:rsidR="002A4F0C" w:rsidRPr="002A4F0C" w14:paraId="50DFBDCD" w14:textId="77777777" w:rsidTr="002A4F0C">
        <w:trPr>
          <w:cantSplit/>
        </w:trPr>
        <w:tc>
          <w:tcPr>
            <w:tcW w:w="1575" w:type="dxa"/>
            <w:shd w:val="clear" w:color="auto" w:fill="auto"/>
            <w:noWrap/>
            <w:vAlign w:val="center"/>
          </w:tcPr>
          <w:p w14:paraId="64762E86"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66359</w:t>
            </w:r>
          </w:p>
        </w:tc>
        <w:tc>
          <w:tcPr>
            <w:tcW w:w="7938" w:type="dxa"/>
            <w:shd w:val="clear" w:color="auto" w:fill="auto"/>
            <w:vAlign w:val="bottom"/>
          </w:tcPr>
          <w:p w14:paraId="24E3C3EA" w14:textId="77777777" w:rsidR="002A4F0C" w:rsidRPr="002A4F0C" w:rsidRDefault="002A4F0C" w:rsidP="002A4F0C">
            <w:pPr>
              <w:spacing w:line="240" w:lineRule="auto"/>
              <w:rPr>
                <w:rFonts w:ascii="Arial" w:hAnsi="Arial"/>
                <w:szCs w:val="22"/>
              </w:rPr>
            </w:pPr>
            <w:r w:rsidRPr="002A4F0C">
              <w:rPr>
                <w:rFonts w:ascii="Arial" w:hAnsi="Arial"/>
                <w:szCs w:val="22"/>
              </w:rPr>
              <w:t>Steele L, Sastre A, Gerkovich MM et al (2012). Complex factors in the etiology of Gulf War illness: Wartime exposure and risk factors in veteran subgroups. Environ Health Perspect, 120(1): 112-8.</w:t>
            </w:r>
          </w:p>
        </w:tc>
      </w:tr>
      <w:tr w:rsidR="002A4F0C" w:rsidRPr="002A4F0C" w14:paraId="79BFA1E3" w14:textId="77777777" w:rsidTr="002A4F0C">
        <w:trPr>
          <w:cantSplit/>
        </w:trPr>
        <w:tc>
          <w:tcPr>
            <w:tcW w:w="1575" w:type="dxa"/>
            <w:shd w:val="clear" w:color="auto" w:fill="auto"/>
            <w:noWrap/>
            <w:vAlign w:val="center"/>
          </w:tcPr>
          <w:p w14:paraId="32813A7D" w14:textId="77777777" w:rsidR="002A4F0C" w:rsidRPr="002A4F0C" w:rsidRDefault="002A4F0C" w:rsidP="002A4F0C">
            <w:pPr>
              <w:spacing w:line="240" w:lineRule="auto"/>
              <w:jc w:val="center"/>
              <w:rPr>
                <w:rFonts w:ascii="Arial" w:hAnsi="Arial"/>
                <w:szCs w:val="22"/>
              </w:rPr>
            </w:pPr>
            <w:r w:rsidRPr="002A4F0C">
              <w:rPr>
                <w:rFonts w:ascii="Arial" w:hAnsi="Arial"/>
                <w:szCs w:val="22"/>
              </w:rPr>
              <w:t>66360</w:t>
            </w:r>
          </w:p>
        </w:tc>
        <w:tc>
          <w:tcPr>
            <w:tcW w:w="7938" w:type="dxa"/>
            <w:shd w:val="clear" w:color="auto" w:fill="auto"/>
            <w:vAlign w:val="bottom"/>
          </w:tcPr>
          <w:p w14:paraId="22AD9F29" w14:textId="77777777" w:rsidR="002A4F0C" w:rsidRPr="002A4F0C" w:rsidRDefault="002A4F0C" w:rsidP="002A4F0C">
            <w:pPr>
              <w:spacing w:line="240" w:lineRule="auto"/>
              <w:rPr>
                <w:rFonts w:ascii="Arial" w:hAnsi="Arial"/>
                <w:szCs w:val="22"/>
              </w:rPr>
            </w:pPr>
            <w:r w:rsidRPr="002A4F0C">
              <w:rPr>
                <w:rFonts w:ascii="Arial" w:hAnsi="Arial"/>
                <w:szCs w:val="22"/>
              </w:rPr>
              <w:t>Iannacchione VG, Dever JA, Bann CM et al (2011). Validation of a research case definition of Gulf War illness in the 1991 US military population. Neuroepidemiology, 37: 129-40.</w:t>
            </w:r>
          </w:p>
        </w:tc>
      </w:tr>
      <w:tr w:rsidR="002A4F0C" w:rsidRPr="002A4F0C" w14:paraId="0A8C9DF8" w14:textId="77777777" w:rsidTr="002A4F0C">
        <w:trPr>
          <w:cantSplit/>
        </w:trPr>
        <w:tc>
          <w:tcPr>
            <w:tcW w:w="1575" w:type="dxa"/>
            <w:shd w:val="clear" w:color="auto" w:fill="auto"/>
            <w:noWrap/>
            <w:vAlign w:val="center"/>
          </w:tcPr>
          <w:p w14:paraId="47B271EF" w14:textId="77777777" w:rsidR="002A4F0C" w:rsidRPr="002A4F0C" w:rsidRDefault="002A4F0C" w:rsidP="002A4F0C">
            <w:pPr>
              <w:spacing w:line="240" w:lineRule="auto"/>
              <w:jc w:val="center"/>
              <w:rPr>
                <w:rFonts w:ascii="Arial" w:hAnsi="Arial"/>
                <w:szCs w:val="22"/>
              </w:rPr>
            </w:pPr>
            <w:r w:rsidRPr="002A4F0C">
              <w:rPr>
                <w:rFonts w:ascii="Arial" w:hAnsi="Arial"/>
                <w:szCs w:val="22"/>
              </w:rPr>
              <w:t>66786</w:t>
            </w:r>
          </w:p>
        </w:tc>
        <w:tc>
          <w:tcPr>
            <w:tcW w:w="7938" w:type="dxa"/>
            <w:shd w:val="clear" w:color="auto" w:fill="auto"/>
            <w:vAlign w:val="bottom"/>
          </w:tcPr>
          <w:p w14:paraId="23C9AA07" w14:textId="77777777" w:rsidR="002A4F0C" w:rsidRPr="002A4F0C" w:rsidRDefault="002A4F0C" w:rsidP="002A4F0C">
            <w:pPr>
              <w:spacing w:line="240" w:lineRule="auto"/>
              <w:rPr>
                <w:rFonts w:ascii="Arial" w:hAnsi="Arial"/>
                <w:szCs w:val="22"/>
              </w:rPr>
            </w:pPr>
            <w:r w:rsidRPr="002A4F0C">
              <w:rPr>
                <w:rFonts w:ascii="Arial" w:hAnsi="Arial"/>
                <w:szCs w:val="22"/>
              </w:rPr>
              <w:t>Marshall GN, Davis LM, Sherbourne CD (2000). Stress and health: Definitions and concepts. A Review of the Scientific Literature As It Pertains to Gulf War Illnesses,  Vol 4, Chapter 2: 11-15. RAND Corporation.</w:t>
            </w:r>
          </w:p>
        </w:tc>
      </w:tr>
      <w:tr w:rsidR="002A4F0C" w:rsidRPr="002A4F0C" w14:paraId="04CF8955" w14:textId="77777777" w:rsidTr="002A4F0C">
        <w:trPr>
          <w:cantSplit/>
        </w:trPr>
        <w:tc>
          <w:tcPr>
            <w:tcW w:w="1575" w:type="dxa"/>
            <w:shd w:val="clear" w:color="auto" w:fill="auto"/>
            <w:noWrap/>
            <w:vAlign w:val="center"/>
          </w:tcPr>
          <w:p w14:paraId="4F94FB40" w14:textId="77777777" w:rsidR="002A4F0C" w:rsidRPr="002A4F0C" w:rsidRDefault="002A4F0C" w:rsidP="002A4F0C">
            <w:pPr>
              <w:spacing w:line="240" w:lineRule="auto"/>
              <w:jc w:val="center"/>
              <w:rPr>
                <w:rFonts w:ascii="Arial" w:hAnsi="Arial"/>
                <w:szCs w:val="22"/>
              </w:rPr>
            </w:pPr>
            <w:r w:rsidRPr="002A4F0C">
              <w:rPr>
                <w:rFonts w:ascii="Arial" w:hAnsi="Arial"/>
                <w:szCs w:val="22"/>
              </w:rPr>
              <w:t>66847</w:t>
            </w:r>
          </w:p>
        </w:tc>
        <w:tc>
          <w:tcPr>
            <w:tcW w:w="7938" w:type="dxa"/>
            <w:shd w:val="clear" w:color="auto" w:fill="auto"/>
            <w:vAlign w:val="bottom"/>
          </w:tcPr>
          <w:p w14:paraId="21779D05" w14:textId="77777777" w:rsidR="002A4F0C" w:rsidRPr="002A4F0C" w:rsidRDefault="002A4F0C" w:rsidP="002A4F0C">
            <w:pPr>
              <w:spacing w:line="240" w:lineRule="auto"/>
              <w:rPr>
                <w:rFonts w:ascii="Arial" w:hAnsi="Arial"/>
                <w:szCs w:val="22"/>
              </w:rPr>
            </w:pPr>
            <w:r w:rsidRPr="002A4F0C">
              <w:rPr>
                <w:rFonts w:ascii="Arial" w:hAnsi="Arial"/>
                <w:szCs w:val="22"/>
              </w:rPr>
              <w:t>Walker RL, Clark ME, Sanders SH (2010). The "Postdeployment multi-symptom disorder": An emerging syndrome in need of a new treatment paradigm. Psychological Services, 7(3): 136-47.</w:t>
            </w:r>
          </w:p>
        </w:tc>
      </w:tr>
      <w:tr w:rsidR="002A4F0C" w:rsidRPr="002A4F0C" w14:paraId="3B04C459" w14:textId="77777777" w:rsidTr="002A4F0C">
        <w:trPr>
          <w:cantSplit/>
        </w:trPr>
        <w:tc>
          <w:tcPr>
            <w:tcW w:w="1575" w:type="dxa"/>
            <w:shd w:val="clear" w:color="auto" w:fill="auto"/>
            <w:noWrap/>
            <w:vAlign w:val="center"/>
          </w:tcPr>
          <w:p w14:paraId="28D4446B" w14:textId="77777777" w:rsidR="002A4F0C" w:rsidRPr="002A4F0C" w:rsidRDefault="002A4F0C" w:rsidP="002A4F0C">
            <w:pPr>
              <w:spacing w:line="240" w:lineRule="auto"/>
              <w:jc w:val="center"/>
              <w:rPr>
                <w:rFonts w:ascii="Arial" w:hAnsi="Arial"/>
                <w:szCs w:val="22"/>
              </w:rPr>
            </w:pPr>
            <w:r w:rsidRPr="002A4F0C">
              <w:rPr>
                <w:rFonts w:ascii="Arial" w:hAnsi="Arial"/>
                <w:szCs w:val="22"/>
              </w:rPr>
              <w:t>67122</w:t>
            </w:r>
          </w:p>
        </w:tc>
        <w:tc>
          <w:tcPr>
            <w:tcW w:w="7938" w:type="dxa"/>
            <w:shd w:val="clear" w:color="auto" w:fill="auto"/>
            <w:vAlign w:val="bottom"/>
          </w:tcPr>
          <w:p w14:paraId="72517BBC" w14:textId="77777777" w:rsidR="002A4F0C" w:rsidRPr="002A4F0C" w:rsidRDefault="002A4F0C" w:rsidP="002A4F0C">
            <w:pPr>
              <w:spacing w:line="240" w:lineRule="auto"/>
              <w:rPr>
                <w:rFonts w:ascii="Arial" w:hAnsi="Arial"/>
                <w:szCs w:val="22"/>
              </w:rPr>
            </w:pPr>
            <w:r w:rsidRPr="002A4F0C">
              <w:rPr>
                <w:rFonts w:ascii="Arial" w:hAnsi="Arial"/>
                <w:szCs w:val="22"/>
              </w:rPr>
              <w:t>Haley RW, Charuvastra E, Shell WE, Buhner DM et al (2013). Cholinergic autonomic dysfunction in veterans with gulf war illness. JAMA Neurol, 70(2): 191-200.</w:t>
            </w:r>
          </w:p>
        </w:tc>
      </w:tr>
      <w:tr w:rsidR="002A4F0C" w:rsidRPr="002A4F0C" w14:paraId="14B18A3B" w14:textId="77777777" w:rsidTr="002A4F0C">
        <w:trPr>
          <w:cantSplit/>
        </w:trPr>
        <w:tc>
          <w:tcPr>
            <w:tcW w:w="1575" w:type="dxa"/>
            <w:shd w:val="clear" w:color="auto" w:fill="auto"/>
            <w:noWrap/>
            <w:vAlign w:val="center"/>
          </w:tcPr>
          <w:p w14:paraId="40ED5749" w14:textId="77777777" w:rsidR="002A4F0C" w:rsidRPr="002A4F0C" w:rsidRDefault="002A4F0C" w:rsidP="002A4F0C">
            <w:pPr>
              <w:spacing w:line="240" w:lineRule="auto"/>
              <w:jc w:val="center"/>
              <w:rPr>
                <w:rFonts w:ascii="Arial" w:hAnsi="Arial"/>
                <w:szCs w:val="22"/>
              </w:rPr>
            </w:pPr>
            <w:r w:rsidRPr="002A4F0C">
              <w:rPr>
                <w:rFonts w:ascii="Arial" w:hAnsi="Arial"/>
                <w:szCs w:val="22"/>
              </w:rPr>
              <w:t>67486</w:t>
            </w:r>
          </w:p>
        </w:tc>
        <w:tc>
          <w:tcPr>
            <w:tcW w:w="7938" w:type="dxa"/>
            <w:shd w:val="clear" w:color="auto" w:fill="auto"/>
            <w:vAlign w:val="bottom"/>
          </w:tcPr>
          <w:p w14:paraId="6C3A53E6" w14:textId="77777777" w:rsidR="002A4F0C" w:rsidRPr="002A4F0C" w:rsidRDefault="002A4F0C" w:rsidP="002A4F0C">
            <w:pPr>
              <w:spacing w:line="240" w:lineRule="auto"/>
              <w:rPr>
                <w:rFonts w:ascii="Arial" w:hAnsi="Arial"/>
                <w:szCs w:val="22"/>
              </w:rPr>
            </w:pPr>
            <w:r w:rsidRPr="002A4F0C">
              <w:rPr>
                <w:rFonts w:ascii="Arial" w:hAnsi="Arial"/>
                <w:szCs w:val="22"/>
              </w:rPr>
              <w:t>Hyams KC, Wignall FS (1997). [Comment] Identification of Gulf War syndrome: methodological issues and medical illnesses. JAMA, 278(5): 384. Comment on ID: 17255.</w:t>
            </w:r>
          </w:p>
        </w:tc>
      </w:tr>
      <w:tr w:rsidR="002A4F0C" w:rsidRPr="002A4F0C" w14:paraId="5A2B77B8" w14:textId="77777777" w:rsidTr="002A4F0C">
        <w:trPr>
          <w:cantSplit/>
        </w:trPr>
        <w:tc>
          <w:tcPr>
            <w:tcW w:w="1575" w:type="dxa"/>
            <w:shd w:val="clear" w:color="auto" w:fill="auto"/>
            <w:noWrap/>
            <w:vAlign w:val="center"/>
          </w:tcPr>
          <w:p w14:paraId="7A10ADA8" w14:textId="77777777" w:rsidR="002A4F0C" w:rsidRPr="002A4F0C" w:rsidRDefault="002A4F0C" w:rsidP="002A4F0C">
            <w:pPr>
              <w:spacing w:line="240" w:lineRule="auto"/>
              <w:jc w:val="center"/>
              <w:rPr>
                <w:rFonts w:ascii="Arial" w:hAnsi="Arial"/>
                <w:szCs w:val="22"/>
              </w:rPr>
            </w:pPr>
            <w:r w:rsidRPr="002A4F0C">
              <w:rPr>
                <w:rFonts w:ascii="Arial" w:hAnsi="Arial"/>
                <w:szCs w:val="22"/>
              </w:rPr>
              <w:t>67487</w:t>
            </w:r>
          </w:p>
        </w:tc>
        <w:tc>
          <w:tcPr>
            <w:tcW w:w="7938" w:type="dxa"/>
            <w:shd w:val="clear" w:color="auto" w:fill="auto"/>
            <w:vAlign w:val="bottom"/>
          </w:tcPr>
          <w:p w14:paraId="6CE2F705" w14:textId="77777777" w:rsidR="002A4F0C" w:rsidRPr="002A4F0C" w:rsidRDefault="002A4F0C" w:rsidP="002A4F0C">
            <w:pPr>
              <w:spacing w:line="240" w:lineRule="auto"/>
              <w:rPr>
                <w:rFonts w:ascii="Arial" w:hAnsi="Arial"/>
                <w:szCs w:val="22"/>
              </w:rPr>
            </w:pPr>
            <w:r w:rsidRPr="002A4F0C">
              <w:rPr>
                <w:rFonts w:ascii="Arial" w:hAnsi="Arial"/>
                <w:szCs w:val="22"/>
              </w:rPr>
              <w:t>Landrigan PJ (1997). [Comment] Identification of Gulf War syndrome: methodological issues and medical illnesses - Reply. JAMA, 278(5): 387. Comment on ID: 17255.</w:t>
            </w:r>
          </w:p>
        </w:tc>
      </w:tr>
      <w:tr w:rsidR="002A4F0C" w:rsidRPr="002A4F0C" w14:paraId="0F6A2BAC" w14:textId="77777777" w:rsidTr="002A4F0C">
        <w:trPr>
          <w:cantSplit/>
        </w:trPr>
        <w:tc>
          <w:tcPr>
            <w:tcW w:w="1575" w:type="dxa"/>
            <w:shd w:val="clear" w:color="auto" w:fill="auto"/>
            <w:noWrap/>
            <w:vAlign w:val="center"/>
          </w:tcPr>
          <w:p w14:paraId="509CC641" w14:textId="77777777" w:rsidR="002A4F0C" w:rsidRPr="002A4F0C" w:rsidRDefault="002A4F0C" w:rsidP="002A4F0C">
            <w:pPr>
              <w:spacing w:line="240" w:lineRule="auto"/>
              <w:jc w:val="center"/>
              <w:rPr>
                <w:rFonts w:ascii="Arial" w:hAnsi="Arial"/>
                <w:szCs w:val="22"/>
              </w:rPr>
            </w:pPr>
            <w:r w:rsidRPr="002A4F0C">
              <w:rPr>
                <w:rFonts w:ascii="Arial" w:hAnsi="Arial"/>
                <w:szCs w:val="22"/>
              </w:rPr>
              <w:t>67488</w:t>
            </w:r>
          </w:p>
        </w:tc>
        <w:tc>
          <w:tcPr>
            <w:tcW w:w="7938" w:type="dxa"/>
            <w:shd w:val="clear" w:color="auto" w:fill="auto"/>
            <w:vAlign w:val="bottom"/>
          </w:tcPr>
          <w:p w14:paraId="296E817C" w14:textId="77777777" w:rsidR="002A4F0C" w:rsidRPr="002A4F0C" w:rsidRDefault="002A4F0C" w:rsidP="002A4F0C">
            <w:pPr>
              <w:spacing w:line="240" w:lineRule="auto"/>
              <w:rPr>
                <w:rFonts w:ascii="Arial" w:hAnsi="Arial"/>
                <w:szCs w:val="22"/>
              </w:rPr>
            </w:pPr>
            <w:r w:rsidRPr="002A4F0C">
              <w:rPr>
                <w:rFonts w:ascii="Arial" w:hAnsi="Arial"/>
                <w:szCs w:val="22"/>
              </w:rPr>
              <w:t>Dadabhoy D, Crofford LJ, Spaeth M, Russell IJ, et al (2008). Biology and therapy of fibromyalgia. Evidence-based biomarkers for fibromyalgia syndrome. Arthritis Res Ther, 10(4): 211.</w:t>
            </w:r>
          </w:p>
        </w:tc>
      </w:tr>
      <w:tr w:rsidR="002A4F0C" w:rsidRPr="002A4F0C" w14:paraId="547457EB" w14:textId="77777777" w:rsidTr="002A4F0C">
        <w:trPr>
          <w:cantSplit/>
        </w:trPr>
        <w:tc>
          <w:tcPr>
            <w:tcW w:w="1575" w:type="dxa"/>
            <w:shd w:val="clear" w:color="auto" w:fill="auto"/>
            <w:noWrap/>
            <w:vAlign w:val="center"/>
          </w:tcPr>
          <w:p w14:paraId="771A0CBE" w14:textId="77777777" w:rsidR="002A4F0C" w:rsidRPr="002A4F0C" w:rsidRDefault="002A4F0C" w:rsidP="002A4F0C">
            <w:pPr>
              <w:spacing w:line="240" w:lineRule="auto"/>
              <w:jc w:val="center"/>
              <w:rPr>
                <w:rFonts w:ascii="Arial" w:hAnsi="Arial"/>
                <w:szCs w:val="22"/>
              </w:rPr>
            </w:pPr>
            <w:r w:rsidRPr="002A4F0C">
              <w:rPr>
                <w:rFonts w:ascii="Arial" w:hAnsi="Arial"/>
                <w:szCs w:val="22"/>
              </w:rPr>
              <w:t>67495</w:t>
            </w:r>
          </w:p>
        </w:tc>
        <w:tc>
          <w:tcPr>
            <w:tcW w:w="7938" w:type="dxa"/>
            <w:shd w:val="clear" w:color="auto" w:fill="auto"/>
            <w:vAlign w:val="bottom"/>
          </w:tcPr>
          <w:p w14:paraId="3D67DC1F" w14:textId="77777777" w:rsidR="002A4F0C" w:rsidRPr="002A4F0C" w:rsidRDefault="002A4F0C" w:rsidP="002A4F0C">
            <w:pPr>
              <w:spacing w:line="240" w:lineRule="auto"/>
              <w:rPr>
                <w:rFonts w:ascii="Arial" w:hAnsi="Arial"/>
                <w:szCs w:val="22"/>
              </w:rPr>
            </w:pPr>
            <w:r w:rsidRPr="002A4F0C">
              <w:rPr>
                <w:rFonts w:ascii="Arial" w:hAnsi="Arial"/>
                <w:szCs w:val="22"/>
              </w:rPr>
              <w:t>McBeth J, Mulvey MR (2012). Fibromyalgia: mechanisms and potential impact of the ACR 2010 classification criteria. Nat Rev Rheumatol, 8(2): 108-116.</w:t>
            </w:r>
          </w:p>
        </w:tc>
      </w:tr>
      <w:tr w:rsidR="002A4F0C" w:rsidRPr="002A4F0C" w14:paraId="223D6F34" w14:textId="77777777" w:rsidTr="002A4F0C">
        <w:trPr>
          <w:cantSplit/>
        </w:trPr>
        <w:tc>
          <w:tcPr>
            <w:tcW w:w="1575" w:type="dxa"/>
            <w:shd w:val="clear" w:color="auto" w:fill="auto"/>
            <w:noWrap/>
            <w:vAlign w:val="center"/>
          </w:tcPr>
          <w:p w14:paraId="0E5DB73A" w14:textId="77777777" w:rsidR="002A4F0C" w:rsidRPr="002A4F0C" w:rsidRDefault="002A4F0C" w:rsidP="002A4F0C">
            <w:pPr>
              <w:spacing w:line="240" w:lineRule="auto"/>
              <w:jc w:val="center"/>
              <w:rPr>
                <w:rFonts w:ascii="Arial" w:hAnsi="Arial"/>
                <w:szCs w:val="22"/>
              </w:rPr>
            </w:pPr>
            <w:r w:rsidRPr="002A4F0C">
              <w:rPr>
                <w:rFonts w:ascii="Arial" w:hAnsi="Arial"/>
                <w:szCs w:val="22"/>
              </w:rPr>
              <w:t>67497</w:t>
            </w:r>
          </w:p>
        </w:tc>
        <w:tc>
          <w:tcPr>
            <w:tcW w:w="7938" w:type="dxa"/>
            <w:shd w:val="clear" w:color="auto" w:fill="auto"/>
            <w:vAlign w:val="bottom"/>
          </w:tcPr>
          <w:p w14:paraId="3C4AF247" w14:textId="77777777" w:rsidR="002A4F0C" w:rsidRPr="002A4F0C" w:rsidRDefault="002A4F0C" w:rsidP="002A4F0C">
            <w:pPr>
              <w:spacing w:line="240" w:lineRule="auto"/>
              <w:rPr>
                <w:rFonts w:ascii="Arial" w:hAnsi="Arial"/>
                <w:szCs w:val="22"/>
              </w:rPr>
            </w:pPr>
            <w:r w:rsidRPr="002A4F0C">
              <w:rPr>
                <w:rFonts w:ascii="Arial" w:hAnsi="Arial"/>
                <w:szCs w:val="22"/>
              </w:rPr>
              <w:t>Nuesch E, Hauser W, Bernardy K, Barth J, et al (2013). Comparative efficacy of pharmacological and non-pharmacological interventions in fibromyalgia syndrome: network meta-analysis. Ann Rheum Dis, 72(6): 955-62.</w:t>
            </w:r>
          </w:p>
        </w:tc>
      </w:tr>
      <w:tr w:rsidR="002A4F0C" w:rsidRPr="002A4F0C" w14:paraId="49F8763E" w14:textId="77777777" w:rsidTr="002A4F0C">
        <w:trPr>
          <w:cantSplit/>
        </w:trPr>
        <w:tc>
          <w:tcPr>
            <w:tcW w:w="1575" w:type="dxa"/>
            <w:shd w:val="clear" w:color="auto" w:fill="auto"/>
            <w:noWrap/>
            <w:vAlign w:val="center"/>
          </w:tcPr>
          <w:p w14:paraId="29DFD677" w14:textId="77777777" w:rsidR="002A4F0C" w:rsidRPr="002A4F0C" w:rsidRDefault="002A4F0C" w:rsidP="002A4F0C">
            <w:pPr>
              <w:spacing w:line="240" w:lineRule="auto"/>
              <w:jc w:val="center"/>
              <w:rPr>
                <w:rFonts w:ascii="Arial" w:hAnsi="Arial"/>
                <w:szCs w:val="22"/>
              </w:rPr>
            </w:pPr>
            <w:r w:rsidRPr="002A4F0C">
              <w:rPr>
                <w:rFonts w:ascii="Arial" w:hAnsi="Arial"/>
                <w:szCs w:val="22"/>
              </w:rPr>
              <w:t>67738</w:t>
            </w:r>
          </w:p>
        </w:tc>
        <w:tc>
          <w:tcPr>
            <w:tcW w:w="7938" w:type="dxa"/>
            <w:shd w:val="clear" w:color="auto" w:fill="auto"/>
            <w:vAlign w:val="bottom"/>
          </w:tcPr>
          <w:p w14:paraId="0B334C08" w14:textId="77777777" w:rsidR="002A4F0C" w:rsidRPr="002A4F0C" w:rsidRDefault="002A4F0C" w:rsidP="002A4F0C">
            <w:pPr>
              <w:spacing w:line="240" w:lineRule="auto"/>
              <w:rPr>
                <w:rFonts w:ascii="Arial" w:hAnsi="Arial"/>
                <w:szCs w:val="22"/>
              </w:rPr>
            </w:pPr>
            <w:r w:rsidRPr="002A4F0C">
              <w:rPr>
                <w:rFonts w:ascii="Arial" w:hAnsi="Arial"/>
                <w:szCs w:val="22"/>
              </w:rPr>
              <w:t>Kadota Y, Copper G, Burton AR et al (2010). Autonomic hyper-vigilance in post-infective fatigue syndrome. Biological Psychology, 85(1): 97-103.</w:t>
            </w:r>
          </w:p>
        </w:tc>
      </w:tr>
      <w:tr w:rsidR="002A4F0C" w:rsidRPr="002A4F0C" w14:paraId="665F96AA" w14:textId="77777777" w:rsidTr="002A4F0C">
        <w:trPr>
          <w:cantSplit/>
        </w:trPr>
        <w:tc>
          <w:tcPr>
            <w:tcW w:w="1575" w:type="dxa"/>
            <w:shd w:val="clear" w:color="auto" w:fill="auto"/>
            <w:noWrap/>
            <w:vAlign w:val="center"/>
          </w:tcPr>
          <w:p w14:paraId="5BDD1039" w14:textId="77777777" w:rsidR="002A4F0C" w:rsidRPr="002A4F0C" w:rsidRDefault="002A4F0C" w:rsidP="002A4F0C">
            <w:pPr>
              <w:spacing w:line="240" w:lineRule="auto"/>
              <w:jc w:val="center"/>
              <w:rPr>
                <w:rFonts w:ascii="Arial" w:hAnsi="Arial"/>
                <w:szCs w:val="22"/>
              </w:rPr>
            </w:pPr>
            <w:r w:rsidRPr="002A4F0C">
              <w:rPr>
                <w:rFonts w:ascii="Arial" w:hAnsi="Arial"/>
                <w:szCs w:val="22"/>
              </w:rPr>
              <w:t>67746</w:t>
            </w:r>
          </w:p>
        </w:tc>
        <w:tc>
          <w:tcPr>
            <w:tcW w:w="7938" w:type="dxa"/>
            <w:shd w:val="clear" w:color="auto" w:fill="auto"/>
            <w:vAlign w:val="bottom"/>
          </w:tcPr>
          <w:p w14:paraId="4AC44388" w14:textId="77777777" w:rsidR="002A4F0C" w:rsidRPr="002A4F0C" w:rsidRDefault="002A4F0C" w:rsidP="002A4F0C">
            <w:pPr>
              <w:spacing w:line="240" w:lineRule="auto"/>
              <w:rPr>
                <w:rFonts w:ascii="Arial" w:hAnsi="Arial"/>
                <w:szCs w:val="22"/>
              </w:rPr>
            </w:pPr>
            <w:r w:rsidRPr="002A4F0C">
              <w:rPr>
                <w:rFonts w:ascii="Arial" w:hAnsi="Arial"/>
                <w:szCs w:val="22"/>
              </w:rPr>
              <w:t>Glass JM, Lyden AK, Petzke F et al (2004). The effect of brief exercise cessation on pain, fatigue, and mood symptom development in healthy, fit individuals. Journal of Psychosomatic Research, 57(4): 391-8.</w:t>
            </w:r>
          </w:p>
        </w:tc>
      </w:tr>
      <w:tr w:rsidR="002A4F0C" w:rsidRPr="002A4F0C" w14:paraId="40CFCACB" w14:textId="77777777" w:rsidTr="002A4F0C">
        <w:trPr>
          <w:cantSplit/>
        </w:trPr>
        <w:tc>
          <w:tcPr>
            <w:tcW w:w="1575" w:type="dxa"/>
            <w:shd w:val="clear" w:color="auto" w:fill="auto"/>
            <w:noWrap/>
            <w:vAlign w:val="center"/>
          </w:tcPr>
          <w:p w14:paraId="7C23E4ED" w14:textId="77777777" w:rsidR="002A4F0C" w:rsidRPr="002A4F0C" w:rsidRDefault="002A4F0C" w:rsidP="002A4F0C">
            <w:pPr>
              <w:spacing w:line="240" w:lineRule="auto"/>
              <w:jc w:val="center"/>
              <w:rPr>
                <w:rFonts w:ascii="Arial" w:hAnsi="Arial"/>
                <w:szCs w:val="22"/>
              </w:rPr>
            </w:pPr>
            <w:r w:rsidRPr="002A4F0C">
              <w:rPr>
                <w:rFonts w:ascii="Arial" w:hAnsi="Arial"/>
                <w:szCs w:val="22"/>
              </w:rPr>
              <w:t>67747</w:t>
            </w:r>
          </w:p>
        </w:tc>
        <w:tc>
          <w:tcPr>
            <w:tcW w:w="7938" w:type="dxa"/>
            <w:shd w:val="clear" w:color="auto" w:fill="auto"/>
            <w:vAlign w:val="bottom"/>
          </w:tcPr>
          <w:p w14:paraId="08124AE4" w14:textId="77777777" w:rsidR="002A4F0C" w:rsidRPr="002A4F0C" w:rsidRDefault="002A4F0C" w:rsidP="002A4F0C">
            <w:pPr>
              <w:spacing w:line="240" w:lineRule="auto"/>
              <w:rPr>
                <w:rFonts w:ascii="Arial" w:hAnsi="Arial"/>
                <w:szCs w:val="22"/>
              </w:rPr>
            </w:pPr>
            <w:r w:rsidRPr="002A4F0C">
              <w:rPr>
                <w:rFonts w:ascii="Arial" w:hAnsi="Arial"/>
                <w:szCs w:val="22"/>
              </w:rPr>
              <w:t>Vladutiu GD, Natelson BH (2004). Association of medically unexplained fatigue with ACE insertion/deletion polymorphism in Gulf War veterans. Muscle &amp; Nerve, 30(1): 38-43.</w:t>
            </w:r>
          </w:p>
        </w:tc>
      </w:tr>
      <w:tr w:rsidR="002A4F0C" w:rsidRPr="002A4F0C" w14:paraId="5E7EC996" w14:textId="77777777" w:rsidTr="002A4F0C">
        <w:trPr>
          <w:cantSplit/>
        </w:trPr>
        <w:tc>
          <w:tcPr>
            <w:tcW w:w="1575" w:type="dxa"/>
            <w:shd w:val="clear" w:color="auto" w:fill="auto"/>
            <w:noWrap/>
            <w:vAlign w:val="center"/>
          </w:tcPr>
          <w:p w14:paraId="7EA3AFE6" w14:textId="77777777" w:rsidR="002A4F0C" w:rsidRPr="002A4F0C" w:rsidRDefault="002A4F0C" w:rsidP="002A4F0C">
            <w:pPr>
              <w:spacing w:line="240" w:lineRule="auto"/>
              <w:jc w:val="center"/>
              <w:rPr>
                <w:rFonts w:ascii="Arial" w:hAnsi="Arial"/>
                <w:szCs w:val="22"/>
              </w:rPr>
            </w:pPr>
            <w:r w:rsidRPr="002A4F0C">
              <w:rPr>
                <w:rFonts w:ascii="Arial" w:hAnsi="Arial"/>
                <w:szCs w:val="22"/>
              </w:rPr>
              <w:t>67757</w:t>
            </w:r>
          </w:p>
        </w:tc>
        <w:tc>
          <w:tcPr>
            <w:tcW w:w="7938" w:type="dxa"/>
            <w:shd w:val="clear" w:color="auto" w:fill="auto"/>
            <w:vAlign w:val="bottom"/>
          </w:tcPr>
          <w:p w14:paraId="68A008CF" w14:textId="77777777" w:rsidR="002A4F0C" w:rsidRPr="002A4F0C" w:rsidRDefault="002A4F0C" w:rsidP="002A4F0C">
            <w:pPr>
              <w:spacing w:line="240" w:lineRule="auto"/>
              <w:rPr>
                <w:rFonts w:ascii="Arial" w:hAnsi="Arial"/>
                <w:szCs w:val="22"/>
              </w:rPr>
            </w:pPr>
            <w:r w:rsidRPr="002A4F0C">
              <w:rPr>
                <w:rFonts w:ascii="Arial" w:hAnsi="Arial"/>
                <w:szCs w:val="22"/>
              </w:rPr>
              <w:t>Holgate ST, Komaroff AL, Mangan D et al (2011). Chronic fatigue syndrome: understanding a complex illness. Nature Reviews Neuroscience, 12(9): 539-44.</w:t>
            </w:r>
          </w:p>
        </w:tc>
      </w:tr>
      <w:tr w:rsidR="002A4F0C" w:rsidRPr="002A4F0C" w14:paraId="2F8795B1" w14:textId="77777777" w:rsidTr="002A4F0C">
        <w:trPr>
          <w:cantSplit/>
        </w:trPr>
        <w:tc>
          <w:tcPr>
            <w:tcW w:w="1575" w:type="dxa"/>
            <w:shd w:val="clear" w:color="auto" w:fill="auto"/>
            <w:noWrap/>
            <w:vAlign w:val="center"/>
          </w:tcPr>
          <w:p w14:paraId="410857E8" w14:textId="77777777" w:rsidR="002A4F0C" w:rsidRPr="002A4F0C" w:rsidRDefault="002A4F0C" w:rsidP="002A4F0C">
            <w:pPr>
              <w:spacing w:line="240" w:lineRule="auto"/>
              <w:jc w:val="center"/>
              <w:rPr>
                <w:rFonts w:ascii="Arial" w:hAnsi="Arial"/>
                <w:szCs w:val="22"/>
              </w:rPr>
            </w:pPr>
            <w:r w:rsidRPr="002A4F0C">
              <w:rPr>
                <w:rFonts w:ascii="Arial" w:hAnsi="Arial"/>
                <w:szCs w:val="22"/>
              </w:rPr>
              <w:t>67769</w:t>
            </w:r>
          </w:p>
        </w:tc>
        <w:tc>
          <w:tcPr>
            <w:tcW w:w="7938" w:type="dxa"/>
            <w:shd w:val="clear" w:color="auto" w:fill="auto"/>
            <w:vAlign w:val="bottom"/>
          </w:tcPr>
          <w:p w14:paraId="78214601" w14:textId="77777777" w:rsidR="002A4F0C" w:rsidRPr="002A4F0C" w:rsidRDefault="002A4F0C" w:rsidP="002A4F0C">
            <w:pPr>
              <w:spacing w:line="240" w:lineRule="auto"/>
              <w:rPr>
                <w:rFonts w:ascii="Arial" w:hAnsi="Arial"/>
                <w:szCs w:val="22"/>
              </w:rPr>
            </w:pPr>
            <w:r w:rsidRPr="002A4F0C">
              <w:rPr>
                <w:rFonts w:ascii="Arial" w:hAnsi="Arial"/>
                <w:szCs w:val="22"/>
              </w:rPr>
              <w:t>Komaroff AL (2006). Is human herpesvirus-6 a trigger for chronic fatigue syndrome? Journal of Clinical Virology, 37(suppl 1): S39-46.</w:t>
            </w:r>
          </w:p>
        </w:tc>
      </w:tr>
      <w:tr w:rsidR="002A4F0C" w:rsidRPr="002A4F0C" w14:paraId="7D6CF167" w14:textId="77777777" w:rsidTr="002A4F0C">
        <w:trPr>
          <w:cantSplit/>
        </w:trPr>
        <w:tc>
          <w:tcPr>
            <w:tcW w:w="1575" w:type="dxa"/>
            <w:shd w:val="clear" w:color="auto" w:fill="auto"/>
            <w:noWrap/>
            <w:vAlign w:val="center"/>
          </w:tcPr>
          <w:p w14:paraId="7F866E8E" w14:textId="77777777" w:rsidR="002A4F0C" w:rsidRPr="002A4F0C" w:rsidRDefault="002A4F0C" w:rsidP="002A4F0C">
            <w:pPr>
              <w:spacing w:line="240" w:lineRule="auto"/>
              <w:jc w:val="center"/>
              <w:rPr>
                <w:rFonts w:ascii="Arial" w:hAnsi="Arial"/>
                <w:szCs w:val="22"/>
              </w:rPr>
            </w:pPr>
            <w:r w:rsidRPr="002A4F0C">
              <w:rPr>
                <w:rFonts w:ascii="Arial" w:hAnsi="Arial"/>
                <w:szCs w:val="22"/>
              </w:rPr>
              <w:t>67952</w:t>
            </w:r>
          </w:p>
        </w:tc>
        <w:tc>
          <w:tcPr>
            <w:tcW w:w="7938" w:type="dxa"/>
            <w:shd w:val="clear" w:color="auto" w:fill="auto"/>
            <w:vAlign w:val="bottom"/>
          </w:tcPr>
          <w:p w14:paraId="634C33D2" w14:textId="77777777" w:rsidR="002A4F0C" w:rsidRPr="002A4F0C" w:rsidRDefault="002A4F0C" w:rsidP="002A4F0C">
            <w:pPr>
              <w:spacing w:line="240" w:lineRule="auto"/>
              <w:rPr>
                <w:rFonts w:ascii="Arial" w:hAnsi="Arial"/>
                <w:szCs w:val="22"/>
              </w:rPr>
            </w:pPr>
            <w:r w:rsidRPr="002A4F0C">
              <w:rPr>
                <w:rFonts w:ascii="Arial" w:hAnsi="Arial"/>
                <w:szCs w:val="22"/>
              </w:rPr>
              <w:t>Clauw DJ, Arnold LM, McCarberg BH (2011). The science of fibromyalgia. Mayo Clin Proc, 86(9): 907-11.</w:t>
            </w:r>
          </w:p>
        </w:tc>
      </w:tr>
      <w:tr w:rsidR="002A4F0C" w:rsidRPr="002A4F0C" w14:paraId="01BD82B0" w14:textId="77777777" w:rsidTr="002A4F0C">
        <w:trPr>
          <w:cantSplit/>
        </w:trPr>
        <w:tc>
          <w:tcPr>
            <w:tcW w:w="1575" w:type="dxa"/>
            <w:shd w:val="clear" w:color="auto" w:fill="auto"/>
            <w:noWrap/>
            <w:vAlign w:val="center"/>
          </w:tcPr>
          <w:p w14:paraId="5775EEC2" w14:textId="77777777" w:rsidR="002A4F0C" w:rsidRPr="002A4F0C" w:rsidRDefault="002A4F0C" w:rsidP="002A4F0C">
            <w:pPr>
              <w:spacing w:line="240" w:lineRule="auto"/>
              <w:jc w:val="center"/>
              <w:rPr>
                <w:rFonts w:ascii="Arial" w:hAnsi="Arial"/>
                <w:szCs w:val="22"/>
              </w:rPr>
            </w:pPr>
            <w:r w:rsidRPr="002A4F0C">
              <w:rPr>
                <w:rFonts w:ascii="Arial" w:hAnsi="Arial"/>
                <w:szCs w:val="22"/>
              </w:rPr>
              <w:t>68088</w:t>
            </w:r>
          </w:p>
        </w:tc>
        <w:tc>
          <w:tcPr>
            <w:tcW w:w="7938" w:type="dxa"/>
            <w:shd w:val="clear" w:color="auto" w:fill="auto"/>
            <w:vAlign w:val="bottom"/>
          </w:tcPr>
          <w:p w14:paraId="62556982" w14:textId="77777777" w:rsidR="002A4F0C" w:rsidRPr="002A4F0C" w:rsidRDefault="002A4F0C" w:rsidP="002A4F0C">
            <w:pPr>
              <w:spacing w:line="240" w:lineRule="auto"/>
              <w:rPr>
                <w:rFonts w:ascii="Arial" w:hAnsi="Arial"/>
                <w:szCs w:val="22"/>
              </w:rPr>
            </w:pPr>
            <w:r w:rsidRPr="002A4F0C">
              <w:rPr>
                <w:rFonts w:ascii="Arial" w:hAnsi="Arial"/>
                <w:szCs w:val="22"/>
              </w:rPr>
              <w:t>Horner RD, Feussner JR, Kasarskis EJ et al (2010). [Comment] Neurological mortality among Gulf War veterans. Am J Ind Med, 53: 548-9. Comment on ID: 65945.</w:t>
            </w:r>
          </w:p>
        </w:tc>
      </w:tr>
      <w:tr w:rsidR="002A4F0C" w:rsidRPr="002A4F0C" w14:paraId="49890441" w14:textId="77777777" w:rsidTr="002A4F0C">
        <w:trPr>
          <w:cantSplit/>
        </w:trPr>
        <w:tc>
          <w:tcPr>
            <w:tcW w:w="1575" w:type="dxa"/>
            <w:shd w:val="clear" w:color="auto" w:fill="auto"/>
            <w:noWrap/>
            <w:vAlign w:val="center"/>
          </w:tcPr>
          <w:p w14:paraId="5E4B40F9" w14:textId="77777777" w:rsidR="002A4F0C" w:rsidRPr="002A4F0C" w:rsidRDefault="002A4F0C" w:rsidP="002A4F0C">
            <w:pPr>
              <w:spacing w:line="240" w:lineRule="auto"/>
              <w:jc w:val="center"/>
              <w:rPr>
                <w:rFonts w:ascii="Arial" w:hAnsi="Arial"/>
                <w:szCs w:val="22"/>
              </w:rPr>
            </w:pPr>
            <w:r w:rsidRPr="002A4F0C">
              <w:rPr>
                <w:rFonts w:ascii="Arial" w:hAnsi="Arial"/>
                <w:szCs w:val="22"/>
              </w:rPr>
              <w:t>68089</w:t>
            </w:r>
          </w:p>
        </w:tc>
        <w:tc>
          <w:tcPr>
            <w:tcW w:w="7938" w:type="dxa"/>
            <w:shd w:val="clear" w:color="auto" w:fill="auto"/>
            <w:vAlign w:val="bottom"/>
          </w:tcPr>
          <w:p w14:paraId="080882A7" w14:textId="77777777" w:rsidR="002A4F0C" w:rsidRPr="002A4F0C" w:rsidRDefault="002A4F0C" w:rsidP="002A4F0C">
            <w:pPr>
              <w:spacing w:line="240" w:lineRule="auto"/>
              <w:rPr>
                <w:rFonts w:ascii="Arial" w:hAnsi="Arial"/>
                <w:szCs w:val="22"/>
              </w:rPr>
            </w:pPr>
            <w:r w:rsidRPr="002A4F0C">
              <w:rPr>
                <w:rFonts w:ascii="Arial" w:hAnsi="Arial"/>
                <w:szCs w:val="22"/>
              </w:rPr>
              <w:t>Barth SK, Kang HK, Bullman TA et al (2010). [Comment] Response to the letter to the editor on "Neurological mortality among Gulf War veterans". Am J Indu Med, 53: 741-2. Comment on ID: 68088.</w:t>
            </w:r>
          </w:p>
        </w:tc>
      </w:tr>
      <w:tr w:rsidR="002A4F0C" w:rsidRPr="002A4F0C" w14:paraId="002D43EC" w14:textId="77777777" w:rsidTr="002A4F0C">
        <w:trPr>
          <w:cantSplit/>
        </w:trPr>
        <w:tc>
          <w:tcPr>
            <w:tcW w:w="1575" w:type="dxa"/>
            <w:shd w:val="clear" w:color="auto" w:fill="auto"/>
            <w:noWrap/>
            <w:vAlign w:val="center"/>
          </w:tcPr>
          <w:p w14:paraId="2875054F" w14:textId="77777777" w:rsidR="002A4F0C" w:rsidRPr="002A4F0C" w:rsidRDefault="002A4F0C" w:rsidP="002A4F0C">
            <w:pPr>
              <w:spacing w:line="240" w:lineRule="auto"/>
              <w:jc w:val="center"/>
              <w:rPr>
                <w:rFonts w:ascii="Arial" w:hAnsi="Arial"/>
                <w:szCs w:val="22"/>
              </w:rPr>
            </w:pPr>
            <w:r w:rsidRPr="002A4F0C">
              <w:rPr>
                <w:rFonts w:ascii="Arial" w:hAnsi="Arial"/>
                <w:szCs w:val="22"/>
              </w:rPr>
              <w:t>68121</w:t>
            </w:r>
          </w:p>
        </w:tc>
        <w:tc>
          <w:tcPr>
            <w:tcW w:w="7938" w:type="dxa"/>
            <w:shd w:val="clear" w:color="auto" w:fill="auto"/>
            <w:vAlign w:val="bottom"/>
          </w:tcPr>
          <w:p w14:paraId="2C597D6B" w14:textId="77777777" w:rsidR="002A4F0C" w:rsidRPr="002A4F0C" w:rsidRDefault="002A4F0C" w:rsidP="002A4F0C">
            <w:pPr>
              <w:spacing w:line="240" w:lineRule="auto"/>
              <w:rPr>
                <w:rFonts w:ascii="Arial" w:hAnsi="Arial"/>
                <w:szCs w:val="22"/>
              </w:rPr>
            </w:pPr>
            <w:r w:rsidRPr="002A4F0C">
              <w:rPr>
                <w:rFonts w:ascii="Arial" w:hAnsi="Arial"/>
                <w:szCs w:val="22"/>
              </w:rPr>
              <w:t>Wojcik W, Armstrong D, Kanaan R (2011). Chronic fatigue syndrome: Labels, meanings and consequences. J Psychosomatic Res, 70: 500-4.</w:t>
            </w:r>
          </w:p>
        </w:tc>
      </w:tr>
      <w:tr w:rsidR="002A4F0C" w:rsidRPr="002A4F0C" w14:paraId="52375F74" w14:textId="77777777" w:rsidTr="002A4F0C">
        <w:trPr>
          <w:cantSplit/>
        </w:trPr>
        <w:tc>
          <w:tcPr>
            <w:tcW w:w="1575" w:type="dxa"/>
            <w:shd w:val="clear" w:color="auto" w:fill="auto"/>
            <w:noWrap/>
            <w:vAlign w:val="center"/>
          </w:tcPr>
          <w:p w14:paraId="6393643D" w14:textId="77777777" w:rsidR="002A4F0C" w:rsidRPr="002A4F0C" w:rsidRDefault="002A4F0C" w:rsidP="002A4F0C">
            <w:pPr>
              <w:spacing w:line="240" w:lineRule="auto"/>
              <w:jc w:val="center"/>
              <w:rPr>
                <w:rFonts w:ascii="Arial" w:hAnsi="Arial"/>
                <w:szCs w:val="22"/>
              </w:rPr>
            </w:pPr>
            <w:r w:rsidRPr="002A4F0C">
              <w:rPr>
                <w:rFonts w:ascii="Arial" w:hAnsi="Arial"/>
                <w:szCs w:val="22"/>
              </w:rPr>
              <w:t>68175</w:t>
            </w:r>
          </w:p>
        </w:tc>
        <w:tc>
          <w:tcPr>
            <w:tcW w:w="7938" w:type="dxa"/>
            <w:shd w:val="clear" w:color="auto" w:fill="auto"/>
            <w:vAlign w:val="bottom"/>
          </w:tcPr>
          <w:p w14:paraId="28795826" w14:textId="77777777" w:rsidR="002A4F0C" w:rsidRPr="002A4F0C" w:rsidRDefault="002A4F0C" w:rsidP="002A4F0C">
            <w:pPr>
              <w:spacing w:line="240" w:lineRule="auto"/>
              <w:rPr>
                <w:rFonts w:ascii="Arial" w:hAnsi="Arial"/>
                <w:szCs w:val="22"/>
              </w:rPr>
            </w:pPr>
            <w:r w:rsidRPr="002A4F0C">
              <w:rPr>
                <w:rFonts w:ascii="Arial" w:hAnsi="Arial"/>
                <w:szCs w:val="22"/>
              </w:rPr>
              <w:t>Abdullah L, Crynen G, Reed J et al (2011). Proteomic CNS profile of delayed cognitive impairment in mice exposed to Gulf War agents. Neuromolecular Med, 13: 275-88.</w:t>
            </w:r>
          </w:p>
        </w:tc>
      </w:tr>
      <w:tr w:rsidR="002A4F0C" w:rsidRPr="002A4F0C" w14:paraId="541F63E3" w14:textId="77777777" w:rsidTr="002A4F0C">
        <w:trPr>
          <w:cantSplit/>
        </w:trPr>
        <w:tc>
          <w:tcPr>
            <w:tcW w:w="1575" w:type="dxa"/>
            <w:shd w:val="clear" w:color="auto" w:fill="auto"/>
            <w:noWrap/>
            <w:vAlign w:val="center"/>
          </w:tcPr>
          <w:p w14:paraId="3155C11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68176</w:t>
            </w:r>
          </w:p>
        </w:tc>
        <w:tc>
          <w:tcPr>
            <w:tcW w:w="7938" w:type="dxa"/>
            <w:shd w:val="clear" w:color="auto" w:fill="auto"/>
            <w:vAlign w:val="bottom"/>
          </w:tcPr>
          <w:p w14:paraId="41DCF13C" w14:textId="77777777" w:rsidR="002A4F0C" w:rsidRPr="002A4F0C" w:rsidRDefault="002A4F0C" w:rsidP="002A4F0C">
            <w:pPr>
              <w:spacing w:line="240" w:lineRule="auto"/>
              <w:rPr>
                <w:rFonts w:ascii="Arial" w:hAnsi="Arial"/>
                <w:szCs w:val="22"/>
              </w:rPr>
            </w:pPr>
            <w:r w:rsidRPr="002A4F0C">
              <w:rPr>
                <w:rFonts w:ascii="Arial" w:hAnsi="Arial"/>
                <w:szCs w:val="22"/>
              </w:rPr>
              <w:t>Broderick G, Kreitz A, Fuite J et al (2011). A pilot study of immune network remodeling under challenge in Gulf War illness. Brain, Behavior, and Immunity, 25: 302-13.</w:t>
            </w:r>
          </w:p>
        </w:tc>
      </w:tr>
      <w:tr w:rsidR="002A4F0C" w:rsidRPr="002A4F0C" w14:paraId="76C768C1" w14:textId="77777777" w:rsidTr="002A4F0C">
        <w:trPr>
          <w:cantSplit/>
        </w:trPr>
        <w:tc>
          <w:tcPr>
            <w:tcW w:w="1575" w:type="dxa"/>
            <w:shd w:val="clear" w:color="auto" w:fill="auto"/>
            <w:noWrap/>
            <w:vAlign w:val="center"/>
          </w:tcPr>
          <w:p w14:paraId="5347D42E" w14:textId="77777777" w:rsidR="002A4F0C" w:rsidRPr="002A4F0C" w:rsidRDefault="002A4F0C" w:rsidP="002A4F0C">
            <w:pPr>
              <w:spacing w:line="240" w:lineRule="auto"/>
              <w:jc w:val="center"/>
              <w:rPr>
                <w:rFonts w:ascii="Arial" w:hAnsi="Arial"/>
                <w:szCs w:val="22"/>
              </w:rPr>
            </w:pPr>
            <w:r w:rsidRPr="002A4F0C">
              <w:rPr>
                <w:rFonts w:ascii="Arial" w:hAnsi="Arial"/>
                <w:szCs w:val="22"/>
              </w:rPr>
              <w:t>68177</w:t>
            </w:r>
          </w:p>
        </w:tc>
        <w:tc>
          <w:tcPr>
            <w:tcW w:w="7938" w:type="dxa"/>
            <w:shd w:val="clear" w:color="auto" w:fill="auto"/>
            <w:vAlign w:val="bottom"/>
          </w:tcPr>
          <w:p w14:paraId="05A3C4F4" w14:textId="77777777" w:rsidR="002A4F0C" w:rsidRPr="002A4F0C" w:rsidRDefault="002A4F0C" w:rsidP="002A4F0C">
            <w:pPr>
              <w:spacing w:line="240" w:lineRule="auto"/>
              <w:rPr>
                <w:rFonts w:ascii="Arial" w:hAnsi="Arial"/>
                <w:szCs w:val="22"/>
              </w:rPr>
            </w:pPr>
            <w:r w:rsidRPr="002A4F0C">
              <w:rPr>
                <w:rFonts w:ascii="Arial" w:hAnsi="Arial"/>
                <w:szCs w:val="22"/>
              </w:rPr>
              <w:t>Broderick G, Fletcher MA, Gallagher M et al (2012). Exploring the diagnostic potential of immune biomarker coexpression in gulf war illness. Methods Mol Biol, 934: 145-64.</w:t>
            </w:r>
          </w:p>
        </w:tc>
      </w:tr>
      <w:tr w:rsidR="002A4F0C" w:rsidRPr="002A4F0C" w14:paraId="428AAA7D" w14:textId="77777777" w:rsidTr="002A4F0C">
        <w:trPr>
          <w:cantSplit/>
        </w:trPr>
        <w:tc>
          <w:tcPr>
            <w:tcW w:w="1575" w:type="dxa"/>
            <w:shd w:val="clear" w:color="auto" w:fill="auto"/>
            <w:noWrap/>
            <w:vAlign w:val="center"/>
          </w:tcPr>
          <w:p w14:paraId="5B0AA315" w14:textId="77777777" w:rsidR="002A4F0C" w:rsidRPr="002A4F0C" w:rsidRDefault="002A4F0C" w:rsidP="002A4F0C">
            <w:pPr>
              <w:spacing w:line="240" w:lineRule="auto"/>
              <w:jc w:val="center"/>
              <w:rPr>
                <w:rFonts w:ascii="Arial" w:hAnsi="Arial"/>
                <w:szCs w:val="22"/>
              </w:rPr>
            </w:pPr>
            <w:r w:rsidRPr="002A4F0C">
              <w:rPr>
                <w:rFonts w:ascii="Arial" w:hAnsi="Arial"/>
                <w:szCs w:val="22"/>
              </w:rPr>
              <w:t>68179</w:t>
            </w:r>
          </w:p>
        </w:tc>
        <w:tc>
          <w:tcPr>
            <w:tcW w:w="7938" w:type="dxa"/>
            <w:shd w:val="clear" w:color="auto" w:fill="auto"/>
            <w:vAlign w:val="bottom"/>
          </w:tcPr>
          <w:p w14:paraId="421F36EB" w14:textId="77777777" w:rsidR="002A4F0C" w:rsidRPr="002A4F0C" w:rsidRDefault="002A4F0C" w:rsidP="002A4F0C">
            <w:pPr>
              <w:spacing w:line="240" w:lineRule="auto"/>
              <w:rPr>
                <w:rFonts w:ascii="Arial" w:hAnsi="Arial"/>
                <w:szCs w:val="22"/>
              </w:rPr>
            </w:pPr>
            <w:r w:rsidRPr="002A4F0C">
              <w:rPr>
                <w:rFonts w:ascii="Arial" w:hAnsi="Arial"/>
                <w:szCs w:val="22"/>
              </w:rPr>
              <w:t>Chao LL, Rothlind JC, Cardenas VA et al (2010). Effects of low-level exposure to sarin and cyclosarin during the 1991 Gulf War on brain function and brain structure in US veterans. Neurotoxicology, 31(5): 493-501.</w:t>
            </w:r>
          </w:p>
        </w:tc>
      </w:tr>
      <w:tr w:rsidR="002A4F0C" w:rsidRPr="002A4F0C" w14:paraId="1D7F1AE2" w14:textId="77777777" w:rsidTr="002A4F0C">
        <w:trPr>
          <w:cantSplit/>
        </w:trPr>
        <w:tc>
          <w:tcPr>
            <w:tcW w:w="1575" w:type="dxa"/>
            <w:shd w:val="clear" w:color="auto" w:fill="auto"/>
            <w:noWrap/>
            <w:vAlign w:val="center"/>
          </w:tcPr>
          <w:p w14:paraId="5CBB646F" w14:textId="77777777" w:rsidR="002A4F0C" w:rsidRPr="002A4F0C" w:rsidRDefault="002A4F0C" w:rsidP="002A4F0C">
            <w:pPr>
              <w:spacing w:line="240" w:lineRule="auto"/>
              <w:jc w:val="center"/>
              <w:rPr>
                <w:rFonts w:ascii="Arial" w:hAnsi="Arial"/>
                <w:szCs w:val="22"/>
              </w:rPr>
            </w:pPr>
            <w:r w:rsidRPr="002A4F0C">
              <w:rPr>
                <w:rFonts w:ascii="Arial" w:hAnsi="Arial"/>
                <w:szCs w:val="22"/>
              </w:rPr>
              <w:t>68180</w:t>
            </w:r>
          </w:p>
        </w:tc>
        <w:tc>
          <w:tcPr>
            <w:tcW w:w="7938" w:type="dxa"/>
            <w:shd w:val="clear" w:color="auto" w:fill="auto"/>
            <w:vAlign w:val="bottom"/>
          </w:tcPr>
          <w:p w14:paraId="1C08ED2A" w14:textId="77777777" w:rsidR="002A4F0C" w:rsidRPr="002A4F0C" w:rsidRDefault="002A4F0C" w:rsidP="002A4F0C">
            <w:pPr>
              <w:spacing w:line="240" w:lineRule="auto"/>
              <w:rPr>
                <w:rFonts w:ascii="Arial" w:hAnsi="Arial"/>
                <w:szCs w:val="22"/>
              </w:rPr>
            </w:pPr>
            <w:r w:rsidRPr="002A4F0C">
              <w:rPr>
                <w:rFonts w:ascii="Arial" w:hAnsi="Arial"/>
                <w:szCs w:val="22"/>
              </w:rPr>
              <w:t>Cohen A (2010). Not yet explained symptoms. Mental Health in Family Medicine, 7: 189-90.</w:t>
            </w:r>
          </w:p>
        </w:tc>
      </w:tr>
      <w:tr w:rsidR="002A4F0C" w:rsidRPr="002A4F0C" w14:paraId="1EACBACA" w14:textId="77777777" w:rsidTr="002A4F0C">
        <w:trPr>
          <w:cantSplit/>
        </w:trPr>
        <w:tc>
          <w:tcPr>
            <w:tcW w:w="1575" w:type="dxa"/>
            <w:shd w:val="clear" w:color="auto" w:fill="auto"/>
            <w:noWrap/>
            <w:vAlign w:val="center"/>
          </w:tcPr>
          <w:p w14:paraId="3037138A"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68221</w:t>
            </w:r>
          </w:p>
        </w:tc>
        <w:tc>
          <w:tcPr>
            <w:tcW w:w="7938" w:type="dxa"/>
            <w:shd w:val="clear" w:color="auto" w:fill="auto"/>
            <w:vAlign w:val="bottom"/>
          </w:tcPr>
          <w:p w14:paraId="4BF55AE4" w14:textId="77777777" w:rsidR="002A4F0C" w:rsidRPr="002A4F0C" w:rsidRDefault="002A4F0C" w:rsidP="002A4F0C">
            <w:pPr>
              <w:spacing w:line="240" w:lineRule="auto"/>
              <w:rPr>
                <w:rFonts w:ascii="Arial" w:hAnsi="Arial"/>
                <w:szCs w:val="22"/>
              </w:rPr>
            </w:pPr>
            <w:r w:rsidRPr="002A4F0C">
              <w:rPr>
                <w:rFonts w:ascii="Arial" w:hAnsi="Arial"/>
                <w:szCs w:val="22"/>
              </w:rPr>
              <w:t>Singh B, Nunn J, Martin J, et al (1981). Abnormal treatment behaviour. British Journal of Medical Psychology, 54(1): 67-73.</w:t>
            </w:r>
          </w:p>
        </w:tc>
      </w:tr>
      <w:tr w:rsidR="002A4F0C" w:rsidRPr="002A4F0C" w14:paraId="2698A018" w14:textId="77777777" w:rsidTr="002A4F0C">
        <w:trPr>
          <w:cantSplit/>
        </w:trPr>
        <w:tc>
          <w:tcPr>
            <w:tcW w:w="1575" w:type="dxa"/>
            <w:shd w:val="clear" w:color="auto" w:fill="auto"/>
            <w:noWrap/>
            <w:vAlign w:val="center"/>
          </w:tcPr>
          <w:p w14:paraId="6386A8AE"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68241</w:t>
            </w:r>
          </w:p>
        </w:tc>
        <w:tc>
          <w:tcPr>
            <w:tcW w:w="7938" w:type="dxa"/>
            <w:shd w:val="clear" w:color="auto" w:fill="auto"/>
            <w:vAlign w:val="bottom"/>
          </w:tcPr>
          <w:p w14:paraId="4001F81F" w14:textId="77777777" w:rsidR="002A4F0C" w:rsidRPr="002A4F0C" w:rsidRDefault="002A4F0C" w:rsidP="002A4F0C">
            <w:pPr>
              <w:spacing w:line="240" w:lineRule="auto"/>
              <w:rPr>
                <w:rFonts w:ascii="Arial" w:hAnsi="Arial"/>
                <w:szCs w:val="22"/>
              </w:rPr>
            </w:pPr>
            <w:r w:rsidRPr="002A4F0C">
              <w:rPr>
                <w:rFonts w:ascii="Arial" w:hAnsi="Arial"/>
                <w:szCs w:val="22"/>
              </w:rPr>
              <w:t>Cohen M, Quintner J, Buchanan D (2013). Is chronic pain a disease? Pain Medicine, 14(9): 1284-8.</w:t>
            </w:r>
          </w:p>
        </w:tc>
      </w:tr>
      <w:tr w:rsidR="002A4F0C" w:rsidRPr="002A4F0C" w14:paraId="1B681771" w14:textId="77777777" w:rsidTr="002A4F0C">
        <w:trPr>
          <w:cantSplit/>
        </w:trPr>
        <w:tc>
          <w:tcPr>
            <w:tcW w:w="1575" w:type="dxa"/>
            <w:shd w:val="clear" w:color="auto" w:fill="auto"/>
            <w:noWrap/>
            <w:vAlign w:val="center"/>
          </w:tcPr>
          <w:p w14:paraId="48428299"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68244</w:t>
            </w:r>
          </w:p>
        </w:tc>
        <w:tc>
          <w:tcPr>
            <w:tcW w:w="7938" w:type="dxa"/>
            <w:shd w:val="clear" w:color="auto" w:fill="auto"/>
            <w:vAlign w:val="bottom"/>
          </w:tcPr>
          <w:p w14:paraId="3A99052B" w14:textId="77777777" w:rsidR="002A4F0C" w:rsidRPr="002A4F0C" w:rsidRDefault="002A4F0C" w:rsidP="002A4F0C">
            <w:pPr>
              <w:spacing w:line="240" w:lineRule="auto"/>
              <w:rPr>
                <w:rFonts w:ascii="Arial" w:hAnsi="Arial"/>
                <w:szCs w:val="22"/>
              </w:rPr>
            </w:pPr>
            <w:r w:rsidRPr="002A4F0C">
              <w:rPr>
                <w:rFonts w:ascii="Arial" w:hAnsi="Arial"/>
                <w:szCs w:val="22"/>
              </w:rPr>
              <w:t>Creamer M, Carboon I, Forbes AB et al (2006). Psychiatric disorder and separation from military service: a 10-year retrospective study. Am J Psychiatry, 163: 733-4.</w:t>
            </w:r>
          </w:p>
        </w:tc>
      </w:tr>
      <w:tr w:rsidR="002A4F0C" w:rsidRPr="002A4F0C" w14:paraId="55BAFC52" w14:textId="77777777" w:rsidTr="002A4F0C">
        <w:trPr>
          <w:cantSplit/>
        </w:trPr>
        <w:tc>
          <w:tcPr>
            <w:tcW w:w="1575" w:type="dxa"/>
            <w:shd w:val="clear" w:color="auto" w:fill="auto"/>
            <w:noWrap/>
            <w:vAlign w:val="center"/>
          </w:tcPr>
          <w:p w14:paraId="03581535"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68256</w:t>
            </w:r>
          </w:p>
        </w:tc>
        <w:tc>
          <w:tcPr>
            <w:tcW w:w="7938" w:type="dxa"/>
            <w:shd w:val="clear" w:color="auto" w:fill="auto"/>
            <w:vAlign w:val="bottom"/>
          </w:tcPr>
          <w:p w14:paraId="65324CD9" w14:textId="77777777" w:rsidR="002A4F0C" w:rsidRPr="002A4F0C" w:rsidRDefault="002A4F0C" w:rsidP="002A4F0C">
            <w:pPr>
              <w:spacing w:line="240" w:lineRule="auto"/>
              <w:rPr>
                <w:rFonts w:ascii="Arial" w:hAnsi="Arial"/>
                <w:szCs w:val="22"/>
              </w:rPr>
            </w:pPr>
            <w:r w:rsidRPr="002A4F0C">
              <w:rPr>
                <w:rFonts w:ascii="Arial" w:hAnsi="Arial"/>
                <w:szCs w:val="22"/>
              </w:rPr>
              <w:t>Keeler JR, Hurst CG, Dunn MA (1991). Pyridostigmine used as a nerve agent pretreatment under wartime conditions. JAMA, 266: 693-5.</w:t>
            </w:r>
          </w:p>
        </w:tc>
      </w:tr>
      <w:tr w:rsidR="002A4F0C" w:rsidRPr="002A4F0C" w14:paraId="0AFD656D" w14:textId="77777777" w:rsidTr="002A4F0C">
        <w:trPr>
          <w:cantSplit/>
        </w:trPr>
        <w:tc>
          <w:tcPr>
            <w:tcW w:w="1575" w:type="dxa"/>
            <w:shd w:val="clear" w:color="auto" w:fill="auto"/>
            <w:noWrap/>
            <w:vAlign w:val="center"/>
          </w:tcPr>
          <w:p w14:paraId="016EA751"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68260</w:t>
            </w:r>
          </w:p>
        </w:tc>
        <w:tc>
          <w:tcPr>
            <w:tcW w:w="7938" w:type="dxa"/>
            <w:shd w:val="clear" w:color="auto" w:fill="auto"/>
            <w:vAlign w:val="bottom"/>
          </w:tcPr>
          <w:p w14:paraId="0D157385" w14:textId="77777777" w:rsidR="002A4F0C" w:rsidRPr="002A4F0C" w:rsidRDefault="002A4F0C" w:rsidP="002A4F0C">
            <w:pPr>
              <w:spacing w:line="240" w:lineRule="auto"/>
              <w:rPr>
                <w:rFonts w:ascii="Arial" w:hAnsi="Arial"/>
                <w:szCs w:val="22"/>
              </w:rPr>
            </w:pPr>
            <w:r w:rsidRPr="002A4F0C">
              <w:rPr>
                <w:rFonts w:ascii="Arial" w:hAnsi="Arial"/>
                <w:szCs w:val="22"/>
              </w:rPr>
              <w:t>Kelsall HL, Sim MR, Ikin JF et al (2007). Reproductive health of male Australian veterans of the 1991 Gulf War. BMC Public Health, 7: 79.</w:t>
            </w:r>
          </w:p>
        </w:tc>
      </w:tr>
      <w:tr w:rsidR="002A4F0C" w:rsidRPr="002A4F0C" w14:paraId="751E449E" w14:textId="77777777" w:rsidTr="002A4F0C">
        <w:trPr>
          <w:cantSplit/>
        </w:trPr>
        <w:tc>
          <w:tcPr>
            <w:tcW w:w="1575" w:type="dxa"/>
            <w:shd w:val="clear" w:color="auto" w:fill="auto"/>
            <w:noWrap/>
            <w:vAlign w:val="center"/>
          </w:tcPr>
          <w:p w14:paraId="3628B6BD"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68261</w:t>
            </w:r>
          </w:p>
        </w:tc>
        <w:tc>
          <w:tcPr>
            <w:tcW w:w="7938" w:type="dxa"/>
            <w:shd w:val="clear" w:color="auto" w:fill="auto"/>
            <w:vAlign w:val="bottom"/>
          </w:tcPr>
          <w:p w14:paraId="52F75254" w14:textId="77777777" w:rsidR="002A4F0C" w:rsidRPr="002A4F0C" w:rsidRDefault="002A4F0C" w:rsidP="002A4F0C">
            <w:pPr>
              <w:spacing w:line="240" w:lineRule="auto"/>
              <w:rPr>
                <w:rFonts w:ascii="Arial" w:hAnsi="Arial"/>
                <w:szCs w:val="22"/>
              </w:rPr>
            </w:pPr>
            <w:r w:rsidRPr="002A4F0C">
              <w:rPr>
                <w:rFonts w:ascii="Arial" w:hAnsi="Arial"/>
                <w:szCs w:val="22"/>
              </w:rPr>
              <w:t>Kelsall H, McKenzie D, Sim M et al (2008). Comparison of self-reported and recorded  vaccinations and health effects in Australian Gulf War veterans. Vaccine, 26: 4290-7.</w:t>
            </w:r>
          </w:p>
        </w:tc>
      </w:tr>
      <w:tr w:rsidR="002A4F0C" w:rsidRPr="002A4F0C" w14:paraId="5E364307" w14:textId="77777777" w:rsidTr="002A4F0C">
        <w:trPr>
          <w:cantSplit/>
        </w:trPr>
        <w:tc>
          <w:tcPr>
            <w:tcW w:w="1575" w:type="dxa"/>
            <w:shd w:val="clear" w:color="auto" w:fill="auto"/>
            <w:noWrap/>
            <w:vAlign w:val="center"/>
          </w:tcPr>
          <w:p w14:paraId="253B550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68262</w:t>
            </w:r>
          </w:p>
        </w:tc>
        <w:tc>
          <w:tcPr>
            <w:tcW w:w="7938" w:type="dxa"/>
            <w:shd w:val="clear" w:color="auto" w:fill="auto"/>
            <w:vAlign w:val="bottom"/>
          </w:tcPr>
          <w:p w14:paraId="7039386B" w14:textId="77777777" w:rsidR="002A4F0C" w:rsidRPr="002A4F0C" w:rsidRDefault="002A4F0C" w:rsidP="002A4F0C">
            <w:pPr>
              <w:spacing w:line="240" w:lineRule="auto"/>
              <w:rPr>
                <w:rFonts w:ascii="Arial" w:hAnsi="Arial"/>
                <w:szCs w:val="22"/>
              </w:rPr>
            </w:pPr>
            <w:r w:rsidRPr="002A4F0C">
              <w:rPr>
                <w:rFonts w:ascii="Arial" w:hAnsi="Arial"/>
                <w:szCs w:val="22"/>
              </w:rPr>
              <w:t>Mackenzie Ross SJ, Brewin CR, Curran HV, et al (2010). Neuropsychological and psychiatric functioning in sheep farmers exposed to low levels of organophosphate pesticides. Neurotoxicol Teratol, 32(4): 452-9.</w:t>
            </w:r>
          </w:p>
        </w:tc>
      </w:tr>
      <w:tr w:rsidR="002A4F0C" w:rsidRPr="002A4F0C" w14:paraId="41C02B72" w14:textId="77777777" w:rsidTr="002A4F0C">
        <w:trPr>
          <w:cantSplit/>
        </w:trPr>
        <w:tc>
          <w:tcPr>
            <w:tcW w:w="1575" w:type="dxa"/>
            <w:shd w:val="clear" w:color="auto" w:fill="auto"/>
            <w:noWrap/>
            <w:vAlign w:val="center"/>
          </w:tcPr>
          <w:p w14:paraId="62B63B95"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68263</w:t>
            </w:r>
          </w:p>
        </w:tc>
        <w:tc>
          <w:tcPr>
            <w:tcW w:w="7938" w:type="dxa"/>
            <w:shd w:val="clear" w:color="auto" w:fill="auto"/>
            <w:vAlign w:val="bottom"/>
          </w:tcPr>
          <w:p w14:paraId="0418AD62" w14:textId="77777777" w:rsidR="002A4F0C" w:rsidRPr="002A4F0C" w:rsidRDefault="002A4F0C" w:rsidP="002A4F0C">
            <w:pPr>
              <w:spacing w:line="240" w:lineRule="auto"/>
              <w:rPr>
                <w:rFonts w:ascii="Arial" w:hAnsi="Arial"/>
                <w:szCs w:val="22"/>
              </w:rPr>
            </w:pPr>
            <w:r w:rsidRPr="002A4F0C">
              <w:rPr>
                <w:rFonts w:ascii="Arial" w:hAnsi="Arial"/>
                <w:szCs w:val="22"/>
              </w:rPr>
              <w:t>McAndrew LM, Teichman RF, Osinubi OY et al (2012). Environmental exposure and health of operation enduring freedom/operation Iraqi freedom veterans. JOEM, 54(6): 665-9.</w:t>
            </w:r>
          </w:p>
        </w:tc>
      </w:tr>
      <w:tr w:rsidR="002A4F0C" w:rsidRPr="002A4F0C" w14:paraId="662C7AFA" w14:textId="77777777" w:rsidTr="002A4F0C">
        <w:trPr>
          <w:cantSplit/>
        </w:trPr>
        <w:tc>
          <w:tcPr>
            <w:tcW w:w="1575" w:type="dxa"/>
            <w:shd w:val="clear" w:color="auto" w:fill="auto"/>
            <w:noWrap/>
            <w:vAlign w:val="center"/>
          </w:tcPr>
          <w:p w14:paraId="044F79A7"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68264</w:t>
            </w:r>
          </w:p>
        </w:tc>
        <w:tc>
          <w:tcPr>
            <w:tcW w:w="7938" w:type="dxa"/>
            <w:shd w:val="clear" w:color="auto" w:fill="auto"/>
            <w:vAlign w:val="bottom"/>
          </w:tcPr>
          <w:p w14:paraId="77FAA8D9" w14:textId="77777777" w:rsidR="002A4F0C" w:rsidRPr="002A4F0C" w:rsidRDefault="002A4F0C" w:rsidP="002A4F0C">
            <w:pPr>
              <w:spacing w:line="240" w:lineRule="auto"/>
              <w:rPr>
                <w:rFonts w:ascii="Arial" w:hAnsi="Arial"/>
                <w:szCs w:val="22"/>
              </w:rPr>
            </w:pPr>
            <w:r w:rsidRPr="002A4F0C">
              <w:rPr>
                <w:rFonts w:ascii="Arial" w:hAnsi="Arial"/>
                <w:szCs w:val="22"/>
              </w:rPr>
              <w:t>McKenzie DP, Ikin JF, McFarlane AC et al (2004). Psychological health of Australian veterans of the 1991 Gulf War: an assessment using the SF12, GHQ12 and PCLS. Psychological Medicine, 34(8): 1419-30.</w:t>
            </w:r>
          </w:p>
        </w:tc>
      </w:tr>
      <w:tr w:rsidR="002A4F0C" w:rsidRPr="002A4F0C" w14:paraId="0F5B57B2" w14:textId="77777777" w:rsidTr="002A4F0C">
        <w:trPr>
          <w:cantSplit/>
        </w:trPr>
        <w:tc>
          <w:tcPr>
            <w:tcW w:w="1575" w:type="dxa"/>
            <w:shd w:val="clear" w:color="auto" w:fill="auto"/>
            <w:noWrap/>
            <w:vAlign w:val="center"/>
          </w:tcPr>
          <w:p w14:paraId="5376A342"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68265</w:t>
            </w:r>
          </w:p>
        </w:tc>
        <w:tc>
          <w:tcPr>
            <w:tcW w:w="7938" w:type="dxa"/>
            <w:shd w:val="clear" w:color="auto" w:fill="auto"/>
            <w:vAlign w:val="bottom"/>
          </w:tcPr>
          <w:p w14:paraId="0961FE09" w14:textId="77777777" w:rsidR="002A4F0C" w:rsidRPr="002A4F0C" w:rsidRDefault="002A4F0C" w:rsidP="002A4F0C">
            <w:pPr>
              <w:spacing w:line="240" w:lineRule="auto"/>
              <w:rPr>
                <w:rFonts w:ascii="Arial" w:hAnsi="Arial"/>
                <w:szCs w:val="22"/>
              </w:rPr>
            </w:pPr>
            <w:r w:rsidRPr="002A4F0C">
              <w:rPr>
                <w:rFonts w:ascii="Arial" w:hAnsi="Arial"/>
                <w:szCs w:val="22"/>
              </w:rPr>
              <w:t>McKenzie DP, McFarlane AC, Creamer M et al (2006). Hazardous or harmful alcohol use in Royal Australian Navy veterans of the 1991 Gulf War: Identification of high risk subgroups. Addictive Behaviors, 31: 1683-94.</w:t>
            </w:r>
          </w:p>
        </w:tc>
      </w:tr>
      <w:tr w:rsidR="002A4F0C" w:rsidRPr="002A4F0C" w14:paraId="7CB4BEB6" w14:textId="77777777" w:rsidTr="002A4F0C">
        <w:trPr>
          <w:cantSplit/>
        </w:trPr>
        <w:tc>
          <w:tcPr>
            <w:tcW w:w="1575" w:type="dxa"/>
            <w:shd w:val="clear" w:color="auto" w:fill="auto"/>
            <w:noWrap/>
            <w:vAlign w:val="center"/>
          </w:tcPr>
          <w:p w14:paraId="3E3FF286"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68266</w:t>
            </w:r>
          </w:p>
        </w:tc>
        <w:tc>
          <w:tcPr>
            <w:tcW w:w="7938" w:type="dxa"/>
            <w:shd w:val="clear" w:color="auto" w:fill="auto"/>
            <w:vAlign w:val="bottom"/>
          </w:tcPr>
          <w:p w14:paraId="3647D4A0" w14:textId="77777777" w:rsidR="002A4F0C" w:rsidRPr="002A4F0C" w:rsidRDefault="002A4F0C" w:rsidP="002A4F0C">
            <w:pPr>
              <w:spacing w:line="240" w:lineRule="auto"/>
              <w:rPr>
                <w:rFonts w:ascii="Arial" w:hAnsi="Arial"/>
                <w:szCs w:val="22"/>
              </w:rPr>
            </w:pPr>
            <w:r w:rsidRPr="002A4F0C">
              <w:rPr>
                <w:rFonts w:ascii="Arial" w:hAnsi="Arial"/>
                <w:szCs w:val="22"/>
              </w:rPr>
              <w:t>Oswal DP, Garrett TL, Morris M et al (2013). Low-dose sarin exposure produces long term changes in brain neurochemistry of mice. Neurochem Res, 38: 108-16.</w:t>
            </w:r>
          </w:p>
        </w:tc>
      </w:tr>
      <w:tr w:rsidR="002A4F0C" w:rsidRPr="002A4F0C" w14:paraId="4B90B6F6" w14:textId="77777777" w:rsidTr="002A4F0C">
        <w:trPr>
          <w:cantSplit/>
        </w:trPr>
        <w:tc>
          <w:tcPr>
            <w:tcW w:w="1575" w:type="dxa"/>
            <w:shd w:val="clear" w:color="auto" w:fill="auto"/>
            <w:noWrap/>
            <w:vAlign w:val="center"/>
          </w:tcPr>
          <w:p w14:paraId="3D053BFC"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68267</w:t>
            </w:r>
          </w:p>
        </w:tc>
        <w:tc>
          <w:tcPr>
            <w:tcW w:w="7938" w:type="dxa"/>
            <w:shd w:val="clear" w:color="auto" w:fill="auto"/>
            <w:vAlign w:val="bottom"/>
          </w:tcPr>
          <w:p w14:paraId="0CDB13BB" w14:textId="77777777" w:rsidR="002A4F0C" w:rsidRPr="002A4F0C" w:rsidRDefault="002A4F0C" w:rsidP="002A4F0C">
            <w:pPr>
              <w:spacing w:line="240" w:lineRule="auto"/>
              <w:rPr>
                <w:rFonts w:ascii="Arial" w:hAnsi="Arial"/>
                <w:szCs w:val="22"/>
              </w:rPr>
            </w:pPr>
            <w:r w:rsidRPr="002A4F0C">
              <w:rPr>
                <w:rFonts w:ascii="Arial" w:hAnsi="Arial"/>
                <w:szCs w:val="22"/>
              </w:rPr>
              <w:t>Quigley KS, McAndrew LM, Almeida L et al (2012). Prevalence of environmental and other military exposure concerns in operations enduring freedom and operation Iraqi freedom veterans. JOEM, 54(6): 659-64.</w:t>
            </w:r>
          </w:p>
        </w:tc>
      </w:tr>
      <w:tr w:rsidR="002A4F0C" w:rsidRPr="002A4F0C" w14:paraId="5097B2AF" w14:textId="77777777" w:rsidTr="002A4F0C">
        <w:trPr>
          <w:cantSplit/>
        </w:trPr>
        <w:tc>
          <w:tcPr>
            <w:tcW w:w="1575" w:type="dxa"/>
            <w:shd w:val="clear" w:color="auto" w:fill="auto"/>
            <w:noWrap/>
            <w:vAlign w:val="center"/>
          </w:tcPr>
          <w:p w14:paraId="09C7E6E5"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68268</w:t>
            </w:r>
          </w:p>
        </w:tc>
        <w:tc>
          <w:tcPr>
            <w:tcW w:w="7938" w:type="dxa"/>
            <w:shd w:val="clear" w:color="auto" w:fill="auto"/>
            <w:vAlign w:val="bottom"/>
          </w:tcPr>
          <w:p w14:paraId="54F18567" w14:textId="77777777" w:rsidR="002A4F0C" w:rsidRPr="002A4F0C" w:rsidRDefault="002A4F0C" w:rsidP="002A4F0C">
            <w:pPr>
              <w:spacing w:line="240" w:lineRule="auto"/>
              <w:rPr>
                <w:rFonts w:ascii="Arial" w:hAnsi="Arial"/>
                <w:szCs w:val="22"/>
              </w:rPr>
            </w:pPr>
            <w:r w:rsidRPr="002A4F0C">
              <w:rPr>
                <w:rFonts w:ascii="Arial" w:hAnsi="Arial"/>
                <w:szCs w:val="22"/>
              </w:rPr>
              <w:t>Rayhan RU, Stevens BW, Timbol CR et al (2013). Increased brain white matter axial diffusivity associated with fatigue, pain and hyperalgesia in Gulf War illness. PLoS One, 8(3): e58493.</w:t>
            </w:r>
          </w:p>
        </w:tc>
      </w:tr>
      <w:tr w:rsidR="002A4F0C" w:rsidRPr="002A4F0C" w14:paraId="493AF0FE" w14:textId="77777777" w:rsidTr="002A4F0C">
        <w:trPr>
          <w:cantSplit/>
        </w:trPr>
        <w:tc>
          <w:tcPr>
            <w:tcW w:w="1575" w:type="dxa"/>
            <w:shd w:val="clear" w:color="auto" w:fill="auto"/>
            <w:noWrap/>
            <w:vAlign w:val="center"/>
          </w:tcPr>
          <w:p w14:paraId="66AEBD7C"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68269</w:t>
            </w:r>
          </w:p>
        </w:tc>
        <w:tc>
          <w:tcPr>
            <w:tcW w:w="7938" w:type="dxa"/>
            <w:shd w:val="clear" w:color="auto" w:fill="auto"/>
            <w:vAlign w:val="bottom"/>
          </w:tcPr>
          <w:p w14:paraId="58A83D0D" w14:textId="77777777" w:rsidR="002A4F0C" w:rsidRPr="002A4F0C" w:rsidRDefault="002A4F0C" w:rsidP="002A4F0C">
            <w:pPr>
              <w:spacing w:line="240" w:lineRule="auto"/>
              <w:rPr>
                <w:rFonts w:ascii="Arial" w:hAnsi="Arial"/>
                <w:szCs w:val="22"/>
              </w:rPr>
            </w:pPr>
            <w:r w:rsidRPr="002A4F0C">
              <w:rPr>
                <w:rFonts w:ascii="Arial" w:hAnsi="Arial"/>
                <w:szCs w:val="22"/>
              </w:rPr>
              <w:t>Ross SM, McManus IC, Harrison V et al (2013). Neurobehavioral problems following low-level exposure to organophosphate pesticides: a systematic and meta-analytic review. Crit Rev Toxicol, 43(1): 21-44.</w:t>
            </w:r>
          </w:p>
        </w:tc>
      </w:tr>
      <w:tr w:rsidR="002A4F0C" w:rsidRPr="002A4F0C" w14:paraId="30AD6B0C" w14:textId="77777777" w:rsidTr="002A4F0C">
        <w:trPr>
          <w:cantSplit/>
        </w:trPr>
        <w:tc>
          <w:tcPr>
            <w:tcW w:w="1575" w:type="dxa"/>
            <w:shd w:val="clear" w:color="auto" w:fill="auto"/>
            <w:noWrap/>
            <w:vAlign w:val="center"/>
          </w:tcPr>
          <w:p w14:paraId="753C0EDF"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68270</w:t>
            </w:r>
          </w:p>
        </w:tc>
        <w:tc>
          <w:tcPr>
            <w:tcW w:w="7938" w:type="dxa"/>
            <w:shd w:val="clear" w:color="auto" w:fill="auto"/>
            <w:vAlign w:val="bottom"/>
          </w:tcPr>
          <w:p w14:paraId="1C136F9C" w14:textId="77777777" w:rsidR="002A4F0C" w:rsidRPr="002A4F0C" w:rsidRDefault="002A4F0C" w:rsidP="002A4F0C">
            <w:pPr>
              <w:spacing w:line="240" w:lineRule="auto"/>
              <w:rPr>
                <w:rFonts w:ascii="Arial" w:hAnsi="Arial"/>
                <w:szCs w:val="22"/>
              </w:rPr>
            </w:pPr>
            <w:r w:rsidRPr="002A4F0C">
              <w:rPr>
                <w:rFonts w:ascii="Arial" w:hAnsi="Arial"/>
                <w:szCs w:val="22"/>
              </w:rPr>
              <w:t>Schermelleh-Engel K, Moosbrugger H, Muller  H (2008). Evaluating the fit of structural equation models: tests of significance and descriptive goodness-of-fit measures. Methods of Psychological Research Online, 8(2): 23-74.</w:t>
            </w:r>
          </w:p>
        </w:tc>
      </w:tr>
      <w:tr w:rsidR="002A4F0C" w:rsidRPr="002A4F0C" w14:paraId="39F839E3" w14:textId="77777777" w:rsidTr="002A4F0C">
        <w:trPr>
          <w:cantSplit/>
        </w:trPr>
        <w:tc>
          <w:tcPr>
            <w:tcW w:w="1575" w:type="dxa"/>
            <w:shd w:val="clear" w:color="auto" w:fill="auto"/>
            <w:noWrap/>
            <w:vAlign w:val="center"/>
          </w:tcPr>
          <w:p w14:paraId="07F067C1"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68272</w:t>
            </w:r>
          </w:p>
        </w:tc>
        <w:tc>
          <w:tcPr>
            <w:tcW w:w="7938" w:type="dxa"/>
            <w:shd w:val="clear" w:color="auto" w:fill="auto"/>
            <w:vAlign w:val="bottom"/>
          </w:tcPr>
          <w:p w14:paraId="2CC91A07" w14:textId="77777777" w:rsidR="002A4F0C" w:rsidRPr="002A4F0C" w:rsidRDefault="002A4F0C" w:rsidP="002A4F0C">
            <w:pPr>
              <w:spacing w:line="240" w:lineRule="auto"/>
              <w:rPr>
                <w:rFonts w:ascii="Arial" w:hAnsi="Arial"/>
                <w:szCs w:val="22"/>
              </w:rPr>
            </w:pPr>
            <w:r w:rsidRPr="002A4F0C">
              <w:rPr>
                <w:rFonts w:ascii="Arial" w:hAnsi="Arial"/>
                <w:szCs w:val="22"/>
              </w:rPr>
              <w:t>Scully JL (2004). What is a disease? Disease, disability and their definitions. EMBO reports, 5(7): 650-3.</w:t>
            </w:r>
          </w:p>
        </w:tc>
      </w:tr>
      <w:tr w:rsidR="002A4F0C" w:rsidRPr="002A4F0C" w14:paraId="2F8602FE" w14:textId="77777777" w:rsidTr="002A4F0C">
        <w:trPr>
          <w:cantSplit/>
        </w:trPr>
        <w:tc>
          <w:tcPr>
            <w:tcW w:w="1575" w:type="dxa"/>
            <w:shd w:val="clear" w:color="auto" w:fill="auto"/>
            <w:noWrap/>
            <w:vAlign w:val="center"/>
          </w:tcPr>
          <w:p w14:paraId="02D18DEA"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68273</w:t>
            </w:r>
          </w:p>
        </w:tc>
        <w:tc>
          <w:tcPr>
            <w:tcW w:w="7938" w:type="dxa"/>
            <w:shd w:val="clear" w:color="auto" w:fill="auto"/>
            <w:vAlign w:val="bottom"/>
          </w:tcPr>
          <w:p w14:paraId="3C3DF252" w14:textId="77777777" w:rsidR="002A4F0C" w:rsidRPr="002A4F0C" w:rsidRDefault="002A4F0C" w:rsidP="002A4F0C">
            <w:pPr>
              <w:spacing w:line="240" w:lineRule="auto"/>
              <w:rPr>
                <w:rFonts w:ascii="Arial" w:hAnsi="Arial"/>
                <w:szCs w:val="22"/>
              </w:rPr>
            </w:pPr>
            <w:r w:rsidRPr="002A4F0C">
              <w:rPr>
                <w:rFonts w:ascii="Arial" w:hAnsi="Arial"/>
                <w:szCs w:val="22"/>
              </w:rPr>
              <w:t>Shewale SV, Anstadt MP, Horenziak M et al (2012). Sarin causes autonomic imbalance and cardiomyopathy: an important issue for military and civilian health. J Cardiovasc Pharmacol, 60: 76-87.</w:t>
            </w:r>
          </w:p>
        </w:tc>
      </w:tr>
      <w:tr w:rsidR="002A4F0C" w:rsidRPr="002A4F0C" w14:paraId="3040C763" w14:textId="77777777" w:rsidTr="002A4F0C">
        <w:trPr>
          <w:cantSplit/>
        </w:trPr>
        <w:tc>
          <w:tcPr>
            <w:tcW w:w="1575" w:type="dxa"/>
            <w:shd w:val="clear" w:color="auto" w:fill="auto"/>
            <w:noWrap/>
            <w:vAlign w:val="center"/>
          </w:tcPr>
          <w:p w14:paraId="432D9487"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68276</w:t>
            </w:r>
          </w:p>
        </w:tc>
        <w:tc>
          <w:tcPr>
            <w:tcW w:w="7938" w:type="dxa"/>
            <w:shd w:val="clear" w:color="auto" w:fill="auto"/>
            <w:vAlign w:val="bottom"/>
          </w:tcPr>
          <w:p w14:paraId="46A7D91B" w14:textId="77777777" w:rsidR="002A4F0C" w:rsidRPr="002A4F0C" w:rsidRDefault="002A4F0C" w:rsidP="002A4F0C">
            <w:pPr>
              <w:spacing w:line="240" w:lineRule="auto"/>
              <w:rPr>
                <w:rFonts w:ascii="Arial" w:hAnsi="Arial"/>
                <w:szCs w:val="22"/>
              </w:rPr>
            </w:pPr>
            <w:r w:rsidRPr="002A4F0C">
              <w:rPr>
                <w:rFonts w:ascii="Arial" w:hAnsi="Arial"/>
                <w:szCs w:val="22"/>
              </w:rPr>
              <w:t>Smith BN, Wang JM, Vogt D et al (2013). Gulf war illness: Symptomatology among veterans 10 years after deployment. JOEM, 55(1): 104-110.</w:t>
            </w:r>
          </w:p>
        </w:tc>
      </w:tr>
      <w:tr w:rsidR="002A4F0C" w:rsidRPr="002A4F0C" w14:paraId="28C1D350" w14:textId="77777777" w:rsidTr="002A4F0C">
        <w:trPr>
          <w:cantSplit/>
        </w:trPr>
        <w:tc>
          <w:tcPr>
            <w:tcW w:w="1575" w:type="dxa"/>
            <w:shd w:val="clear" w:color="auto" w:fill="auto"/>
            <w:noWrap/>
            <w:vAlign w:val="center"/>
          </w:tcPr>
          <w:p w14:paraId="402DEDFE"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68277</w:t>
            </w:r>
          </w:p>
        </w:tc>
        <w:tc>
          <w:tcPr>
            <w:tcW w:w="7938" w:type="dxa"/>
            <w:shd w:val="clear" w:color="auto" w:fill="auto"/>
            <w:vAlign w:val="bottom"/>
          </w:tcPr>
          <w:p w14:paraId="3D0FF89F" w14:textId="77777777" w:rsidR="002A4F0C" w:rsidRPr="002A4F0C" w:rsidRDefault="002A4F0C" w:rsidP="002A4F0C">
            <w:pPr>
              <w:spacing w:line="240" w:lineRule="auto"/>
              <w:rPr>
                <w:rFonts w:ascii="Arial" w:hAnsi="Arial"/>
                <w:szCs w:val="22"/>
              </w:rPr>
            </w:pPr>
            <w:r w:rsidRPr="002A4F0C">
              <w:rPr>
                <w:rFonts w:ascii="Arial" w:hAnsi="Arial"/>
                <w:szCs w:val="22"/>
              </w:rPr>
              <w:t>Teichman R (2012). Health hazards of exposure during deployment to war. JOEM, 54(6): 655-8.</w:t>
            </w:r>
          </w:p>
        </w:tc>
      </w:tr>
      <w:tr w:rsidR="002A4F0C" w:rsidRPr="002A4F0C" w14:paraId="75D1BCB6" w14:textId="77777777" w:rsidTr="002A4F0C">
        <w:trPr>
          <w:cantSplit/>
        </w:trPr>
        <w:tc>
          <w:tcPr>
            <w:tcW w:w="1575" w:type="dxa"/>
            <w:shd w:val="clear" w:color="auto" w:fill="auto"/>
            <w:noWrap/>
            <w:vAlign w:val="center"/>
          </w:tcPr>
          <w:p w14:paraId="2ED47EF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68278</w:t>
            </w:r>
          </w:p>
        </w:tc>
        <w:tc>
          <w:tcPr>
            <w:tcW w:w="7938" w:type="dxa"/>
            <w:shd w:val="clear" w:color="auto" w:fill="auto"/>
            <w:vAlign w:val="bottom"/>
          </w:tcPr>
          <w:p w14:paraId="291716C8" w14:textId="77777777" w:rsidR="002A4F0C" w:rsidRPr="002A4F0C" w:rsidRDefault="002A4F0C" w:rsidP="002A4F0C">
            <w:pPr>
              <w:spacing w:line="240" w:lineRule="auto"/>
              <w:rPr>
                <w:rFonts w:ascii="Arial" w:hAnsi="Arial"/>
                <w:szCs w:val="22"/>
              </w:rPr>
            </w:pPr>
            <w:r w:rsidRPr="002A4F0C">
              <w:rPr>
                <w:rFonts w:ascii="Arial" w:hAnsi="Arial"/>
                <w:szCs w:val="22"/>
              </w:rPr>
              <w:t>Terry AV Jr (2012). Functional consequences of repeated organophosphate exposure: Potential non-cholinergic mechanisms. Pharmacology &amp; Therapeutics, 134: 355-65.</w:t>
            </w:r>
          </w:p>
        </w:tc>
      </w:tr>
      <w:tr w:rsidR="002A4F0C" w:rsidRPr="002A4F0C" w14:paraId="7429904A" w14:textId="77777777" w:rsidTr="002A4F0C">
        <w:trPr>
          <w:cantSplit/>
        </w:trPr>
        <w:tc>
          <w:tcPr>
            <w:tcW w:w="1575" w:type="dxa"/>
            <w:shd w:val="clear" w:color="auto" w:fill="auto"/>
            <w:noWrap/>
            <w:vAlign w:val="center"/>
          </w:tcPr>
          <w:p w14:paraId="0A418BF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68280</w:t>
            </w:r>
          </w:p>
        </w:tc>
        <w:tc>
          <w:tcPr>
            <w:tcW w:w="7938" w:type="dxa"/>
            <w:shd w:val="clear" w:color="auto" w:fill="auto"/>
            <w:vAlign w:val="bottom"/>
          </w:tcPr>
          <w:p w14:paraId="0FA2D09B" w14:textId="77777777" w:rsidR="002A4F0C" w:rsidRPr="002A4F0C" w:rsidRDefault="002A4F0C" w:rsidP="002A4F0C">
            <w:pPr>
              <w:spacing w:line="240" w:lineRule="auto"/>
              <w:rPr>
                <w:rFonts w:ascii="Arial" w:hAnsi="Arial"/>
                <w:szCs w:val="22"/>
              </w:rPr>
            </w:pPr>
            <w:r w:rsidRPr="002A4F0C">
              <w:rPr>
                <w:rFonts w:ascii="Arial" w:hAnsi="Arial"/>
                <w:szCs w:val="22"/>
              </w:rPr>
              <w:t>Tuite JJ, Haley RW (2013). Meterological and intelligence evidence of long-distance transit of chemical weapons fallout from bombarding early in the 1991 Persian Gulf War. Neuroepidemiology, 40(3): 160-77.</w:t>
            </w:r>
          </w:p>
        </w:tc>
      </w:tr>
      <w:tr w:rsidR="002A4F0C" w:rsidRPr="002A4F0C" w14:paraId="4C90FA8E" w14:textId="77777777" w:rsidTr="002A4F0C">
        <w:trPr>
          <w:cantSplit/>
        </w:trPr>
        <w:tc>
          <w:tcPr>
            <w:tcW w:w="1575" w:type="dxa"/>
            <w:shd w:val="clear" w:color="auto" w:fill="auto"/>
            <w:noWrap/>
            <w:vAlign w:val="center"/>
          </w:tcPr>
          <w:p w14:paraId="799159BF"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68281</w:t>
            </w:r>
          </w:p>
        </w:tc>
        <w:tc>
          <w:tcPr>
            <w:tcW w:w="7938" w:type="dxa"/>
            <w:shd w:val="clear" w:color="auto" w:fill="auto"/>
            <w:vAlign w:val="bottom"/>
          </w:tcPr>
          <w:p w14:paraId="582CDFC2" w14:textId="77777777" w:rsidR="002A4F0C" w:rsidRPr="002A4F0C" w:rsidRDefault="002A4F0C" w:rsidP="002A4F0C">
            <w:pPr>
              <w:spacing w:line="240" w:lineRule="auto"/>
              <w:rPr>
                <w:rFonts w:ascii="Arial" w:hAnsi="Arial"/>
                <w:szCs w:val="22"/>
              </w:rPr>
            </w:pPr>
            <w:r w:rsidRPr="002A4F0C">
              <w:rPr>
                <w:rFonts w:ascii="Arial" w:hAnsi="Arial"/>
                <w:szCs w:val="22"/>
              </w:rPr>
              <w:t>van Ravenzwaaij J, olde Hartman TC, van Ravesteijn H et al (2010). Explanatory models of medically unexplained symptoms: a qualitative analysis of the literature. Mental Health in Family Medicine, 7: 223-31.</w:t>
            </w:r>
          </w:p>
        </w:tc>
      </w:tr>
      <w:tr w:rsidR="002A4F0C" w:rsidRPr="002A4F0C" w14:paraId="0A732EAD" w14:textId="77777777" w:rsidTr="002A4F0C">
        <w:trPr>
          <w:cantSplit/>
        </w:trPr>
        <w:tc>
          <w:tcPr>
            <w:tcW w:w="1575" w:type="dxa"/>
            <w:shd w:val="clear" w:color="auto" w:fill="auto"/>
            <w:noWrap/>
            <w:vAlign w:val="center"/>
          </w:tcPr>
          <w:p w14:paraId="70E8F4B2"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68282</w:t>
            </w:r>
          </w:p>
        </w:tc>
        <w:tc>
          <w:tcPr>
            <w:tcW w:w="7938" w:type="dxa"/>
            <w:shd w:val="clear" w:color="auto" w:fill="auto"/>
            <w:vAlign w:val="bottom"/>
          </w:tcPr>
          <w:p w14:paraId="34004C12" w14:textId="77777777" w:rsidR="002A4F0C" w:rsidRPr="002A4F0C" w:rsidRDefault="002A4F0C" w:rsidP="002A4F0C">
            <w:pPr>
              <w:spacing w:line="240" w:lineRule="auto"/>
              <w:rPr>
                <w:rFonts w:ascii="Arial" w:hAnsi="Arial"/>
                <w:szCs w:val="22"/>
              </w:rPr>
            </w:pPr>
            <w:r w:rsidRPr="002A4F0C">
              <w:rPr>
                <w:rFonts w:ascii="Arial" w:hAnsi="Arial"/>
                <w:szCs w:val="22"/>
              </w:rPr>
              <w:t>Pilowsky I (1969). Abnormal illness behaviour. Br J Med Psychol, 42(4): 347-51.</w:t>
            </w:r>
          </w:p>
        </w:tc>
      </w:tr>
      <w:tr w:rsidR="002A4F0C" w:rsidRPr="002A4F0C" w14:paraId="6AF61E9A" w14:textId="77777777" w:rsidTr="002A4F0C">
        <w:trPr>
          <w:cantSplit/>
        </w:trPr>
        <w:tc>
          <w:tcPr>
            <w:tcW w:w="1575" w:type="dxa"/>
            <w:shd w:val="clear" w:color="auto" w:fill="auto"/>
            <w:noWrap/>
            <w:vAlign w:val="center"/>
          </w:tcPr>
          <w:p w14:paraId="7FD2580B"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68283</w:t>
            </w:r>
          </w:p>
        </w:tc>
        <w:tc>
          <w:tcPr>
            <w:tcW w:w="7938" w:type="dxa"/>
            <w:shd w:val="clear" w:color="auto" w:fill="auto"/>
            <w:vAlign w:val="bottom"/>
          </w:tcPr>
          <w:p w14:paraId="43889CDA" w14:textId="77777777" w:rsidR="002A4F0C" w:rsidRPr="002A4F0C" w:rsidRDefault="002A4F0C" w:rsidP="002A4F0C">
            <w:pPr>
              <w:spacing w:line="240" w:lineRule="auto"/>
              <w:rPr>
                <w:rFonts w:ascii="Arial" w:hAnsi="Arial"/>
                <w:szCs w:val="22"/>
              </w:rPr>
            </w:pPr>
            <w:r w:rsidRPr="002A4F0C">
              <w:rPr>
                <w:rFonts w:ascii="Arial" w:hAnsi="Arial"/>
                <w:szCs w:val="22"/>
              </w:rPr>
              <w:t>Amin MM, Belisova Z, Hossain S et al (2011). Inspiratory airflow dynamics during sleep in veterans with Gulf War illness: a controlled study. Sleep Breath, 15: 333-9.</w:t>
            </w:r>
          </w:p>
        </w:tc>
      </w:tr>
      <w:tr w:rsidR="002A4F0C" w:rsidRPr="002A4F0C" w14:paraId="6E6126F8" w14:textId="77777777" w:rsidTr="002A4F0C">
        <w:trPr>
          <w:cantSplit/>
        </w:trPr>
        <w:tc>
          <w:tcPr>
            <w:tcW w:w="1575" w:type="dxa"/>
            <w:shd w:val="clear" w:color="auto" w:fill="auto"/>
            <w:noWrap/>
            <w:vAlign w:val="center"/>
          </w:tcPr>
          <w:p w14:paraId="7F00D7C1"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68284</w:t>
            </w:r>
          </w:p>
        </w:tc>
        <w:tc>
          <w:tcPr>
            <w:tcW w:w="7938" w:type="dxa"/>
            <w:shd w:val="clear" w:color="auto" w:fill="auto"/>
            <w:vAlign w:val="bottom"/>
          </w:tcPr>
          <w:p w14:paraId="5E61F0D6" w14:textId="77777777" w:rsidR="002A4F0C" w:rsidRPr="002A4F0C" w:rsidRDefault="002A4F0C" w:rsidP="002A4F0C">
            <w:pPr>
              <w:spacing w:line="240" w:lineRule="auto"/>
              <w:rPr>
                <w:rFonts w:ascii="Arial" w:hAnsi="Arial"/>
                <w:szCs w:val="22"/>
              </w:rPr>
            </w:pPr>
            <w:r w:rsidRPr="002A4F0C">
              <w:rPr>
                <w:rFonts w:ascii="Arial" w:hAnsi="Arial"/>
                <w:szCs w:val="22"/>
              </w:rPr>
              <w:t>Carboon I, Creamer M, Forbes AB et al (2009). The relationship between deployment and turnover in Australian navy personnel. Military Psychology, 21: 233-40.</w:t>
            </w:r>
          </w:p>
        </w:tc>
      </w:tr>
      <w:tr w:rsidR="002A4F0C" w:rsidRPr="002A4F0C" w14:paraId="08C38C13" w14:textId="77777777" w:rsidTr="002A4F0C">
        <w:trPr>
          <w:cantSplit/>
        </w:trPr>
        <w:tc>
          <w:tcPr>
            <w:tcW w:w="1575" w:type="dxa"/>
            <w:shd w:val="clear" w:color="auto" w:fill="auto"/>
            <w:noWrap/>
            <w:vAlign w:val="center"/>
          </w:tcPr>
          <w:p w14:paraId="2020E125"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68285</w:t>
            </w:r>
          </w:p>
        </w:tc>
        <w:tc>
          <w:tcPr>
            <w:tcW w:w="7938" w:type="dxa"/>
            <w:shd w:val="clear" w:color="auto" w:fill="auto"/>
            <w:vAlign w:val="bottom"/>
          </w:tcPr>
          <w:p w14:paraId="286A1565" w14:textId="77777777" w:rsidR="002A4F0C" w:rsidRPr="002A4F0C" w:rsidRDefault="002A4F0C" w:rsidP="002A4F0C">
            <w:pPr>
              <w:spacing w:line="240" w:lineRule="auto"/>
              <w:rPr>
                <w:rFonts w:ascii="Arial" w:hAnsi="Arial"/>
                <w:szCs w:val="22"/>
              </w:rPr>
            </w:pPr>
            <w:r w:rsidRPr="002A4F0C">
              <w:rPr>
                <w:rFonts w:ascii="Arial" w:hAnsi="Arial"/>
                <w:szCs w:val="22"/>
              </w:rPr>
              <w:t>Amin MM, Gold MS, Broderick JE et al (2011). The effect of nasal continuous positive airway pressure on the symptoms of Gulf War illness. Sleep Breath, 15: 579-87.</w:t>
            </w:r>
          </w:p>
        </w:tc>
      </w:tr>
      <w:tr w:rsidR="002A4F0C" w:rsidRPr="002A4F0C" w14:paraId="0BB49004" w14:textId="77777777" w:rsidTr="002A4F0C">
        <w:trPr>
          <w:cantSplit/>
        </w:trPr>
        <w:tc>
          <w:tcPr>
            <w:tcW w:w="1575" w:type="dxa"/>
            <w:shd w:val="clear" w:color="auto" w:fill="auto"/>
            <w:noWrap/>
            <w:vAlign w:val="center"/>
          </w:tcPr>
          <w:p w14:paraId="50E17A36"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68286</w:t>
            </w:r>
          </w:p>
        </w:tc>
        <w:tc>
          <w:tcPr>
            <w:tcW w:w="7938" w:type="dxa"/>
            <w:shd w:val="clear" w:color="auto" w:fill="auto"/>
            <w:vAlign w:val="bottom"/>
          </w:tcPr>
          <w:p w14:paraId="751A4421" w14:textId="77777777" w:rsidR="002A4F0C" w:rsidRPr="002A4F0C" w:rsidRDefault="002A4F0C" w:rsidP="002A4F0C">
            <w:pPr>
              <w:spacing w:line="240" w:lineRule="auto"/>
              <w:rPr>
                <w:rFonts w:ascii="Arial" w:hAnsi="Arial"/>
                <w:szCs w:val="22"/>
              </w:rPr>
            </w:pPr>
            <w:r w:rsidRPr="002A4F0C">
              <w:rPr>
                <w:rFonts w:ascii="Arial" w:hAnsi="Arial"/>
                <w:szCs w:val="22"/>
              </w:rPr>
              <w:t>Bakhmutsky MV, Oliver MS, McDiarmid MA et al (2011). Long term depleted uranium exposure in Gulf War I veterans does not cause elevated numbers of micronuclei in peripheral blood lymphocytes. Mutation Research, 720: 53-7.</w:t>
            </w:r>
          </w:p>
        </w:tc>
      </w:tr>
      <w:tr w:rsidR="002A4F0C" w:rsidRPr="002A4F0C" w14:paraId="16F7706F" w14:textId="77777777" w:rsidTr="002A4F0C">
        <w:trPr>
          <w:cantSplit/>
        </w:trPr>
        <w:tc>
          <w:tcPr>
            <w:tcW w:w="1575" w:type="dxa"/>
            <w:shd w:val="clear" w:color="auto" w:fill="auto"/>
            <w:noWrap/>
            <w:vAlign w:val="center"/>
          </w:tcPr>
          <w:p w14:paraId="29059DD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68287</w:t>
            </w:r>
          </w:p>
        </w:tc>
        <w:tc>
          <w:tcPr>
            <w:tcW w:w="7938" w:type="dxa"/>
            <w:shd w:val="clear" w:color="auto" w:fill="auto"/>
            <w:vAlign w:val="bottom"/>
          </w:tcPr>
          <w:p w14:paraId="5784A694" w14:textId="77777777" w:rsidR="002A4F0C" w:rsidRPr="002A4F0C" w:rsidRDefault="002A4F0C" w:rsidP="002A4F0C">
            <w:pPr>
              <w:spacing w:line="240" w:lineRule="auto"/>
              <w:rPr>
                <w:rFonts w:ascii="Arial" w:hAnsi="Arial"/>
                <w:szCs w:val="22"/>
              </w:rPr>
            </w:pPr>
            <w:r w:rsidRPr="002A4F0C">
              <w:rPr>
                <w:rFonts w:ascii="Arial" w:hAnsi="Arial"/>
                <w:szCs w:val="22"/>
              </w:rPr>
              <w:t>Broderick G, Ben-Hamo R, Vashishtha S et al (2013). Altered immune pathway activity under exercise challenge in Gulf War Illness: An exploratory analysis. Brain, Behavior, and Immunity, 28: 159-69.</w:t>
            </w:r>
          </w:p>
        </w:tc>
      </w:tr>
      <w:tr w:rsidR="002A4F0C" w:rsidRPr="002A4F0C" w14:paraId="735C2837" w14:textId="77777777" w:rsidTr="002A4F0C">
        <w:trPr>
          <w:cantSplit/>
        </w:trPr>
        <w:tc>
          <w:tcPr>
            <w:tcW w:w="1575" w:type="dxa"/>
            <w:shd w:val="clear" w:color="auto" w:fill="auto"/>
            <w:noWrap/>
            <w:vAlign w:val="center"/>
          </w:tcPr>
          <w:p w14:paraId="2DA0FEAF"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68288</w:t>
            </w:r>
          </w:p>
        </w:tc>
        <w:tc>
          <w:tcPr>
            <w:tcW w:w="7938" w:type="dxa"/>
            <w:shd w:val="clear" w:color="auto" w:fill="auto"/>
            <w:vAlign w:val="bottom"/>
          </w:tcPr>
          <w:p w14:paraId="1457476F" w14:textId="77777777" w:rsidR="002A4F0C" w:rsidRPr="002A4F0C" w:rsidRDefault="002A4F0C" w:rsidP="002A4F0C">
            <w:pPr>
              <w:spacing w:line="240" w:lineRule="auto"/>
              <w:rPr>
                <w:rFonts w:ascii="Arial" w:hAnsi="Arial"/>
                <w:szCs w:val="22"/>
              </w:rPr>
            </w:pPr>
            <w:r w:rsidRPr="002A4F0C">
              <w:rPr>
                <w:rFonts w:ascii="Arial" w:hAnsi="Arial"/>
                <w:szCs w:val="22"/>
              </w:rPr>
              <w:t>Calley CS, Kraut MA, Spence JS et al (2010). The neuroanatomic correlates of semantic memory deficits in patients with Gulf War illnesses: a pilot study. Brain Imaging and Behavior, 4: 248-55.</w:t>
            </w:r>
          </w:p>
        </w:tc>
      </w:tr>
      <w:tr w:rsidR="002A4F0C" w:rsidRPr="002A4F0C" w14:paraId="7C16EB8C" w14:textId="77777777" w:rsidTr="002A4F0C">
        <w:trPr>
          <w:cantSplit/>
        </w:trPr>
        <w:tc>
          <w:tcPr>
            <w:tcW w:w="1575" w:type="dxa"/>
            <w:shd w:val="clear" w:color="auto" w:fill="auto"/>
            <w:noWrap/>
            <w:vAlign w:val="center"/>
          </w:tcPr>
          <w:p w14:paraId="317FBD58"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68289</w:t>
            </w:r>
          </w:p>
        </w:tc>
        <w:tc>
          <w:tcPr>
            <w:tcW w:w="7938" w:type="dxa"/>
            <w:shd w:val="clear" w:color="auto" w:fill="auto"/>
            <w:vAlign w:val="bottom"/>
          </w:tcPr>
          <w:p w14:paraId="0C8F9A16" w14:textId="77777777" w:rsidR="002A4F0C" w:rsidRPr="002A4F0C" w:rsidRDefault="002A4F0C" w:rsidP="002A4F0C">
            <w:pPr>
              <w:spacing w:line="240" w:lineRule="auto"/>
              <w:rPr>
                <w:rFonts w:ascii="Arial" w:hAnsi="Arial"/>
                <w:szCs w:val="22"/>
              </w:rPr>
            </w:pPr>
            <w:r w:rsidRPr="002A4F0C">
              <w:rPr>
                <w:rFonts w:ascii="Arial" w:hAnsi="Arial"/>
                <w:szCs w:val="22"/>
              </w:rPr>
              <w:t>Coughlin SS, Kang HK, Mahan CM (2011). Selected health conditions among overweight, obese, and non-obese veterans of the 1991 Gulf War: Results from a survey conducted in 2003-2005. Open Epidemiol J, 4: 140-6.</w:t>
            </w:r>
          </w:p>
        </w:tc>
      </w:tr>
      <w:tr w:rsidR="002A4F0C" w:rsidRPr="002A4F0C" w14:paraId="50A3D2CC" w14:textId="77777777" w:rsidTr="002A4F0C">
        <w:trPr>
          <w:cantSplit/>
        </w:trPr>
        <w:tc>
          <w:tcPr>
            <w:tcW w:w="1575" w:type="dxa"/>
            <w:shd w:val="clear" w:color="auto" w:fill="auto"/>
            <w:noWrap/>
            <w:vAlign w:val="center"/>
          </w:tcPr>
          <w:p w14:paraId="1657447C"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68290</w:t>
            </w:r>
          </w:p>
        </w:tc>
        <w:tc>
          <w:tcPr>
            <w:tcW w:w="7938" w:type="dxa"/>
            <w:shd w:val="clear" w:color="auto" w:fill="auto"/>
            <w:vAlign w:val="bottom"/>
          </w:tcPr>
          <w:p w14:paraId="2CEB0ECE" w14:textId="77777777" w:rsidR="002A4F0C" w:rsidRPr="002A4F0C" w:rsidRDefault="002A4F0C" w:rsidP="002A4F0C">
            <w:pPr>
              <w:spacing w:line="240" w:lineRule="auto"/>
              <w:rPr>
                <w:rFonts w:ascii="Arial" w:hAnsi="Arial"/>
                <w:szCs w:val="22"/>
              </w:rPr>
            </w:pPr>
            <w:r w:rsidRPr="002A4F0C">
              <w:rPr>
                <w:rFonts w:ascii="Arial" w:hAnsi="Arial"/>
                <w:szCs w:val="22"/>
              </w:rPr>
              <w:t>Coughlin SS, Kang HK, Mahan CM (2011). Alcohol use and selected health conditions of 1991 Gulf War veterans: Survey results, 2003-2005. Prev Chronic Dis, 8(3): a52.</w:t>
            </w:r>
          </w:p>
        </w:tc>
      </w:tr>
      <w:tr w:rsidR="002A4F0C" w:rsidRPr="002A4F0C" w14:paraId="0CD3A822" w14:textId="77777777" w:rsidTr="002A4F0C">
        <w:trPr>
          <w:cantSplit/>
        </w:trPr>
        <w:tc>
          <w:tcPr>
            <w:tcW w:w="1575" w:type="dxa"/>
            <w:shd w:val="clear" w:color="auto" w:fill="auto"/>
            <w:noWrap/>
            <w:vAlign w:val="center"/>
          </w:tcPr>
          <w:p w14:paraId="37DAAD68"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68291</w:t>
            </w:r>
          </w:p>
        </w:tc>
        <w:tc>
          <w:tcPr>
            <w:tcW w:w="7938" w:type="dxa"/>
            <w:shd w:val="clear" w:color="auto" w:fill="auto"/>
            <w:vAlign w:val="bottom"/>
          </w:tcPr>
          <w:p w14:paraId="5B3B4BB1" w14:textId="77777777" w:rsidR="002A4F0C" w:rsidRPr="002A4F0C" w:rsidRDefault="002A4F0C" w:rsidP="002A4F0C">
            <w:pPr>
              <w:spacing w:line="240" w:lineRule="auto"/>
              <w:rPr>
                <w:rFonts w:ascii="Arial" w:hAnsi="Arial"/>
                <w:szCs w:val="22"/>
              </w:rPr>
            </w:pPr>
            <w:r w:rsidRPr="002A4F0C">
              <w:rPr>
                <w:rFonts w:ascii="Arial" w:hAnsi="Arial"/>
                <w:szCs w:val="22"/>
              </w:rPr>
              <w:t>Freeman R (2013). Objective evidence of autonomic dysfunction and the role of stress in the Gulf War syndrome. JAMA Neurol, 70(2): 158-9.</w:t>
            </w:r>
          </w:p>
        </w:tc>
      </w:tr>
      <w:tr w:rsidR="002A4F0C" w:rsidRPr="002A4F0C" w14:paraId="51150FA2" w14:textId="77777777" w:rsidTr="002A4F0C">
        <w:trPr>
          <w:cantSplit/>
        </w:trPr>
        <w:tc>
          <w:tcPr>
            <w:tcW w:w="1575" w:type="dxa"/>
            <w:shd w:val="clear" w:color="auto" w:fill="auto"/>
            <w:noWrap/>
            <w:vAlign w:val="center"/>
          </w:tcPr>
          <w:p w14:paraId="2EE5EA3B"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68292</w:t>
            </w:r>
          </w:p>
        </w:tc>
        <w:tc>
          <w:tcPr>
            <w:tcW w:w="7938" w:type="dxa"/>
            <w:shd w:val="clear" w:color="auto" w:fill="auto"/>
            <w:vAlign w:val="bottom"/>
          </w:tcPr>
          <w:p w14:paraId="4557B705" w14:textId="77777777" w:rsidR="002A4F0C" w:rsidRPr="002A4F0C" w:rsidRDefault="002A4F0C" w:rsidP="002A4F0C">
            <w:pPr>
              <w:spacing w:line="240" w:lineRule="auto"/>
              <w:rPr>
                <w:rFonts w:ascii="Arial" w:hAnsi="Arial"/>
                <w:szCs w:val="22"/>
              </w:rPr>
            </w:pPr>
            <w:r w:rsidRPr="002A4F0C">
              <w:rPr>
                <w:rFonts w:ascii="Arial" w:hAnsi="Arial"/>
                <w:szCs w:val="22"/>
              </w:rPr>
              <w:t>Golier JA, Caramancia K, Yehuda R (2012). Neuroendocrine response to CRF stimulation in veterans with and without PTSD in consideration of war zone era. Psychoneuroendocrinology, 37: 350-7.</w:t>
            </w:r>
          </w:p>
        </w:tc>
      </w:tr>
      <w:tr w:rsidR="002A4F0C" w:rsidRPr="002A4F0C" w14:paraId="6D38E54B" w14:textId="77777777" w:rsidTr="002A4F0C">
        <w:trPr>
          <w:cantSplit/>
        </w:trPr>
        <w:tc>
          <w:tcPr>
            <w:tcW w:w="1575" w:type="dxa"/>
            <w:shd w:val="clear" w:color="auto" w:fill="auto"/>
            <w:noWrap/>
            <w:vAlign w:val="center"/>
          </w:tcPr>
          <w:p w14:paraId="3005AB5F"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68293</w:t>
            </w:r>
          </w:p>
        </w:tc>
        <w:tc>
          <w:tcPr>
            <w:tcW w:w="7938" w:type="dxa"/>
            <w:shd w:val="clear" w:color="auto" w:fill="auto"/>
            <w:vAlign w:val="bottom"/>
          </w:tcPr>
          <w:p w14:paraId="648C161B" w14:textId="77777777" w:rsidR="002A4F0C" w:rsidRPr="002A4F0C" w:rsidRDefault="002A4F0C" w:rsidP="002A4F0C">
            <w:pPr>
              <w:spacing w:line="240" w:lineRule="auto"/>
              <w:rPr>
                <w:rFonts w:ascii="Arial" w:hAnsi="Arial"/>
                <w:szCs w:val="22"/>
              </w:rPr>
            </w:pPr>
            <w:r w:rsidRPr="002A4F0C">
              <w:rPr>
                <w:rFonts w:ascii="Arial" w:hAnsi="Arial"/>
                <w:szCs w:val="22"/>
              </w:rPr>
              <w:t>Horn O, Sloggett A, Ploubidis GB et al (2010). Upward trends in symptom reporting in the UK Armed Forces. Eur J Epidemiol, 25: 87-94.</w:t>
            </w:r>
          </w:p>
        </w:tc>
      </w:tr>
      <w:tr w:rsidR="002A4F0C" w:rsidRPr="002A4F0C" w14:paraId="1C84424E" w14:textId="77777777" w:rsidTr="002A4F0C">
        <w:trPr>
          <w:cantSplit/>
        </w:trPr>
        <w:tc>
          <w:tcPr>
            <w:tcW w:w="1575" w:type="dxa"/>
            <w:shd w:val="clear" w:color="auto" w:fill="auto"/>
            <w:noWrap/>
            <w:vAlign w:val="center"/>
          </w:tcPr>
          <w:p w14:paraId="3AC16622"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68294</w:t>
            </w:r>
          </w:p>
        </w:tc>
        <w:tc>
          <w:tcPr>
            <w:tcW w:w="7938" w:type="dxa"/>
            <w:shd w:val="clear" w:color="auto" w:fill="auto"/>
            <w:vAlign w:val="bottom"/>
          </w:tcPr>
          <w:p w14:paraId="2877F1CE" w14:textId="77777777" w:rsidR="002A4F0C" w:rsidRPr="002A4F0C" w:rsidRDefault="002A4F0C" w:rsidP="002A4F0C">
            <w:pPr>
              <w:spacing w:line="240" w:lineRule="auto"/>
              <w:rPr>
                <w:rFonts w:ascii="Arial" w:hAnsi="Arial"/>
                <w:szCs w:val="22"/>
              </w:rPr>
            </w:pPr>
            <w:r w:rsidRPr="002A4F0C">
              <w:rPr>
                <w:rFonts w:ascii="Arial" w:hAnsi="Arial"/>
                <w:szCs w:val="22"/>
              </w:rPr>
              <w:t>Liu P, Aslan S, Li X et al (2011). Perfusion deficit to cholinergic challenge in veterans with Gulf War illness. Neurotoxicology, 32(2): 242-6.</w:t>
            </w:r>
          </w:p>
        </w:tc>
      </w:tr>
      <w:tr w:rsidR="002A4F0C" w:rsidRPr="002A4F0C" w14:paraId="305EA6DB" w14:textId="77777777" w:rsidTr="002A4F0C">
        <w:trPr>
          <w:cantSplit/>
        </w:trPr>
        <w:tc>
          <w:tcPr>
            <w:tcW w:w="1575" w:type="dxa"/>
            <w:shd w:val="clear" w:color="auto" w:fill="auto"/>
            <w:noWrap/>
            <w:vAlign w:val="center"/>
          </w:tcPr>
          <w:p w14:paraId="18F07558"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68295</w:t>
            </w:r>
          </w:p>
        </w:tc>
        <w:tc>
          <w:tcPr>
            <w:tcW w:w="7938" w:type="dxa"/>
            <w:shd w:val="clear" w:color="auto" w:fill="auto"/>
            <w:vAlign w:val="bottom"/>
          </w:tcPr>
          <w:p w14:paraId="5BD25DA0" w14:textId="77777777" w:rsidR="002A4F0C" w:rsidRPr="002A4F0C" w:rsidRDefault="002A4F0C" w:rsidP="002A4F0C">
            <w:pPr>
              <w:spacing w:line="240" w:lineRule="auto"/>
              <w:rPr>
                <w:rFonts w:ascii="Arial" w:hAnsi="Arial"/>
                <w:szCs w:val="22"/>
              </w:rPr>
            </w:pPr>
            <w:r w:rsidRPr="002A4F0C">
              <w:rPr>
                <w:rFonts w:ascii="Arial" w:hAnsi="Arial"/>
                <w:szCs w:val="22"/>
              </w:rPr>
              <w:t>McDiarmid MA, Engelhardt SM, Dorsey CD et al (2011). Longitudinal health surveillance in a cohort of Gulf War veterans 18 years after first exposure to depleted uranium. J Toxicol Environ Health, Part A, 74(10): 678-91.</w:t>
            </w:r>
          </w:p>
        </w:tc>
      </w:tr>
      <w:tr w:rsidR="002A4F0C" w:rsidRPr="002A4F0C" w14:paraId="59959F30" w14:textId="77777777" w:rsidTr="002A4F0C">
        <w:trPr>
          <w:cantSplit/>
        </w:trPr>
        <w:tc>
          <w:tcPr>
            <w:tcW w:w="1575" w:type="dxa"/>
            <w:shd w:val="clear" w:color="auto" w:fill="auto"/>
            <w:noWrap/>
            <w:vAlign w:val="center"/>
          </w:tcPr>
          <w:p w14:paraId="3A33F055"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68296</w:t>
            </w:r>
          </w:p>
        </w:tc>
        <w:tc>
          <w:tcPr>
            <w:tcW w:w="7938" w:type="dxa"/>
            <w:shd w:val="clear" w:color="auto" w:fill="auto"/>
            <w:vAlign w:val="bottom"/>
          </w:tcPr>
          <w:p w14:paraId="7597BF5F" w14:textId="77777777" w:rsidR="002A4F0C" w:rsidRPr="002A4F0C" w:rsidRDefault="002A4F0C" w:rsidP="002A4F0C">
            <w:pPr>
              <w:spacing w:line="240" w:lineRule="auto"/>
              <w:rPr>
                <w:rFonts w:ascii="Arial" w:hAnsi="Arial"/>
                <w:szCs w:val="22"/>
              </w:rPr>
            </w:pPr>
            <w:r w:rsidRPr="002A4F0C">
              <w:rPr>
                <w:rFonts w:ascii="Arial" w:hAnsi="Arial"/>
                <w:szCs w:val="22"/>
              </w:rPr>
              <w:t>Moss JI (2011). [Comment] Chemical interactions and Gulf War illnesses. Chemico-Biological Interactions, 193: 107.</w:t>
            </w:r>
          </w:p>
        </w:tc>
      </w:tr>
      <w:tr w:rsidR="002A4F0C" w:rsidRPr="002A4F0C" w14:paraId="1B9F20C2" w14:textId="77777777" w:rsidTr="002A4F0C">
        <w:trPr>
          <w:cantSplit/>
        </w:trPr>
        <w:tc>
          <w:tcPr>
            <w:tcW w:w="1575" w:type="dxa"/>
            <w:shd w:val="clear" w:color="auto" w:fill="auto"/>
            <w:noWrap/>
            <w:vAlign w:val="center"/>
          </w:tcPr>
          <w:p w14:paraId="5C08E20E"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68297</w:t>
            </w:r>
          </w:p>
        </w:tc>
        <w:tc>
          <w:tcPr>
            <w:tcW w:w="7938" w:type="dxa"/>
            <w:shd w:val="clear" w:color="auto" w:fill="auto"/>
            <w:vAlign w:val="bottom"/>
          </w:tcPr>
          <w:p w14:paraId="5BD52952" w14:textId="77777777" w:rsidR="002A4F0C" w:rsidRPr="002A4F0C" w:rsidRDefault="002A4F0C" w:rsidP="002A4F0C">
            <w:pPr>
              <w:spacing w:line="240" w:lineRule="auto"/>
              <w:rPr>
                <w:rFonts w:ascii="Arial" w:hAnsi="Arial"/>
                <w:szCs w:val="22"/>
              </w:rPr>
            </w:pPr>
            <w:r w:rsidRPr="002A4F0C">
              <w:rPr>
                <w:rFonts w:ascii="Arial" w:hAnsi="Arial"/>
                <w:szCs w:val="22"/>
              </w:rPr>
              <w:t>Wakil A, Sathyapalan T, Atkin SL (2011). [Comment] Pituitary hypophysitis and Gulf War syndrome: a case series and hypothesis. Clinical Endocrinology, 75: 271-4.</w:t>
            </w:r>
          </w:p>
        </w:tc>
      </w:tr>
      <w:tr w:rsidR="002A4F0C" w:rsidRPr="002A4F0C" w14:paraId="6DB61008" w14:textId="77777777" w:rsidTr="002A4F0C">
        <w:trPr>
          <w:cantSplit/>
        </w:trPr>
        <w:tc>
          <w:tcPr>
            <w:tcW w:w="1575" w:type="dxa"/>
            <w:shd w:val="clear" w:color="auto" w:fill="auto"/>
            <w:noWrap/>
            <w:vAlign w:val="center"/>
          </w:tcPr>
          <w:p w14:paraId="42B8708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68298</w:t>
            </w:r>
          </w:p>
        </w:tc>
        <w:tc>
          <w:tcPr>
            <w:tcW w:w="7938" w:type="dxa"/>
            <w:shd w:val="clear" w:color="auto" w:fill="auto"/>
            <w:vAlign w:val="bottom"/>
          </w:tcPr>
          <w:p w14:paraId="38C16114" w14:textId="77777777" w:rsidR="002A4F0C" w:rsidRPr="002A4F0C" w:rsidRDefault="002A4F0C" w:rsidP="002A4F0C">
            <w:pPr>
              <w:spacing w:line="240" w:lineRule="auto"/>
              <w:rPr>
                <w:rFonts w:ascii="Arial" w:hAnsi="Arial"/>
                <w:szCs w:val="22"/>
              </w:rPr>
            </w:pPr>
            <w:r w:rsidRPr="002A4F0C">
              <w:rPr>
                <w:rFonts w:ascii="Arial" w:hAnsi="Arial"/>
                <w:szCs w:val="22"/>
              </w:rPr>
              <w:t>Wille T, Thiermann H, Worek F (2011). In vitro kinetic interactions of DEET, pyridostigmine and organophosphorus pesticides with human cholinesterases. Chemico-Biological Interactions, 190: 79-83.</w:t>
            </w:r>
          </w:p>
        </w:tc>
      </w:tr>
      <w:tr w:rsidR="002A4F0C" w:rsidRPr="002A4F0C" w14:paraId="2D1F41A7" w14:textId="77777777" w:rsidTr="002A4F0C">
        <w:trPr>
          <w:cantSplit/>
        </w:trPr>
        <w:tc>
          <w:tcPr>
            <w:tcW w:w="1575" w:type="dxa"/>
            <w:shd w:val="clear" w:color="auto" w:fill="auto"/>
            <w:noWrap/>
            <w:vAlign w:val="center"/>
          </w:tcPr>
          <w:p w14:paraId="7C9205F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68299</w:t>
            </w:r>
          </w:p>
        </w:tc>
        <w:tc>
          <w:tcPr>
            <w:tcW w:w="7938" w:type="dxa"/>
            <w:shd w:val="clear" w:color="auto" w:fill="auto"/>
            <w:vAlign w:val="bottom"/>
          </w:tcPr>
          <w:p w14:paraId="08FB5602" w14:textId="77777777" w:rsidR="002A4F0C" w:rsidRPr="002A4F0C" w:rsidRDefault="002A4F0C" w:rsidP="002A4F0C">
            <w:pPr>
              <w:spacing w:line="240" w:lineRule="auto"/>
              <w:rPr>
                <w:rFonts w:ascii="Arial" w:hAnsi="Arial"/>
                <w:szCs w:val="22"/>
              </w:rPr>
            </w:pPr>
            <w:r w:rsidRPr="002A4F0C">
              <w:rPr>
                <w:rFonts w:ascii="Arial" w:hAnsi="Arial"/>
                <w:szCs w:val="22"/>
              </w:rPr>
              <w:t>Wille T, Thiermann H, Worek F (2011). [Comment] In vitro kinetic interactions of DEET, pyridostigmine and organophosphorus pesticides with human cholinesterases- Response to the letter to the editor. Chemico-Biological Interactions, 193: 108. Comment on ID: 68298.</w:t>
            </w:r>
          </w:p>
        </w:tc>
      </w:tr>
      <w:tr w:rsidR="002A4F0C" w:rsidRPr="002A4F0C" w14:paraId="6CF47BF1" w14:textId="77777777" w:rsidTr="002A4F0C">
        <w:trPr>
          <w:cantSplit/>
        </w:trPr>
        <w:tc>
          <w:tcPr>
            <w:tcW w:w="1575" w:type="dxa"/>
            <w:shd w:val="clear" w:color="auto" w:fill="auto"/>
            <w:noWrap/>
            <w:vAlign w:val="center"/>
          </w:tcPr>
          <w:p w14:paraId="23265C9E" w14:textId="77777777" w:rsidR="002A4F0C" w:rsidRPr="002A4F0C" w:rsidRDefault="002A4F0C" w:rsidP="002A4F0C">
            <w:pPr>
              <w:spacing w:line="240" w:lineRule="auto"/>
              <w:jc w:val="center"/>
              <w:rPr>
                <w:rFonts w:ascii="Arial" w:hAnsi="Arial"/>
                <w:szCs w:val="22"/>
              </w:rPr>
            </w:pPr>
            <w:r w:rsidRPr="002A4F0C">
              <w:rPr>
                <w:rFonts w:ascii="Arial" w:hAnsi="Arial"/>
                <w:szCs w:val="22"/>
              </w:rPr>
              <w:t>68300</w:t>
            </w:r>
          </w:p>
        </w:tc>
        <w:tc>
          <w:tcPr>
            <w:tcW w:w="7938" w:type="dxa"/>
            <w:shd w:val="clear" w:color="auto" w:fill="auto"/>
            <w:vAlign w:val="bottom"/>
          </w:tcPr>
          <w:p w14:paraId="11BBCEAD" w14:textId="77777777" w:rsidR="002A4F0C" w:rsidRPr="002A4F0C" w:rsidRDefault="002A4F0C" w:rsidP="002A4F0C">
            <w:pPr>
              <w:spacing w:line="240" w:lineRule="auto"/>
              <w:rPr>
                <w:rFonts w:ascii="Arial" w:hAnsi="Arial"/>
                <w:szCs w:val="22"/>
              </w:rPr>
            </w:pPr>
            <w:r w:rsidRPr="002A4F0C">
              <w:rPr>
                <w:rFonts w:ascii="Arial" w:hAnsi="Arial"/>
                <w:szCs w:val="22"/>
              </w:rPr>
              <w:t>Pilowsky I (1993). Aspects of abnormal illness behaviour. Indian J Psychiatr, 35(3): 145-50.</w:t>
            </w:r>
          </w:p>
        </w:tc>
      </w:tr>
      <w:tr w:rsidR="002A4F0C" w:rsidRPr="002A4F0C" w14:paraId="552BC260" w14:textId="77777777" w:rsidTr="002A4F0C">
        <w:trPr>
          <w:cantSplit/>
        </w:trPr>
        <w:tc>
          <w:tcPr>
            <w:tcW w:w="1575" w:type="dxa"/>
            <w:shd w:val="clear" w:color="auto" w:fill="auto"/>
            <w:noWrap/>
            <w:vAlign w:val="center"/>
          </w:tcPr>
          <w:p w14:paraId="7A43B61F" w14:textId="77777777" w:rsidR="002A4F0C" w:rsidRPr="002A4F0C" w:rsidRDefault="002A4F0C" w:rsidP="002A4F0C">
            <w:pPr>
              <w:spacing w:line="240" w:lineRule="auto"/>
              <w:jc w:val="center"/>
              <w:rPr>
                <w:rFonts w:ascii="Arial" w:hAnsi="Arial"/>
                <w:szCs w:val="22"/>
              </w:rPr>
            </w:pPr>
            <w:r w:rsidRPr="002A4F0C">
              <w:rPr>
                <w:rFonts w:ascii="Arial" w:hAnsi="Arial"/>
                <w:szCs w:val="22"/>
              </w:rPr>
              <w:t>68301</w:t>
            </w:r>
          </w:p>
        </w:tc>
        <w:tc>
          <w:tcPr>
            <w:tcW w:w="7938" w:type="dxa"/>
            <w:shd w:val="clear" w:color="auto" w:fill="auto"/>
            <w:vAlign w:val="bottom"/>
          </w:tcPr>
          <w:p w14:paraId="12AEC0EB" w14:textId="77777777" w:rsidR="002A4F0C" w:rsidRPr="002A4F0C" w:rsidRDefault="002A4F0C" w:rsidP="002A4F0C">
            <w:pPr>
              <w:spacing w:line="240" w:lineRule="auto"/>
              <w:rPr>
                <w:rFonts w:ascii="Arial" w:hAnsi="Arial"/>
                <w:szCs w:val="22"/>
              </w:rPr>
            </w:pPr>
            <w:r w:rsidRPr="002A4F0C">
              <w:rPr>
                <w:rFonts w:ascii="Arial" w:hAnsi="Arial"/>
                <w:szCs w:val="22"/>
              </w:rPr>
              <w:t>Berrios GE (1999). Classifications in psychiatry: A conceptual history. Aust N Z J Psychiatry, 33: 145.</w:t>
            </w:r>
          </w:p>
        </w:tc>
      </w:tr>
      <w:tr w:rsidR="002A4F0C" w:rsidRPr="002A4F0C" w14:paraId="25F67982" w14:textId="77777777" w:rsidTr="002A4F0C">
        <w:trPr>
          <w:cantSplit/>
        </w:trPr>
        <w:tc>
          <w:tcPr>
            <w:tcW w:w="1575" w:type="dxa"/>
            <w:shd w:val="clear" w:color="auto" w:fill="auto"/>
            <w:noWrap/>
            <w:vAlign w:val="center"/>
          </w:tcPr>
          <w:p w14:paraId="0ACCAFE6" w14:textId="77777777" w:rsidR="002A4F0C" w:rsidRPr="002A4F0C" w:rsidRDefault="002A4F0C" w:rsidP="002A4F0C">
            <w:pPr>
              <w:spacing w:line="240" w:lineRule="auto"/>
              <w:jc w:val="center"/>
              <w:rPr>
                <w:rFonts w:ascii="Arial" w:hAnsi="Arial"/>
                <w:szCs w:val="22"/>
              </w:rPr>
            </w:pPr>
            <w:r w:rsidRPr="002A4F0C">
              <w:rPr>
                <w:rFonts w:ascii="Arial" w:hAnsi="Arial"/>
                <w:szCs w:val="22"/>
              </w:rPr>
              <w:t>68303</w:t>
            </w:r>
          </w:p>
        </w:tc>
        <w:tc>
          <w:tcPr>
            <w:tcW w:w="7938" w:type="dxa"/>
            <w:shd w:val="clear" w:color="auto" w:fill="auto"/>
            <w:vAlign w:val="bottom"/>
          </w:tcPr>
          <w:p w14:paraId="6984C7EB" w14:textId="77777777" w:rsidR="002A4F0C" w:rsidRPr="002A4F0C" w:rsidRDefault="002A4F0C" w:rsidP="002A4F0C">
            <w:pPr>
              <w:spacing w:line="240" w:lineRule="auto"/>
              <w:rPr>
                <w:rFonts w:ascii="Arial" w:hAnsi="Arial"/>
                <w:szCs w:val="22"/>
              </w:rPr>
            </w:pPr>
            <w:r w:rsidRPr="002A4F0C">
              <w:rPr>
                <w:rFonts w:ascii="Arial" w:hAnsi="Arial"/>
                <w:szCs w:val="22"/>
              </w:rPr>
              <w:t>Dalal PK, Sivakumar T (2009). Moving towards ICD-11 and DSM-V: Concept and evolution of psychiatric classification. Ind J Psychiatry, 51(5): 310-9.</w:t>
            </w:r>
          </w:p>
        </w:tc>
      </w:tr>
      <w:tr w:rsidR="002A4F0C" w:rsidRPr="002A4F0C" w14:paraId="1E17B7F0" w14:textId="77777777" w:rsidTr="002A4F0C">
        <w:trPr>
          <w:cantSplit/>
        </w:trPr>
        <w:tc>
          <w:tcPr>
            <w:tcW w:w="1575" w:type="dxa"/>
            <w:shd w:val="clear" w:color="auto" w:fill="auto"/>
            <w:noWrap/>
            <w:vAlign w:val="center"/>
          </w:tcPr>
          <w:p w14:paraId="7BA042B8" w14:textId="77777777" w:rsidR="002A4F0C" w:rsidRPr="002A4F0C" w:rsidRDefault="002A4F0C" w:rsidP="002A4F0C">
            <w:pPr>
              <w:spacing w:line="240" w:lineRule="auto"/>
              <w:jc w:val="center"/>
              <w:rPr>
                <w:rFonts w:ascii="Arial" w:hAnsi="Arial"/>
                <w:szCs w:val="22"/>
              </w:rPr>
            </w:pPr>
            <w:r w:rsidRPr="002A4F0C">
              <w:rPr>
                <w:rFonts w:ascii="Arial" w:hAnsi="Arial"/>
                <w:szCs w:val="22"/>
              </w:rPr>
              <w:t>68346</w:t>
            </w:r>
          </w:p>
        </w:tc>
        <w:tc>
          <w:tcPr>
            <w:tcW w:w="7938" w:type="dxa"/>
            <w:shd w:val="clear" w:color="auto" w:fill="auto"/>
            <w:vAlign w:val="bottom"/>
          </w:tcPr>
          <w:p w14:paraId="4E2C8C85" w14:textId="77777777" w:rsidR="002A4F0C" w:rsidRPr="002A4F0C" w:rsidRDefault="002A4F0C" w:rsidP="002A4F0C">
            <w:pPr>
              <w:spacing w:line="240" w:lineRule="auto"/>
              <w:rPr>
                <w:rFonts w:ascii="Arial" w:hAnsi="Arial"/>
                <w:szCs w:val="22"/>
              </w:rPr>
            </w:pPr>
            <w:r w:rsidRPr="002A4F0C">
              <w:rPr>
                <w:rFonts w:ascii="Arial" w:hAnsi="Arial"/>
                <w:szCs w:val="22"/>
              </w:rPr>
              <w:t>Brewin CR, Kleiner JS, Vasterling JJ et al (2007). Memory for emotionally neutral information in posttraumatic stress disorder: A meta-analytic investigation. J Abnorm Psychol, 116(3): 448-63.</w:t>
            </w:r>
          </w:p>
        </w:tc>
      </w:tr>
      <w:tr w:rsidR="002A4F0C" w:rsidRPr="002A4F0C" w14:paraId="788D65E9" w14:textId="77777777" w:rsidTr="002A4F0C">
        <w:trPr>
          <w:cantSplit/>
        </w:trPr>
        <w:tc>
          <w:tcPr>
            <w:tcW w:w="1575" w:type="dxa"/>
            <w:shd w:val="clear" w:color="auto" w:fill="auto"/>
            <w:noWrap/>
            <w:vAlign w:val="center"/>
          </w:tcPr>
          <w:p w14:paraId="0EF84210" w14:textId="77777777" w:rsidR="002A4F0C" w:rsidRPr="002A4F0C" w:rsidRDefault="002A4F0C" w:rsidP="002A4F0C">
            <w:pPr>
              <w:spacing w:line="240" w:lineRule="auto"/>
              <w:jc w:val="center"/>
              <w:rPr>
                <w:rFonts w:ascii="Arial" w:hAnsi="Arial"/>
                <w:szCs w:val="22"/>
              </w:rPr>
            </w:pPr>
            <w:r w:rsidRPr="002A4F0C">
              <w:rPr>
                <w:rFonts w:ascii="Arial" w:hAnsi="Arial"/>
                <w:szCs w:val="22"/>
              </w:rPr>
              <w:t>68347</w:t>
            </w:r>
          </w:p>
        </w:tc>
        <w:tc>
          <w:tcPr>
            <w:tcW w:w="7938" w:type="dxa"/>
            <w:shd w:val="clear" w:color="auto" w:fill="auto"/>
            <w:vAlign w:val="bottom"/>
          </w:tcPr>
          <w:p w14:paraId="650B2B6A" w14:textId="77777777" w:rsidR="002A4F0C" w:rsidRPr="002A4F0C" w:rsidRDefault="002A4F0C" w:rsidP="002A4F0C">
            <w:pPr>
              <w:spacing w:line="240" w:lineRule="auto"/>
              <w:rPr>
                <w:rFonts w:ascii="Arial" w:hAnsi="Arial"/>
                <w:szCs w:val="22"/>
              </w:rPr>
            </w:pPr>
            <w:r w:rsidRPr="002A4F0C">
              <w:rPr>
                <w:rFonts w:ascii="Arial" w:hAnsi="Arial"/>
                <w:szCs w:val="22"/>
              </w:rPr>
              <w:t>Johnsen GE, Asbjornsen AE (2008). Consistent impaired verbal memory in PTSD: a meta-analysis. J Affect Disord, 111(1): 74-82.</w:t>
            </w:r>
          </w:p>
        </w:tc>
      </w:tr>
      <w:tr w:rsidR="002A4F0C" w:rsidRPr="002A4F0C" w14:paraId="67B398CC" w14:textId="77777777" w:rsidTr="002A4F0C">
        <w:trPr>
          <w:cantSplit/>
        </w:trPr>
        <w:tc>
          <w:tcPr>
            <w:tcW w:w="1575" w:type="dxa"/>
            <w:shd w:val="clear" w:color="auto" w:fill="auto"/>
            <w:noWrap/>
            <w:vAlign w:val="center"/>
          </w:tcPr>
          <w:p w14:paraId="638B84C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68380</w:t>
            </w:r>
          </w:p>
        </w:tc>
        <w:tc>
          <w:tcPr>
            <w:tcW w:w="7938" w:type="dxa"/>
            <w:shd w:val="clear" w:color="auto" w:fill="auto"/>
            <w:vAlign w:val="bottom"/>
          </w:tcPr>
          <w:p w14:paraId="7A714D68" w14:textId="77777777" w:rsidR="002A4F0C" w:rsidRPr="002A4F0C" w:rsidRDefault="002A4F0C" w:rsidP="002A4F0C">
            <w:pPr>
              <w:spacing w:line="240" w:lineRule="auto"/>
              <w:rPr>
                <w:rFonts w:ascii="Arial" w:hAnsi="Arial"/>
                <w:szCs w:val="22"/>
              </w:rPr>
            </w:pPr>
            <w:r w:rsidRPr="002A4F0C">
              <w:rPr>
                <w:rFonts w:ascii="Arial" w:hAnsi="Arial"/>
                <w:szCs w:val="22"/>
              </w:rPr>
              <w:t>Stimpson NJ, Unwin C, Hull L, et al (2006). Prevalence of reported pain, widespread pain, and pain symmetry in veterans of the Persian Gulf War (1990-1991): the use of pain manikins in Persian Gulf War health research. Mil Med, 171(12): 1181-6.</w:t>
            </w:r>
          </w:p>
        </w:tc>
      </w:tr>
      <w:tr w:rsidR="002A4F0C" w:rsidRPr="002A4F0C" w14:paraId="5AB1C504" w14:textId="77777777" w:rsidTr="002A4F0C">
        <w:trPr>
          <w:cantSplit/>
        </w:trPr>
        <w:tc>
          <w:tcPr>
            <w:tcW w:w="1575" w:type="dxa"/>
            <w:shd w:val="clear" w:color="auto" w:fill="auto"/>
            <w:noWrap/>
            <w:vAlign w:val="center"/>
          </w:tcPr>
          <w:p w14:paraId="6FF9BA6D"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68400</w:t>
            </w:r>
          </w:p>
        </w:tc>
        <w:tc>
          <w:tcPr>
            <w:tcW w:w="7938" w:type="dxa"/>
            <w:shd w:val="clear" w:color="auto" w:fill="auto"/>
            <w:vAlign w:val="bottom"/>
          </w:tcPr>
          <w:p w14:paraId="5A71CC26" w14:textId="77777777" w:rsidR="002A4F0C" w:rsidRPr="002A4F0C" w:rsidRDefault="002A4F0C" w:rsidP="002A4F0C">
            <w:pPr>
              <w:spacing w:line="240" w:lineRule="auto"/>
              <w:rPr>
                <w:rFonts w:ascii="Arial" w:hAnsi="Arial"/>
                <w:szCs w:val="22"/>
              </w:rPr>
            </w:pPr>
            <w:r w:rsidRPr="002A4F0C">
              <w:rPr>
                <w:rFonts w:ascii="Arial" w:hAnsi="Arial"/>
                <w:szCs w:val="22"/>
              </w:rPr>
              <w:t>Knapik JJ, Marin RE, Grier TL et al (2009). A systematic review of post-deployment injury-related mortality among military personnel deployed to conflict zones. BMC Public Health, 9: 231.</w:t>
            </w:r>
          </w:p>
        </w:tc>
      </w:tr>
      <w:tr w:rsidR="002A4F0C" w:rsidRPr="002A4F0C" w14:paraId="5C783961" w14:textId="77777777" w:rsidTr="002A4F0C">
        <w:trPr>
          <w:cantSplit/>
        </w:trPr>
        <w:tc>
          <w:tcPr>
            <w:tcW w:w="1575" w:type="dxa"/>
            <w:shd w:val="clear" w:color="auto" w:fill="auto"/>
            <w:noWrap/>
            <w:vAlign w:val="center"/>
          </w:tcPr>
          <w:p w14:paraId="70E003EA"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68412</w:t>
            </w:r>
          </w:p>
        </w:tc>
        <w:tc>
          <w:tcPr>
            <w:tcW w:w="7938" w:type="dxa"/>
            <w:shd w:val="clear" w:color="auto" w:fill="auto"/>
            <w:vAlign w:val="bottom"/>
          </w:tcPr>
          <w:p w14:paraId="5D032390" w14:textId="77777777" w:rsidR="002A4F0C" w:rsidRPr="002A4F0C" w:rsidRDefault="002A4F0C" w:rsidP="002A4F0C">
            <w:pPr>
              <w:spacing w:line="240" w:lineRule="auto"/>
              <w:rPr>
                <w:rFonts w:ascii="Arial" w:hAnsi="Arial"/>
                <w:szCs w:val="22"/>
              </w:rPr>
            </w:pPr>
            <w:r w:rsidRPr="002A4F0C">
              <w:rPr>
                <w:rFonts w:ascii="Arial" w:hAnsi="Arial"/>
                <w:szCs w:val="22"/>
              </w:rPr>
              <w:t>Abbi B, Natelson BH (2013). Is chronic fatigue syndrome the same illness as fibromyalgia: evaluating the 'single syndrome' hypothesis. QJM, 106(1): 3-9.</w:t>
            </w:r>
          </w:p>
        </w:tc>
      </w:tr>
      <w:tr w:rsidR="002A4F0C" w:rsidRPr="002A4F0C" w14:paraId="6F2E041B" w14:textId="77777777" w:rsidTr="002A4F0C">
        <w:trPr>
          <w:cantSplit/>
        </w:trPr>
        <w:tc>
          <w:tcPr>
            <w:tcW w:w="1575" w:type="dxa"/>
            <w:shd w:val="clear" w:color="auto" w:fill="auto"/>
            <w:noWrap/>
            <w:vAlign w:val="center"/>
          </w:tcPr>
          <w:p w14:paraId="0B3E37ED"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68413</w:t>
            </w:r>
          </w:p>
        </w:tc>
        <w:tc>
          <w:tcPr>
            <w:tcW w:w="7938" w:type="dxa"/>
            <w:shd w:val="clear" w:color="auto" w:fill="auto"/>
            <w:vAlign w:val="bottom"/>
          </w:tcPr>
          <w:p w14:paraId="6CF431F9" w14:textId="77777777" w:rsidR="002A4F0C" w:rsidRPr="002A4F0C" w:rsidRDefault="002A4F0C" w:rsidP="002A4F0C">
            <w:pPr>
              <w:spacing w:line="240" w:lineRule="auto"/>
              <w:rPr>
                <w:rFonts w:ascii="Arial" w:hAnsi="Arial"/>
                <w:szCs w:val="22"/>
              </w:rPr>
            </w:pPr>
            <w:r w:rsidRPr="002A4F0C">
              <w:rPr>
                <w:rFonts w:ascii="Arial" w:hAnsi="Arial"/>
                <w:szCs w:val="22"/>
              </w:rPr>
              <w:t>Osinubi OY, McAndrew LM, De Candia V et al (2012). Organizational psychosocial factors and deployment-related exposure concerns in Afghanistan/Iraq War veterans. J Occup Environ Med, 54(6): 670-6.</w:t>
            </w:r>
          </w:p>
        </w:tc>
      </w:tr>
      <w:tr w:rsidR="002A4F0C" w:rsidRPr="002A4F0C" w14:paraId="5F73B668" w14:textId="77777777" w:rsidTr="002A4F0C">
        <w:trPr>
          <w:cantSplit/>
        </w:trPr>
        <w:tc>
          <w:tcPr>
            <w:tcW w:w="1575" w:type="dxa"/>
            <w:shd w:val="clear" w:color="auto" w:fill="auto"/>
            <w:noWrap/>
            <w:vAlign w:val="center"/>
          </w:tcPr>
          <w:p w14:paraId="53607A51"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68441</w:t>
            </w:r>
          </w:p>
        </w:tc>
        <w:tc>
          <w:tcPr>
            <w:tcW w:w="7938" w:type="dxa"/>
            <w:shd w:val="clear" w:color="auto" w:fill="auto"/>
            <w:vAlign w:val="bottom"/>
          </w:tcPr>
          <w:p w14:paraId="37414EAB" w14:textId="77777777" w:rsidR="002A4F0C" w:rsidRPr="002A4F0C" w:rsidRDefault="002A4F0C" w:rsidP="002A4F0C">
            <w:pPr>
              <w:spacing w:line="240" w:lineRule="auto"/>
              <w:rPr>
                <w:rFonts w:ascii="Arial" w:hAnsi="Arial"/>
                <w:szCs w:val="22"/>
              </w:rPr>
            </w:pPr>
            <w:r w:rsidRPr="002A4F0C">
              <w:rPr>
                <w:rFonts w:ascii="Arial" w:hAnsi="Arial"/>
                <w:szCs w:val="22"/>
              </w:rPr>
              <w:t>Lotti M, Moretto A (2005). Organophosphate-induced delayed polyneuropathy. Toxicol Rev, 24(1): 37-49.</w:t>
            </w:r>
          </w:p>
        </w:tc>
      </w:tr>
      <w:tr w:rsidR="002A4F0C" w:rsidRPr="002A4F0C" w14:paraId="3903A643" w14:textId="77777777" w:rsidTr="002A4F0C">
        <w:trPr>
          <w:cantSplit/>
        </w:trPr>
        <w:tc>
          <w:tcPr>
            <w:tcW w:w="1575" w:type="dxa"/>
            <w:shd w:val="clear" w:color="auto" w:fill="auto"/>
            <w:noWrap/>
            <w:vAlign w:val="center"/>
          </w:tcPr>
          <w:p w14:paraId="7529AE23"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68442</w:t>
            </w:r>
          </w:p>
        </w:tc>
        <w:tc>
          <w:tcPr>
            <w:tcW w:w="7938" w:type="dxa"/>
            <w:shd w:val="clear" w:color="auto" w:fill="auto"/>
            <w:vAlign w:val="bottom"/>
          </w:tcPr>
          <w:p w14:paraId="5B0A664E" w14:textId="77777777" w:rsidR="002A4F0C" w:rsidRPr="002A4F0C" w:rsidRDefault="002A4F0C" w:rsidP="002A4F0C">
            <w:pPr>
              <w:spacing w:line="240" w:lineRule="auto"/>
              <w:rPr>
                <w:rFonts w:ascii="Arial" w:hAnsi="Arial"/>
                <w:szCs w:val="22"/>
              </w:rPr>
            </w:pPr>
            <w:r w:rsidRPr="002A4F0C">
              <w:rPr>
                <w:rFonts w:ascii="Arial" w:hAnsi="Arial"/>
                <w:szCs w:val="22"/>
              </w:rPr>
              <w:t>Capelli E, Zola R, Lorusso L et al (2010). Chronic fatigue syndrome/myalgic encephalomyelitis: An update. Int J Immunopathology and Pharmacology, 23(4): 981-9.</w:t>
            </w:r>
          </w:p>
        </w:tc>
      </w:tr>
      <w:tr w:rsidR="002A4F0C" w:rsidRPr="002A4F0C" w14:paraId="3744429A" w14:textId="77777777" w:rsidTr="002A4F0C">
        <w:trPr>
          <w:cantSplit/>
        </w:trPr>
        <w:tc>
          <w:tcPr>
            <w:tcW w:w="1575" w:type="dxa"/>
            <w:shd w:val="clear" w:color="auto" w:fill="auto"/>
            <w:noWrap/>
            <w:vAlign w:val="center"/>
          </w:tcPr>
          <w:p w14:paraId="5C0E2FB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68443</w:t>
            </w:r>
          </w:p>
        </w:tc>
        <w:tc>
          <w:tcPr>
            <w:tcW w:w="7938" w:type="dxa"/>
            <w:shd w:val="clear" w:color="auto" w:fill="auto"/>
            <w:vAlign w:val="bottom"/>
          </w:tcPr>
          <w:p w14:paraId="274904A7" w14:textId="77777777" w:rsidR="002A4F0C" w:rsidRPr="002A4F0C" w:rsidRDefault="002A4F0C" w:rsidP="002A4F0C">
            <w:pPr>
              <w:spacing w:line="240" w:lineRule="auto"/>
              <w:rPr>
                <w:rFonts w:ascii="Arial" w:hAnsi="Arial"/>
                <w:szCs w:val="22"/>
              </w:rPr>
            </w:pPr>
            <w:r w:rsidRPr="002A4F0C">
              <w:rPr>
                <w:rFonts w:ascii="Arial" w:hAnsi="Arial"/>
                <w:szCs w:val="22"/>
              </w:rPr>
              <w:t>Clauw DJ (2010). Perspectives on fatigue from the study of chronic fatigue syndrome and related conditions. PM &amp; R, 2(5): 414-30.</w:t>
            </w:r>
          </w:p>
        </w:tc>
      </w:tr>
      <w:tr w:rsidR="002A4F0C" w:rsidRPr="002A4F0C" w14:paraId="776F91AD" w14:textId="77777777" w:rsidTr="002A4F0C">
        <w:trPr>
          <w:cantSplit/>
        </w:trPr>
        <w:tc>
          <w:tcPr>
            <w:tcW w:w="1575" w:type="dxa"/>
            <w:shd w:val="clear" w:color="auto" w:fill="auto"/>
            <w:noWrap/>
            <w:vAlign w:val="center"/>
          </w:tcPr>
          <w:p w14:paraId="50BBCFCE"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68466</w:t>
            </w:r>
          </w:p>
        </w:tc>
        <w:tc>
          <w:tcPr>
            <w:tcW w:w="7938" w:type="dxa"/>
            <w:shd w:val="clear" w:color="auto" w:fill="auto"/>
            <w:vAlign w:val="bottom"/>
          </w:tcPr>
          <w:p w14:paraId="50200513" w14:textId="77777777" w:rsidR="002A4F0C" w:rsidRPr="002A4F0C" w:rsidRDefault="002A4F0C" w:rsidP="002A4F0C">
            <w:pPr>
              <w:spacing w:line="240" w:lineRule="auto"/>
              <w:rPr>
                <w:rFonts w:ascii="Arial" w:hAnsi="Arial"/>
                <w:szCs w:val="22"/>
              </w:rPr>
            </w:pPr>
            <w:r w:rsidRPr="002A4F0C">
              <w:rPr>
                <w:rFonts w:ascii="Arial" w:hAnsi="Arial"/>
                <w:szCs w:val="22"/>
              </w:rPr>
              <w:t>Gallo RC, Sarin PS, Gelmann EP et al (1983). Isolation of human T-cell leukemia virus in acquired immune deficiency syndrome (AIDS). Science, 220(4599): 865-7.</w:t>
            </w:r>
          </w:p>
        </w:tc>
      </w:tr>
      <w:tr w:rsidR="002A4F0C" w:rsidRPr="002A4F0C" w14:paraId="2D538407" w14:textId="77777777" w:rsidTr="002A4F0C">
        <w:trPr>
          <w:cantSplit/>
        </w:trPr>
        <w:tc>
          <w:tcPr>
            <w:tcW w:w="1575" w:type="dxa"/>
            <w:shd w:val="clear" w:color="auto" w:fill="auto"/>
            <w:noWrap/>
            <w:vAlign w:val="center"/>
          </w:tcPr>
          <w:p w14:paraId="0E3489A5"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68467</w:t>
            </w:r>
          </w:p>
        </w:tc>
        <w:tc>
          <w:tcPr>
            <w:tcW w:w="7938" w:type="dxa"/>
            <w:shd w:val="clear" w:color="auto" w:fill="auto"/>
            <w:vAlign w:val="bottom"/>
          </w:tcPr>
          <w:p w14:paraId="109132B8" w14:textId="77777777" w:rsidR="002A4F0C" w:rsidRPr="002A4F0C" w:rsidRDefault="002A4F0C" w:rsidP="002A4F0C">
            <w:pPr>
              <w:spacing w:line="240" w:lineRule="auto"/>
              <w:rPr>
                <w:rFonts w:ascii="Arial" w:hAnsi="Arial"/>
                <w:szCs w:val="22"/>
              </w:rPr>
            </w:pPr>
            <w:r w:rsidRPr="002A4F0C">
              <w:rPr>
                <w:rFonts w:ascii="Arial" w:hAnsi="Arial"/>
                <w:szCs w:val="22"/>
              </w:rPr>
              <w:t>Barre-Sinoussi F, Chermann JC, Rey F et al (1983). Isolation of a T-lymphotropic retrovirus from a patient at risk for acquired immune deficiency syndrome (AIDS). Science, 220(4599): 868-71.</w:t>
            </w:r>
          </w:p>
        </w:tc>
      </w:tr>
      <w:tr w:rsidR="002A4F0C" w:rsidRPr="002A4F0C" w14:paraId="378AE288" w14:textId="77777777" w:rsidTr="002A4F0C">
        <w:trPr>
          <w:cantSplit/>
        </w:trPr>
        <w:tc>
          <w:tcPr>
            <w:tcW w:w="1575" w:type="dxa"/>
            <w:shd w:val="clear" w:color="auto" w:fill="auto"/>
            <w:noWrap/>
            <w:vAlign w:val="center"/>
          </w:tcPr>
          <w:p w14:paraId="77FCC972"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68468</w:t>
            </w:r>
          </w:p>
        </w:tc>
        <w:tc>
          <w:tcPr>
            <w:tcW w:w="7938" w:type="dxa"/>
            <w:shd w:val="clear" w:color="auto" w:fill="auto"/>
            <w:vAlign w:val="bottom"/>
          </w:tcPr>
          <w:p w14:paraId="37C91080" w14:textId="77777777" w:rsidR="002A4F0C" w:rsidRPr="002A4F0C" w:rsidRDefault="002A4F0C" w:rsidP="002A4F0C">
            <w:pPr>
              <w:spacing w:line="240" w:lineRule="auto"/>
              <w:rPr>
                <w:rFonts w:ascii="Arial" w:hAnsi="Arial"/>
                <w:szCs w:val="22"/>
              </w:rPr>
            </w:pPr>
            <w:r w:rsidRPr="002A4F0C">
              <w:rPr>
                <w:rFonts w:ascii="Arial" w:hAnsi="Arial"/>
                <w:szCs w:val="22"/>
              </w:rPr>
              <w:t>United States Department of Veterans' Affairs (2013). Gulf War veterans' medically unexplained illnesses. .  Retrieved 3 July 2013, from http://www.publichealth.va.gov/exposures/gulfwar/medically-unexplained-illness.asp</w:t>
            </w:r>
          </w:p>
        </w:tc>
      </w:tr>
      <w:tr w:rsidR="002A4F0C" w:rsidRPr="002A4F0C" w14:paraId="092708E1" w14:textId="77777777" w:rsidTr="002A4F0C">
        <w:trPr>
          <w:cantSplit/>
        </w:trPr>
        <w:tc>
          <w:tcPr>
            <w:tcW w:w="1575" w:type="dxa"/>
            <w:shd w:val="clear" w:color="auto" w:fill="auto"/>
            <w:noWrap/>
            <w:vAlign w:val="center"/>
          </w:tcPr>
          <w:p w14:paraId="662141B0"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68469</w:t>
            </w:r>
          </w:p>
        </w:tc>
        <w:tc>
          <w:tcPr>
            <w:tcW w:w="7938" w:type="dxa"/>
            <w:shd w:val="clear" w:color="auto" w:fill="auto"/>
            <w:vAlign w:val="bottom"/>
          </w:tcPr>
          <w:p w14:paraId="24E1E551" w14:textId="77777777" w:rsidR="002A4F0C" w:rsidRPr="002A4F0C" w:rsidRDefault="002A4F0C" w:rsidP="002A4F0C">
            <w:pPr>
              <w:spacing w:line="240" w:lineRule="auto"/>
              <w:rPr>
                <w:rFonts w:ascii="Arial" w:hAnsi="Arial"/>
                <w:szCs w:val="22"/>
              </w:rPr>
            </w:pPr>
            <w:r w:rsidRPr="002A4F0C">
              <w:rPr>
                <w:rFonts w:ascii="Arial" w:hAnsi="Arial"/>
                <w:szCs w:val="22"/>
              </w:rPr>
              <w:t>Sur S, Sinha VK (2009). Event-related potential: an overview. Ind Psychiatry J, 18(1): 70-3.</w:t>
            </w:r>
          </w:p>
        </w:tc>
      </w:tr>
      <w:tr w:rsidR="002A4F0C" w:rsidRPr="002A4F0C" w14:paraId="0461EDC0" w14:textId="77777777" w:rsidTr="002A4F0C">
        <w:trPr>
          <w:cantSplit/>
        </w:trPr>
        <w:tc>
          <w:tcPr>
            <w:tcW w:w="1575" w:type="dxa"/>
            <w:shd w:val="clear" w:color="auto" w:fill="auto"/>
            <w:noWrap/>
            <w:vAlign w:val="center"/>
          </w:tcPr>
          <w:p w14:paraId="398C58E9" w14:textId="77777777" w:rsidR="002A4F0C" w:rsidRPr="002A4F0C" w:rsidRDefault="002A4F0C" w:rsidP="002A4F0C">
            <w:pPr>
              <w:spacing w:line="240" w:lineRule="auto"/>
              <w:jc w:val="center"/>
              <w:rPr>
                <w:rFonts w:ascii="Arial" w:hAnsi="Arial"/>
                <w:szCs w:val="22"/>
              </w:rPr>
            </w:pPr>
            <w:r w:rsidRPr="002A4F0C">
              <w:rPr>
                <w:rFonts w:ascii="Arial" w:hAnsi="Arial"/>
                <w:szCs w:val="22"/>
              </w:rPr>
              <w:t>68475</w:t>
            </w:r>
          </w:p>
        </w:tc>
        <w:tc>
          <w:tcPr>
            <w:tcW w:w="7938" w:type="dxa"/>
            <w:shd w:val="clear" w:color="auto" w:fill="auto"/>
            <w:vAlign w:val="bottom"/>
          </w:tcPr>
          <w:p w14:paraId="583BACD3" w14:textId="77777777" w:rsidR="002A4F0C" w:rsidRPr="002A4F0C" w:rsidRDefault="002A4F0C" w:rsidP="002A4F0C">
            <w:pPr>
              <w:spacing w:line="240" w:lineRule="auto"/>
              <w:rPr>
                <w:rFonts w:ascii="Arial" w:hAnsi="Arial"/>
                <w:szCs w:val="22"/>
              </w:rPr>
            </w:pPr>
            <w:r w:rsidRPr="002A4F0C">
              <w:rPr>
                <w:rFonts w:ascii="Arial" w:hAnsi="Arial"/>
                <w:szCs w:val="22"/>
              </w:rPr>
              <w:t>Abdullah L, Evans JE, Bishop A et al (2012). Lipidomic profiling of phosphocholine-containing brain lipids in mice with sensorimotor deficits and anxiety-like features after exposure to Gulf War agents. Neuromolecular Med, 14(4): 349-61.</w:t>
            </w:r>
          </w:p>
        </w:tc>
      </w:tr>
      <w:tr w:rsidR="002A4F0C" w:rsidRPr="002A4F0C" w14:paraId="361F3FD0" w14:textId="77777777" w:rsidTr="002A4F0C">
        <w:trPr>
          <w:cantSplit/>
        </w:trPr>
        <w:tc>
          <w:tcPr>
            <w:tcW w:w="1575" w:type="dxa"/>
            <w:shd w:val="clear" w:color="auto" w:fill="auto"/>
            <w:noWrap/>
            <w:vAlign w:val="center"/>
          </w:tcPr>
          <w:p w14:paraId="3BEAA316"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68571</w:t>
            </w:r>
          </w:p>
        </w:tc>
        <w:tc>
          <w:tcPr>
            <w:tcW w:w="7938" w:type="dxa"/>
            <w:shd w:val="clear" w:color="auto" w:fill="auto"/>
            <w:vAlign w:val="bottom"/>
          </w:tcPr>
          <w:p w14:paraId="337F4FA5" w14:textId="77777777" w:rsidR="002A4F0C" w:rsidRPr="002A4F0C" w:rsidRDefault="002A4F0C" w:rsidP="002A4F0C">
            <w:pPr>
              <w:spacing w:line="240" w:lineRule="auto"/>
              <w:rPr>
                <w:rFonts w:ascii="Arial" w:hAnsi="Arial"/>
                <w:szCs w:val="22"/>
              </w:rPr>
            </w:pPr>
            <w:r w:rsidRPr="002A4F0C">
              <w:rPr>
                <w:rFonts w:ascii="Arial" w:hAnsi="Arial"/>
                <w:szCs w:val="22"/>
              </w:rPr>
              <w:t>Aaron LA, Buchwald D (2003). Chronic diffuse musculoskeletal pain, fibromyalgia and co-morbid unexplained clinical conditions. Best Pract Res Clin Rheumatol, 17(4): 563-74.</w:t>
            </w:r>
          </w:p>
        </w:tc>
      </w:tr>
      <w:tr w:rsidR="002A4F0C" w:rsidRPr="002A4F0C" w14:paraId="5834BAA6" w14:textId="77777777" w:rsidTr="002A4F0C">
        <w:trPr>
          <w:cantSplit/>
        </w:trPr>
        <w:tc>
          <w:tcPr>
            <w:tcW w:w="1575" w:type="dxa"/>
            <w:shd w:val="clear" w:color="auto" w:fill="auto"/>
            <w:noWrap/>
            <w:vAlign w:val="center"/>
          </w:tcPr>
          <w:p w14:paraId="67DFE45A"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68572</w:t>
            </w:r>
          </w:p>
        </w:tc>
        <w:tc>
          <w:tcPr>
            <w:tcW w:w="7938" w:type="dxa"/>
            <w:shd w:val="clear" w:color="auto" w:fill="auto"/>
            <w:vAlign w:val="bottom"/>
          </w:tcPr>
          <w:p w14:paraId="13485014" w14:textId="77777777" w:rsidR="002A4F0C" w:rsidRPr="002A4F0C" w:rsidRDefault="002A4F0C" w:rsidP="002A4F0C">
            <w:pPr>
              <w:spacing w:line="240" w:lineRule="auto"/>
              <w:rPr>
                <w:rFonts w:ascii="Arial" w:hAnsi="Arial"/>
                <w:szCs w:val="22"/>
              </w:rPr>
            </w:pPr>
            <w:r w:rsidRPr="002A4F0C">
              <w:rPr>
                <w:rFonts w:ascii="Arial" w:hAnsi="Arial"/>
                <w:szCs w:val="22"/>
              </w:rPr>
              <w:t>Coughlin SS, McNeill RB, Provenzale DT et al (2013). Method issues in epidemiological studies of medically unexplained symptom-based conditions in veterans. J Mill Veterans Health, 21(2): 4-10.</w:t>
            </w:r>
          </w:p>
        </w:tc>
      </w:tr>
      <w:tr w:rsidR="002A4F0C" w:rsidRPr="002A4F0C" w14:paraId="4DC1A37D" w14:textId="77777777" w:rsidTr="002A4F0C">
        <w:trPr>
          <w:cantSplit/>
        </w:trPr>
        <w:tc>
          <w:tcPr>
            <w:tcW w:w="1575" w:type="dxa"/>
            <w:shd w:val="clear" w:color="auto" w:fill="auto"/>
            <w:noWrap/>
            <w:vAlign w:val="center"/>
          </w:tcPr>
          <w:p w14:paraId="79E952A9"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68573</w:t>
            </w:r>
          </w:p>
        </w:tc>
        <w:tc>
          <w:tcPr>
            <w:tcW w:w="7938" w:type="dxa"/>
            <w:shd w:val="clear" w:color="auto" w:fill="auto"/>
            <w:vAlign w:val="bottom"/>
          </w:tcPr>
          <w:p w14:paraId="07150DDE" w14:textId="77777777" w:rsidR="002A4F0C" w:rsidRPr="002A4F0C" w:rsidRDefault="002A4F0C" w:rsidP="002A4F0C">
            <w:pPr>
              <w:spacing w:line="240" w:lineRule="auto"/>
              <w:rPr>
                <w:rFonts w:ascii="Arial" w:hAnsi="Arial"/>
                <w:szCs w:val="22"/>
              </w:rPr>
            </w:pPr>
            <w:r w:rsidRPr="002A4F0C">
              <w:rPr>
                <w:rFonts w:ascii="Arial" w:hAnsi="Arial"/>
                <w:szCs w:val="22"/>
              </w:rPr>
              <w:t>Down JL (1866). Observations on an ethnic classification of idiots. London Hospital Reports, 3: 259-62.</w:t>
            </w:r>
          </w:p>
        </w:tc>
      </w:tr>
      <w:tr w:rsidR="002A4F0C" w:rsidRPr="002A4F0C" w14:paraId="5275AC52" w14:textId="77777777" w:rsidTr="002A4F0C">
        <w:trPr>
          <w:cantSplit/>
        </w:trPr>
        <w:tc>
          <w:tcPr>
            <w:tcW w:w="1575" w:type="dxa"/>
            <w:shd w:val="clear" w:color="auto" w:fill="auto"/>
            <w:noWrap/>
            <w:vAlign w:val="center"/>
          </w:tcPr>
          <w:p w14:paraId="18A9C1D6"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68574</w:t>
            </w:r>
          </w:p>
        </w:tc>
        <w:tc>
          <w:tcPr>
            <w:tcW w:w="7938" w:type="dxa"/>
            <w:shd w:val="clear" w:color="auto" w:fill="auto"/>
            <w:vAlign w:val="bottom"/>
          </w:tcPr>
          <w:p w14:paraId="437DF6E6" w14:textId="77777777" w:rsidR="002A4F0C" w:rsidRPr="002A4F0C" w:rsidRDefault="002A4F0C" w:rsidP="002A4F0C">
            <w:pPr>
              <w:spacing w:line="240" w:lineRule="auto"/>
              <w:rPr>
                <w:rFonts w:ascii="Arial" w:hAnsi="Arial"/>
                <w:szCs w:val="22"/>
              </w:rPr>
            </w:pPr>
            <w:r w:rsidRPr="002A4F0C">
              <w:rPr>
                <w:rFonts w:ascii="Arial" w:hAnsi="Arial"/>
                <w:szCs w:val="22"/>
              </w:rPr>
              <w:t>Edwards TM, Stern A, Clarke DD et al (2010). The treatment of patients with medically unexplained symptoms in primary care: a review of the literature. Ment Health Fam Med, 7(4): 209-21.</w:t>
            </w:r>
          </w:p>
        </w:tc>
      </w:tr>
      <w:tr w:rsidR="002A4F0C" w:rsidRPr="002A4F0C" w14:paraId="2886B843" w14:textId="77777777" w:rsidTr="002A4F0C">
        <w:trPr>
          <w:cantSplit/>
        </w:trPr>
        <w:tc>
          <w:tcPr>
            <w:tcW w:w="1575" w:type="dxa"/>
            <w:shd w:val="clear" w:color="auto" w:fill="auto"/>
            <w:noWrap/>
            <w:vAlign w:val="center"/>
          </w:tcPr>
          <w:p w14:paraId="0760ACAB"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68575</w:t>
            </w:r>
          </w:p>
        </w:tc>
        <w:tc>
          <w:tcPr>
            <w:tcW w:w="7938" w:type="dxa"/>
            <w:shd w:val="clear" w:color="auto" w:fill="auto"/>
            <w:vAlign w:val="bottom"/>
          </w:tcPr>
          <w:p w14:paraId="22CCDEA9" w14:textId="77777777" w:rsidR="002A4F0C" w:rsidRPr="002A4F0C" w:rsidRDefault="002A4F0C" w:rsidP="002A4F0C">
            <w:pPr>
              <w:spacing w:line="240" w:lineRule="auto"/>
              <w:rPr>
                <w:rFonts w:ascii="Arial" w:hAnsi="Arial"/>
                <w:szCs w:val="22"/>
              </w:rPr>
            </w:pPr>
            <w:r w:rsidRPr="002A4F0C">
              <w:rPr>
                <w:rFonts w:ascii="Arial" w:hAnsi="Arial"/>
                <w:szCs w:val="22"/>
              </w:rPr>
              <w:t>Frei P, Mohler E, Braun-Fahrlander C et al (2012). Cohort study on the effects of everyday life radio frequency electromagnetic field exposure on non-specific symptoms and tinnitus. Environ Int, 38(1): 29-36.</w:t>
            </w:r>
          </w:p>
        </w:tc>
      </w:tr>
      <w:tr w:rsidR="002A4F0C" w:rsidRPr="002A4F0C" w14:paraId="3CF972C7" w14:textId="77777777" w:rsidTr="002A4F0C">
        <w:trPr>
          <w:cantSplit/>
        </w:trPr>
        <w:tc>
          <w:tcPr>
            <w:tcW w:w="1575" w:type="dxa"/>
            <w:shd w:val="clear" w:color="auto" w:fill="auto"/>
            <w:noWrap/>
            <w:vAlign w:val="center"/>
          </w:tcPr>
          <w:p w14:paraId="5357A506"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68576</w:t>
            </w:r>
          </w:p>
        </w:tc>
        <w:tc>
          <w:tcPr>
            <w:tcW w:w="7938" w:type="dxa"/>
            <w:shd w:val="clear" w:color="auto" w:fill="auto"/>
            <w:vAlign w:val="bottom"/>
          </w:tcPr>
          <w:p w14:paraId="6462CA58" w14:textId="77777777" w:rsidR="002A4F0C" w:rsidRPr="002A4F0C" w:rsidRDefault="002A4F0C" w:rsidP="002A4F0C">
            <w:pPr>
              <w:spacing w:line="240" w:lineRule="auto"/>
              <w:rPr>
                <w:rFonts w:ascii="Arial" w:hAnsi="Arial"/>
                <w:szCs w:val="22"/>
              </w:rPr>
            </w:pPr>
            <w:r w:rsidRPr="002A4F0C">
              <w:rPr>
                <w:rFonts w:ascii="Arial" w:hAnsi="Arial"/>
                <w:szCs w:val="22"/>
              </w:rPr>
              <w:t>Frick U, Rehm J, Eichhammer P (2002). Risk perception, somatization, and self report of complaints related to electromagnetic fields--a randomized survey study. Int J Hyg Environ Health, 205(5): 353-60.</w:t>
            </w:r>
          </w:p>
        </w:tc>
      </w:tr>
      <w:tr w:rsidR="002A4F0C" w:rsidRPr="002A4F0C" w14:paraId="259C3181" w14:textId="77777777" w:rsidTr="002A4F0C">
        <w:trPr>
          <w:cantSplit/>
        </w:trPr>
        <w:tc>
          <w:tcPr>
            <w:tcW w:w="1575" w:type="dxa"/>
            <w:shd w:val="clear" w:color="auto" w:fill="auto"/>
            <w:noWrap/>
            <w:vAlign w:val="center"/>
          </w:tcPr>
          <w:p w14:paraId="48B509D8"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68577</w:t>
            </w:r>
          </w:p>
        </w:tc>
        <w:tc>
          <w:tcPr>
            <w:tcW w:w="7938" w:type="dxa"/>
            <w:shd w:val="clear" w:color="auto" w:fill="auto"/>
            <w:vAlign w:val="bottom"/>
          </w:tcPr>
          <w:p w14:paraId="64477D3B" w14:textId="77777777" w:rsidR="002A4F0C" w:rsidRPr="002A4F0C" w:rsidRDefault="002A4F0C" w:rsidP="002A4F0C">
            <w:pPr>
              <w:spacing w:line="240" w:lineRule="auto"/>
              <w:rPr>
                <w:rFonts w:ascii="Arial" w:hAnsi="Arial"/>
                <w:szCs w:val="22"/>
              </w:rPr>
            </w:pPr>
            <w:r w:rsidRPr="002A4F0C">
              <w:rPr>
                <w:rFonts w:ascii="Arial" w:hAnsi="Arial"/>
                <w:szCs w:val="22"/>
              </w:rPr>
              <w:t>Gallacher J, Bronstering K, Palmer S et al (2007). Symptomatology attributable to psychological exposure to a chemical incident: a natural experiment. J Epidemiol Community Health, 61(6): 506-12.</w:t>
            </w:r>
          </w:p>
        </w:tc>
      </w:tr>
      <w:tr w:rsidR="002A4F0C" w:rsidRPr="002A4F0C" w14:paraId="74DB8DE6" w14:textId="77777777" w:rsidTr="002A4F0C">
        <w:trPr>
          <w:cantSplit/>
        </w:trPr>
        <w:tc>
          <w:tcPr>
            <w:tcW w:w="1575" w:type="dxa"/>
            <w:shd w:val="clear" w:color="auto" w:fill="auto"/>
            <w:noWrap/>
            <w:vAlign w:val="center"/>
          </w:tcPr>
          <w:p w14:paraId="7423D902"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68578</w:t>
            </w:r>
          </w:p>
        </w:tc>
        <w:tc>
          <w:tcPr>
            <w:tcW w:w="7938" w:type="dxa"/>
            <w:shd w:val="clear" w:color="auto" w:fill="auto"/>
            <w:vAlign w:val="bottom"/>
          </w:tcPr>
          <w:p w14:paraId="1E4915F1" w14:textId="77777777" w:rsidR="002A4F0C" w:rsidRPr="002A4F0C" w:rsidRDefault="002A4F0C" w:rsidP="002A4F0C">
            <w:pPr>
              <w:spacing w:line="240" w:lineRule="auto"/>
              <w:rPr>
                <w:rFonts w:ascii="Arial" w:hAnsi="Arial"/>
                <w:szCs w:val="22"/>
              </w:rPr>
            </w:pPr>
            <w:r w:rsidRPr="002A4F0C">
              <w:rPr>
                <w:rFonts w:ascii="Arial" w:hAnsi="Arial"/>
                <w:szCs w:val="22"/>
              </w:rPr>
              <w:t>Gottlieb MS, Schanker HM, Fan PT et al (1996). Pneumocystis pneumonia - Los Angeles. 1981. MMWR Morb Mortal Wkly Rep, 45(34): 729-33.</w:t>
            </w:r>
          </w:p>
        </w:tc>
      </w:tr>
      <w:tr w:rsidR="002A4F0C" w:rsidRPr="002A4F0C" w14:paraId="2A3B38E9" w14:textId="77777777" w:rsidTr="002A4F0C">
        <w:trPr>
          <w:cantSplit/>
        </w:trPr>
        <w:tc>
          <w:tcPr>
            <w:tcW w:w="1575" w:type="dxa"/>
            <w:shd w:val="clear" w:color="auto" w:fill="auto"/>
            <w:noWrap/>
            <w:vAlign w:val="center"/>
          </w:tcPr>
          <w:p w14:paraId="25DF981C"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68579</w:t>
            </w:r>
          </w:p>
        </w:tc>
        <w:tc>
          <w:tcPr>
            <w:tcW w:w="7938" w:type="dxa"/>
            <w:shd w:val="clear" w:color="auto" w:fill="auto"/>
            <w:vAlign w:val="bottom"/>
          </w:tcPr>
          <w:p w14:paraId="0DDB1EDA" w14:textId="77777777" w:rsidR="002A4F0C" w:rsidRPr="002A4F0C" w:rsidRDefault="002A4F0C" w:rsidP="002A4F0C">
            <w:pPr>
              <w:spacing w:line="240" w:lineRule="auto"/>
              <w:rPr>
                <w:rFonts w:ascii="Arial" w:hAnsi="Arial"/>
                <w:szCs w:val="22"/>
              </w:rPr>
            </w:pPr>
            <w:r w:rsidRPr="002A4F0C">
              <w:rPr>
                <w:rFonts w:ascii="Arial" w:hAnsi="Arial"/>
                <w:szCs w:val="22"/>
              </w:rPr>
              <w:t>Hoffman A, Eisenkraft A, Finkelstein A et al (2007). A decade after the Tokyo sarin attack: a review of neurological follow-up of the victims. Mil Med, 172(6): 607-10.</w:t>
            </w:r>
          </w:p>
        </w:tc>
      </w:tr>
      <w:tr w:rsidR="002A4F0C" w:rsidRPr="002A4F0C" w14:paraId="1AF2C321" w14:textId="77777777" w:rsidTr="002A4F0C">
        <w:trPr>
          <w:cantSplit/>
        </w:trPr>
        <w:tc>
          <w:tcPr>
            <w:tcW w:w="1575" w:type="dxa"/>
            <w:shd w:val="clear" w:color="auto" w:fill="auto"/>
            <w:noWrap/>
            <w:vAlign w:val="center"/>
          </w:tcPr>
          <w:p w14:paraId="3D030076"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68580</w:t>
            </w:r>
          </w:p>
        </w:tc>
        <w:tc>
          <w:tcPr>
            <w:tcW w:w="7938" w:type="dxa"/>
            <w:shd w:val="clear" w:color="auto" w:fill="auto"/>
            <w:vAlign w:val="bottom"/>
          </w:tcPr>
          <w:p w14:paraId="37358316" w14:textId="77777777" w:rsidR="002A4F0C" w:rsidRPr="002A4F0C" w:rsidRDefault="002A4F0C" w:rsidP="002A4F0C">
            <w:pPr>
              <w:spacing w:line="240" w:lineRule="auto"/>
              <w:rPr>
                <w:rFonts w:ascii="Arial" w:hAnsi="Arial"/>
                <w:szCs w:val="22"/>
              </w:rPr>
            </w:pPr>
            <w:r w:rsidRPr="002A4F0C">
              <w:rPr>
                <w:rFonts w:ascii="Arial" w:hAnsi="Arial"/>
                <w:szCs w:val="22"/>
              </w:rPr>
              <w:t>Lindholm J, Laurberg P (2011). Hypothyroidism and thyroid substitution: historical aspects. J Thyroid Res, 2011: 1-10.</w:t>
            </w:r>
          </w:p>
        </w:tc>
      </w:tr>
      <w:tr w:rsidR="002A4F0C" w:rsidRPr="002A4F0C" w14:paraId="350AA4DE" w14:textId="77777777" w:rsidTr="002A4F0C">
        <w:trPr>
          <w:cantSplit/>
        </w:trPr>
        <w:tc>
          <w:tcPr>
            <w:tcW w:w="1575" w:type="dxa"/>
            <w:shd w:val="clear" w:color="auto" w:fill="auto"/>
            <w:noWrap/>
            <w:vAlign w:val="center"/>
          </w:tcPr>
          <w:p w14:paraId="6E347E2F"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68581</w:t>
            </w:r>
          </w:p>
        </w:tc>
        <w:tc>
          <w:tcPr>
            <w:tcW w:w="7938" w:type="dxa"/>
            <w:shd w:val="clear" w:color="auto" w:fill="auto"/>
            <w:vAlign w:val="bottom"/>
          </w:tcPr>
          <w:p w14:paraId="6ED9CFED" w14:textId="77777777" w:rsidR="002A4F0C" w:rsidRPr="002A4F0C" w:rsidRDefault="002A4F0C" w:rsidP="002A4F0C">
            <w:pPr>
              <w:spacing w:line="240" w:lineRule="auto"/>
              <w:rPr>
                <w:rFonts w:ascii="Arial" w:hAnsi="Arial"/>
                <w:szCs w:val="22"/>
              </w:rPr>
            </w:pPr>
            <w:r w:rsidRPr="002A4F0C">
              <w:rPr>
                <w:rFonts w:ascii="Arial" w:hAnsi="Arial"/>
                <w:szCs w:val="22"/>
              </w:rPr>
              <w:t>Moynihan R, Doust J, Henry D (2012). Preventing overdiagnosis: how to stop harming the healthy. BMJ, 28: 19-26.</w:t>
            </w:r>
          </w:p>
        </w:tc>
      </w:tr>
      <w:tr w:rsidR="002A4F0C" w:rsidRPr="002A4F0C" w14:paraId="31FF501E" w14:textId="77777777" w:rsidTr="002A4F0C">
        <w:trPr>
          <w:cantSplit/>
        </w:trPr>
        <w:tc>
          <w:tcPr>
            <w:tcW w:w="1575" w:type="dxa"/>
            <w:shd w:val="clear" w:color="auto" w:fill="auto"/>
            <w:noWrap/>
            <w:vAlign w:val="center"/>
          </w:tcPr>
          <w:p w14:paraId="7463B688"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68582</w:t>
            </w:r>
          </w:p>
        </w:tc>
        <w:tc>
          <w:tcPr>
            <w:tcW w:w="7938" w:type="dxa"/>
            <w:shd w:val="clear" w:color="auto" w:fill="auto"/>
            <w:vAlign w:val="bottom"/>
          </w:tcPr>
          <w:p w14:paraId="305E701A" w14:textId="77777777" w:rsidR="002A4F0C" w:rsidRPr="002A4F0C" w:rsidRDefault="002A4F0C" w:rsidP="002A4F0C">
            <w:pPr>
              <w:spacing w:line="240" w:lineRule="auto"/>
              <w:rPr>
                <w:rFonts w:ascii="Arial" w:hAnsi="Arial"/>
                <w:szCs w:val="22"/>
              </w:rPr>
            </w:pPr>
            <w:r w:rsidRPr="002A4F0C">
              <w:rPr>
                <w:rFonts w:ascii="Arial" w:hAnsi="Arial"/>
                <w:szCs w:val="22"/>
              </w:rPr>
              <w:t>North CS (2002). Somatization in survivors of catastrophic trauma: a methodological review. Environ Health Perspect, 110(Suppl 4): 637-40.</w:t>
            </w:r>
          </w:p>
        </w:tc>
      </w:tr>
      <w:tr w:rsidR="002A4F0C" w:rsidRPr="002A4F0C" w14:paraId="28441BAD" w14:textId="77777777" w:rsidTr="002A4F0C">
        <w:trPr>
          <w:cantSplit/>
        </w:trPr>
        <w:tc>
          <w:tcPr>
            <w:tcW w:w="1575" w:type="dxa"/>
            <w:shd w:val="clear" w:color="auto" w:fill="auto"/>
            <w:noWrap/>
            <w:vAlign w:val="center"/>
          </w:tcPr>
          <w:p w14:paraId="2AB14AFE"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68583</w:t>
            </w:r>
          </w:p>
        </w:tc>
        <w:tc>
          <w:tcPr>
            <w:tcW w:w="7938" w:type="dxa"/>
            <w:shd w:val="clear" w:color="auto" w:fill="auto"/>
            <w:vAlign w:val="bottom"/>
          </w:tcPr>
          <w:p w14:paraId="6E96BFAC" w14:textId="77777777" w:rsidR="002A4F0C" w:rsidRPr="002A4F0C" w:rsidRDefault="002A4F0C" w:rsidP="002A4F0C">
            <w:pPr>
              <w:spacing w:line="240" w:lineRule="auto"/>
              <w:rPr>
                <w:rFonts w:ascii="Arial" w:hAnsi="Arial"/>
                <w:szCs w:val="22"/>
              </w:rPr>
            </w:pPr>
            <w:r w:rsidRPr="002A4F0C">
              <w:rPr>
                <w:rFonts w:ascii="Arial" w:hAnsi="Arial"/>
                <w:szCs w:val="22"/>
              </w:rPr>
              <w:t>Powell TM, Smith TC, Jacobson IG et al (2012). Prospective assessment of chronic multisymptom illness reporting possibly associated with open-air burn pit smoke exposure in Iraq. J Occup Environ Med, 54(6): 682-8.</w:t>
            </w:r>
          </w:p>
        </w:tc>
      </w:tr>
      <w:tr w:rsidR="002A4F0C" w:rsidRPr="002A4F0C" w14:paraId="1364F620" w14:textId="77777777" w:rsidTr="002A4F0C">
        <w:trPr>
          <w:cantSplit/>
        </w:trPr>
        <w:tc>
          <w:tcPr>
            <w:tcW w:w="1575" w:type="dxa"/>
            <w:shd w:val="clear" w:color="auto" w:fill="auto"/>
            <w:noWrap/>
            <w:vAlign w:val="center"/>
          </w:tcPr>
          <w:p w14:paraId="57E68ECB"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68584</w:t>
            </w:r>
          </w:p>
        </w:tc>
        <w:tc>
          <w:tcPr>
            <w:tcW w:w="7938" w:type="dxa"/>
            <w:shd w:val="clear" w:color="auto" w:fill="auto"/>
            <w:vAlign w:val="bottom"/>
          </w:tcPr>
          <w:p w14:paraId="4300DE82" w14:textId="77777777" w:rsidR="002A4F0C" w:rsidRPr="002A4F0C" w:rsidRDefault="002A4F0C" w:rsidP="002A4F0C">
            <w:pPr>
              <w:spacing w:line="240" w:lineRule="auto"/>
              <w:rPr>
                <w:rFonts w:ascii="Arial" w:hAnsi="Arial"/>
                <w:szCs w:val="22"/>
              </w:rPr>
            </w:pPr>
            <w:r w:rsidRPr="002A4F0C">
              <w:rPr>
                <w:rFonts w:ascii="Arial" w:hAnsi="Arial"/>
                <w:szCs w:val="22"/>
              </w:rPr>
              <w:t>Rayhan RU, Raksit MP, Timbol CR et al (2013). Prefrontal lactate predicts exercise-induced cognitive dysfunction in Gulf War Illness. Am J Transl Res, 5(2): 212-23.</w:t>
            </w:r>
          </w:p>
        </w:tc>
      </w:tr>
      <w:tr w:rsidR="002A4F0C" w:rsidRPr="002A4F0C" w14:paraId="7CA1BD8C" w14:textId="77777777" w:rsidTr="002A4F0C">
        <w:trPr>
          <w:cantSplit/>
        </w:trPr>
        <w:tc>
          <w:tcPr>
            <w:tcW w:w="1575" w:type="dxa"/>
            <w:shd w:val="clear" w:color="auto" w:fill="auto"/>
            <w:noWrap/>
            <w:vAlign w:val="center"/>
          </w:tcPr>
          <w:p w14:paraId="2342D563"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68585</w:t>
            </w:r>
          </w:p>
        </w:tc>
        <w:tc>
          <w:tcPr>
            <w:tcW w:w="7938" w:type="dxa"/>
            <w:shd w:val="clear" w:color="auto" w:fill="auto"/>
            <w:vAlign w:val="bottom"/>
          </w:tcPr>
          <w:p w14:paraId="5600ED70" w14:textId="77777777" w:rsidR="002A4F0C" w:rsidRPr="002A4F0C" w:rsidRDefault="002A4F0C" w:rsidP="002A4F0C">
            <w:pPr>
              <w:spacing w:line="240" w:lineRule="auto"/>
              <w:rPr>
                <w:rFonts w:ascii="Arial" w:hAnsi="Arial"/>
                <w:szCs w:val="22"/>
              </w:rPr>
            </w:pPr>
            <w:r w:rsidRPr="002A4F0C">
              <w:rPr>
                <w:rFonts w:ascii="Arial" w:hAnsi="Arial"/>
                <w:szCs w:val="22"/>
              </w:rPr>
              <w:t>Rief W, Broadbent E (2007). Explaining medically unexplained symptoms-models and mechanisms. Clin Psychol Rev, 27(7): 821-41.</w:t>
            </w:r>
          </w:p>
        </w:tc>
      </w:tr>
      <w:tr w:rsidR="002A4F0C" w:rsidRPr="002A4F0C" w14:paraId="5D2BB295" w14:textId="77777777" w:rsidTr="002A4F0C">
        <w:trPr>
          <w:cantSplit/>
        </w:trPr>
        <w:tc>
          <w:tcPr>
            <w:tcW w:w="1575" w:type="dxa"/>
            <w:shd w:val="clear" w:color="auto" w:fill="auto"/>
            <w:noWrap/>
            <w:vAlign w:val="center"/>
          </w:tcPr>
          <w:p w14:paraId="63F19839"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68586</w:t>
            </w:r>
          </w:p>
        </w:tc>
        <w:tc>
          <w:tcPr>
            <w:tcW w:w="7938" w:type="dxa"/>
            <w:shd w:val="clear" w:color="auto" w:fill="auto"/>
            <w:vAlign w:val="bottom"/>
          </w:tcPr>
          <w:p w14:paraId="46699FFE" w14:textId="77777777" w:rsidR="002A4F0C" w:rsidRPr="002A4F0C" w:rsidRDefault="002A4F0C" w:rsidP="002A4F0C">
            <w:pPr>
              <w:spacing w:line="240" w:lineRule="auto"/>
              <w:rPr>
                <w:rFonts w:ascii="Arial" w:hAnsi="Arial"/>
                <w:szCs w:val="22"/>
              </w:rPr>
            </w:pPr>
            <w:r w:rsidRPr="002A4F0C">
              <w:rPr>
                <w:rFonts w:ascii="Arial" w:hAnsi="Arial"/>
                <w:szCs w:val="22"/>
              </w:rPr>
              <w:t>Rief W, Rojas G (2007). Stability of somatoform symptoms--implications for classification. Psychosom Med, 69(9): 864-9.</w:t>
            </w:r>
          </w:p>
        </w:tc>
      </w:tr>
      <w:tr w:rsidR="002A4F0C" w:rsidRPr="002A4F0C" w14:paraId="42F0241E" w14:textId="77777777" w:rsidTr="002A4F0C">
        <w:trPr>
          <w:cantSplit/>
        </w:trPr>
        <w:tc>
          <w:tcPr>
            <w:tcW w:w="1575" w:type="dxa"/>
            <w:shd w:val="clear" w:color="auto" w:fill="auto"/>
            <w:noWrap/>
            <w:vAlign w:val="center"/>
          </w:tcPr>
          <w:p w14:paraId="706ED9C3"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68587</w:t>
            </w:r>
          </w:p>
        </w:tc>
        <w:tc>
          <w:tcPr>
            <w:tcW w:w="7938" w:type="dxa"/>
            <w:shd w:val="clear" w:color="auto" w:fill="auto"/>
            <w:vAlign w:val="bottom"/>
          </w:tcPr>
          <w:p w14:paraId="67A513A9" w14:textId="77777777" w:rsidR="002A4F0C" w:rsidRPr="002A4F0C" w:rsidRDefault="002A4F0C" w:rsidP="002A4F0C">
            <w:pPr>
              <w:spacing w:line="240" w:lineRule="auto"/>
              <w:rPr>
                <w:rFonts w:ascii="Arial" w:hAnsi="Arial"/>
                <w:szCs w:val="22"/>
              </w:rPr>
            </w:pPr>
            <w:r w:rsidRPr="002A4F0C">
              <w:rPr>
                <w:rFonts w:ascii="Arial" w:hAnsi="Arial"/>
                <w:szCs w:val="22"/>
              </w:rPr>
              <w:t>Roosli M, Hug K (2011). Wireless communication fields and non-specific symptoms of ill health: a literature review. Wein Med Wochenschr, 161(9-10): 240-50.</w:t>
            </w:r>
          </w:p>
        </w:tc>
      </w:tr>
      <w:tr w:rsidR="002A4F0C" w:rsidRPr="002A4F0C" w14:paraId="6D52EBC2" w14:textId="77777777" w:rsidTr="002A4F0C">
        <w:trPr>
          <w:cantSplit/>
        </w:trPr>
        <w:tc>
          <w:tcPr>
            <w:tcW w:w="1575" w:type="dxa"/>
            <w:shd w:val="clear" w:color="auto" w:fill="auto"/>
            <w:noWrap/>
            <w:vAlign w:val="center"/>
          </w:tcPr>
          <w:p w14:paraId="11A6780E"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68588</w:t>
            </w:r>
          </w:p>
        </w:tc>
        <w:tc>
          <w:tcPr>
            <w:tcW w:w="7938" w:type="dxa"/>
            <w:shd w:val="clear" w:color="auto" w:fill="auto"/>
            <w:vAlign w:val="bottom"/>
          </w:tcPr>
          <w:p w14:paraId="3A586CCE" w14:textId="77777777" w:rsidR="002A4F0C" w:rsidRPr="002A4F0C" w:rsidRDefault="002A4F0C" w:rsidP="002A4F0C">
            <w:pPr>
              <w:spacing w:line="240" w:lineRule="auto"/>
              <w:rPr>
                <w:rFonts w:ascii="Arial" w:hAnsi="Arial"/>
                <w:szCs w:val="22"/>
              </w:rPr>
            </w:pPr>
            <w:r w:rsidRPr="002A4F0C">
              <w:rPr>
                <w:rFonts w:ascii="Arial" w:hAnsi="Arial"/>
                <w:szCs w:val="22"/>
              </w:rPr>
              <w:t>Rubin GJ, Hahn G, Everitt BS et al (2006). Are some people sensitive to mobile phone signals? Within participants double blind randomised provocation study. BMJ, 332(7546): 886-91.</w:t>
            </w:r>
          </w:p>
        </w:tc>
      </w:tr>
      <w:tr w:rsidR="002A4F0C" w:rsidRPr="002A4F0C" w14:paraId="0613C2B9" w14:textId="77777777" w:rsidTr="002A4F0C">
        <w:trPr>
          <w:cantSplit/>
        </w:trPr>
        <w:tc>
          <w:tcPr>
            <w:tcW w:w="1575" w:type="dxa"/>
            <w:shd w:val="clear" w:color="auto" w:fill="auto"/>
            <w:noWrap/>
            <w:vAlign w:val="center"/>
          </w:tcPr>
          <w:p w14:paraId="212B51E9"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68589</w:t>
            </w:r>
          </w:p>
        </w:tc>
        <w:tc>
          <w:tcPr>
            <w:tcW w:w="7938" w:type="dxa"/>
            <w:shd w:val="clear" w:color="auto" w:fill="auto"/>
            <w:vAlign w:val="bottom"/>
          </w:tcPr>
          <w:p w14:paraId="15F228CB" w14:textId="77777777" w:rsidR="002A4F0C" w:rsidRPr="002A4F0C" w:rsidRDefault="002A4F0C" w:rsidP="002A4F0C">
            <w:pPr>
              <w:spacing w:line="240" w:lineRule="auto"/>
              <w:rPr>
                <w:rFonts w:ascii="Arial" w:hAnsi="Arial"/>
                <w:szCs w:val="22"/>
              </w:rPr>
            </w:pPr>
            <w:r w:rsidRPr="002A4F0C">
              <w:rPr>
                <w:rFonts w:ascii="Arial" w:hAnsi="Arial"/>
                <w:szCs w:val="22"/>
              </w:rPr>
              <w:t>Samuelson KW (2011). Post-traumatic stress disorder and declarative memory functioning: a review. Dialogues Clin Neurosci, 13(3): 346-51.</w:t>
            </w:r>
          </w:p>
        </w:tc>
      </w:tr>
      <w:tr w:rsidR="002A4F0C" w:rsidRPr="002A4F0C" w14:paraId="09960222" w14:textId="77777777" w:rsidTr="002A4F0C">
        <w:trPr>
          <w:cantSplit/>
        </w:trPr>
        <w:tc>
          <w:tcPr>
            <w:tcW w:w="1575" w:type="dxa"/>
            <w:shd w:val="clear" w:color="auto" w:fill="auto"/>
            <w:noWrap/>
            <w:vAlign w:val="center"/>
          </w:tcPr>
          <w:p w14:paraId="3F21F7EB"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68590</w:t>
            </w:r>
          </w:p>
        </w:tc>
        <w:tc>
          <w:tcPr>
            <w:tcW w:w="7938" w:type="dxa"/>
            <w:shd w:val="clear" w:color="auto" w:fill="auto"/>
            <w:vAlign w:val="bottom"/>
          </w:tcPr>
          <w:p w14:paraId="1530BB81" w14:textId="77777777" w:rsidR="002A4F0C" w:rsidRPr="002A4F0C" w:rsidRDefault="002A4F0C" w:rsidP="002A4F0C">
            <w:pPr>
              <w:spacing w:line="240" w:lineRule="auto"/>
              <w:rPr>
                <w:rFonts w:ascii="Arial" w:hAnsi="Arial"/>
                <w:szCs w:val="22"/>
              </w:rPr>
            </w:pPr>
            <w:r w:rsidRPr="002A4F0C">
              <w:rPr>
                <w:rFonts w:ascii="Arial" w:hAnsi="Arial"/>
                <w:szCs w:val="22"/>
              </w:rPr>
              <w:t>Simon G, Gater R, Kisely S et al (1996). Somatic symptoms of distress: an international primary care study. Psychosom Med, 58(5): 481-8.</w:t>
            </w:r>
          </w:p>
        </w:tc>
      </w:tr>
      <w:tr w:rsidR="002A4F0C" w:rsidRPr="002A4F0C" w14:paraId="7AF9257F" w14:textId="77777777" w:rsidTr="002A4F0C">
        <w:trPr>
          <w:cantSplit/>
        </w:trPr>
        <w:tc>
          <w:tcPr>
            <w:tcW w:w="1575" w:type="dxa"/>
            <w:shd w:val="clear" w:color="auto" w:fill="auto"/>
            <w:noWrap/>
            <w:vAlign w:val="center"/>
          </w:tcPr>
          <w:p w14:paraId="5ADC83A7"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68591</w:t>
            </w:r>
          </w:p>
        </w:tc>
        <w:tc>
          <w:tcPr>
            <w:tcW w:w="7938" w:type="dxa"/>
            <w:shd w:val="clear" w:color="auto" w:fill="auto"/>
            <w:vAlign w:val="bottom"/>
          </w:tcPr>
          <w:p w14:paraId="58B38B70" w14:textId="77777777" w:rsidR="002A4F0C" w:rsidRPr="002A4F0C" w:rsidRDefault="002A4F0C" w:rsidP="002A4F0C">
            <w:pPr>
              <w:spacing w:line="240" w:lineRule="auto"/>
              <w:rPr>
                <w:rFonts w:ascii="Arial" w:hAnsi="Arial"/>
                <w:szCs w:val="22"/>
              </w:rPr>
            </w:pPr>
            <w:r w:rsidRPr="002A4F0C">
              <w:rPr>
                <w:rFonts w:ascii="Arial" w:hAnsi="Arial"/>
                <w:szCs w:val="22"/>
              </w:rPr>
              <w:t>American Psychiatric Association (AMA) (2013). Somatic symptom disorder fact sheet. .  Retrieved 10 July 2013, from www.psychiatry.org</w:t>
            </w:r>
          </w:p>
        </w:tc>
      </w:tr>
      <w:tr w:rsidR="002A4F0C" w:rsidRPr="002A4F0C" w14:paraId="0450D5DC" w14:textId="77777777" w:rsidTr="002A4F0C">
        <w:trPr>
          <w:cantSplit/>
        </w:trPr>
        <w:tc>
          <w:tcPr>
            <w:tcW w:w="1575" w:type="dxa"/>
            <w:shd w:val="clear" w:color="auto" w:fill="auto"/>
            <w:noWrap/>
            <w:vAlign w:val="center"/>
          </w:tcPr>
          <w:p w14:paraId="432062DC"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68592</w:t>
            </w:r>
          </w:p>
        </w:tc>
        <w:tc>
          <w:tcPr>
            <w:tcW w:w="7938" w:type="dxa"/>
            <w:shd w:val="clear" w:color="auto" w:fill="auto"/>
            <w:vAlign w:val="bottom"/>
          </w:tcPr>
          <w:p w14:paraId="4C7D7726" w14:textId="77777777" w:rsidR="002A4F0C" w:rsidRPr="002A4F0C" w:rsidRDefault="002A4F0C" w:rsidP="002A4F0C">
            <w:pPr>
              <w:spacing w:line="240" w:lineRule="auto"/>
              <w:rPr>
                <w:rFonts w:ascii="Arial" w:hAnsi="Arial"/>
                <w:szCs w:val="22"/>
              </w:rPr>
            </w:pPr>
            <w:r w:rsidRPr="002A4F0C">
              <w:rPr>
                <w:rFonts w:ascii="Arial" w:hAnsi="Arial"/>
                <w:szCs w:val="22"/>
              </w:rPr>
              <w:t>Tikkinen KA, Leinonen JS, Guyatt GH et al (2012). What is a disease? Perspectives of the public, health professionals and legislators. BMJ Open, 2(6): 1-8.</w:t>
            </w:r>
          </w:p>
        </w:tc>
      </w:tr>
      <w:tr w:rsidR="002A4F0C" w:rsidRPr="002A4F0C" w14:paraId="1A749DFD" w14:textId="77777777" w:rsidTr="002A4F0C">
        <w:trPr>
          <w:cantSplit/>
        </w:trPr>
        <w:tc>
          <w:tcPr>
            <w:tcW w:w="1575" w:type="dxa"/>
            <w:shd w:val="clear" w:color="auto" w:fill="auto"/>
            <w:noWrap/>
            <w:vAlign w:val="center"/>
          </w:tcPr>
          <w:p w14:paraId="2C28FF5D"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68593</w:t>
            </w:r>
          </w:p>
        </w:tc>
        <w:tc>
          <w:tcPr>
            <w:tcW w:w="7938" w:type="dxa"/>
            <w:shd w:val="clear" w:color="auto" w:fill="auto"/>
            <w:vAlign w:val="bottom"/>
          </w:tcPr>
          <w:p w14:paraId="3BD94D3B" w14:textId="77777777" w:rsidR="002A4F0C" w:rsidRPr="002A4F0C" w:rsidRDefault="002A4F0C" w:rsidP="002A4F0C">
            <w:pPr>
              <w:spacing w:line="240" w:lineRule="auto"/>
              <w:rPr>
                <w:rFonts w:ascii="Arial" w:hAnsi="Arial"/>
                <w:szCs w:val="22"/>
              </w:rPr>
            </w:pPr>
            <w:r w:rsidRPr="002A4F0C">
              <w:rPr>
                <w:rFonts w:ascii="Arial" w:hAnsi="Arial"/>
                <w:szCs w:val="22"/>
              </w:rPr>
              <w:t>World Health Organisation (WHO) (2003). Coronavirus never before seen in humans is the cause of SARS. .  Retrieved 10 July 2013, from http://www.who.int/mediacentre/news/releases/2003/pr31/en/</w:t>
            </w:r>
          </w:p>
        </w:tc>
      </w:tr>
      <w:tr w:rsidR="002A4F0C" w:rsidRPr="002A4F0C" w14:paraId="0249DDB8" w14:textId="77777777" w:rsidTr="002A4F0C">
        <w:trPr>
          <w:cantSplit/>
        </w:trPr>
        <w:tc>
          <w:tcPr>
            <w:tcW w:w="1575" w:type="dxa"/>
            <w:shd w:val="clear" w:color="auto" w:fill="auto"/>
            <w:noWrap/>
            <w:vAlign w:val="center"/>
          </w:tcPr>
          <w:p w14:paraId="06DDA651"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68594</w:t>
            </w:r>
          </w:p>
        </w:tc>
        <w:tc>
          <w:tcPr>
            <w:tcW w:w="7938" w:type="dxa"/>
            <w:shd w:val="clear" w:color="auto" w:fill="auto"/>
            <w:vAlign w:val="bottom"/>
          </w:tcPr>
          <w:p w14:paraId="004215C5" w14:textId="77777777" w:rsidR="002A4F0C" w:rsidRPr="002A4F0C" w:rsidRDefault="002A4F0C" w:rsidP="002A4F0C">
            <w:pPr>
              <w:spacing w:line="240" w:lineRule="auto"/>
              <w:rPr>
                <w:rFonts w:ascii="Arial" w:hAnsi="Arial"/>
                <w:szCs w:val="22"/>
              </w:rPr>
            </w:pPr>
            <w:r w:rsidRPr="002A4F0C">
              <w:rPr>
                <w:rFonts w:ascii="Arial" w:hAnsi="Arial"/>
                <w:szCs w:val="22"/>
              </w:rPr>
              <w:t>World Health Organization (WHO) (2010). WHO Disability Assessment Schedule 2.0 (WHODAS 2.0). , : . [Abstract]</w:t>
            </w:r>
          </w:p>
        </w:tc>
      </w:tr>
      <w:tr w:rsidR="002A4F0C" w:rsidRPr="002A4F0C" w14:paraId="72CAE3E7" w14:textId="77777777" w:rsidTr="002A4F0C">
        <w:trPr>
          <w:cantSplit/>
        </w:trPr>
        <w:tc>
          <w:tcPr>
            <w:tcW w:w="1575" w:type="dxa"/>
            <w:shd w:val="clear" w:color="auto" w:fill="auto"/>
            <w:noWrap/>
            <w:vAlign w:val="center"/>
          </w:tcPr>
          <w:p w14:paraId="66CB8355"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68595</w:t>
            </w:r>
          </w:p>
        </w:tc>
        <w:tc>
          <w:tcPr>
            <w:tcW w:w="7938" w:type="dxa"/>
            <w:shd w:val="clear" w:color="auto" w:fill="auto"/>
            <w:vAlign w:val="bottom"/>
          </w:tcPr>
          <w:p w14:paraId="287A3188" w14:textId="77777777" w:rsidR="002A4F0C" w:rsidRPr="002A4F0C" w:rsidRDefault="002A4F0C" w:rsidP="002A4F0C">
            <w:pPr>
              <w:spacing w:line="240" w:lineRule="auto"/>
              <w:rPr>
                <w:rFonts w:ascii="Arial" w:hAnsi="Arial"/>
                <w:szCs w:val="22"/>
              </w:rPr>
            </w:pPr>
            <w:r w:rsidRPr="002A4F0C">
              <w:rPr>
                <w:rFonts w:ascii="Arial" w:hAnsi="Arial"/>
                <w:szCs w:val="22"/>
              </w:rPr>
              <w:t>World Health Organization (WHO) (2001). International classification of functioning, disability and health (ICF). , : . [Abstract]</w:t>
            </w:r>
          </w:p>
        </w:tc>
      </w:tr>
      <w:tr w:rsidR="002A4F0C" w:rsidRPr="002A4F0C" w14:paraId="32F18A70" w14:textId="77777777" w:rsidTr="002A4F0C">
        <w:trPr>
          <w:cantSplit/>
        </w:trPr>
        <w:tc>
          <w:tcPr>
            <w:tcW w:w="1575" w:type="dxa"/>
            <w:shd w:val="clear" w:color="auto" w:fill="auto"/>
            <w:noWrap/>
            <w:vAlign w:val="center"/>
          </w:tcPr>
          <w:p w14:paraId="6C960947"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68596</w:t>
            </w:r>
          </w:p>
        </w:tc>
        <w:tc>
          <w:tcPr>
            <w:tcW w:w="7938" w:type="dxa"/>
            <w:shd w:val="clear" w:color="auto" w:fill="auto"/>
            <w:vAlign w:val="bottom"/>
          </w:tcPr>
          <w:p w14:paraId="52EEEC71" w14:textId="77777777" w:rsidR="002A4F0C" w:rsidRPr="002A4F0C" w:rsidRDefault="002A4F0C" w:rsidP="002A4F0C">
            <w:pPr>
              <w:spacing w:line="240" w:lineRule="auto"/>
              <w:rPr>
                <w:rFonts w:ascii="Arial" w:hAnsi="Arial"/>
                <w:szCs w:val="22"/>
              </w:rPr>
            </w:pPr>
            <w:r w:rsidRPr="002A4F0C">
              <w:rPr>
                <w:rFonts w:ascii="Arial" w:hAnsi="Arial"/>
                <w:szCs w:val="22"/>
              </w:rPr>
              <w:t>UK Ministry of Defence (2012). Gulf veterans' illnesses. .  Retrieved 10 July 2013, from https://www.gov.uk/gulf-veterans-illnesses</w:t>
            </w:r>
          </w:p>
        </w:tc>
      </w:tr>
      <w:tr w:rsidR="002A4F0C" w:rsidRPr="002A4F0C" w14:paraId="30B22322" w14:textId="77777777" w:rsidTr="002A4F0C">
        <w:trPr>
          <w:cantSplit/>
        </w:trPr>
        <w:tc>
          <w:tcPr>
            <w:tcW w:w="1575" w:type="dxa"/>
            <w:shd w:val="clear" w:color="auto" w:fill="auto"/>
            <w:noWrap/>
            <w:vAlign w:val="center"/>
          </w:tcPr>
          <w:p w14:paraId="7758A6ED" w14:textId="77777777" w:rsidR="002A4F0C" w:rsidRPr="002A4F0C" w:rsidRDefault="002A4F0C" w:rsidP="002A4F0C">
            <w:pPr>
              <w:spacing w:line="240" w:lineRule="auto"/>
              <w:jc w:val="center"/>
              <w:rPr>
                <w:rFonts w:ascii="Arial" w:hAnsi="Arial"/>
                <w:szCs w:val="22"/>
              </w:rPr>
            </w:pPr>
            <w:r w:rsidRPr="002A4F0C">
              <w:rPr>
                <w:rFonts w:ascii="Arial" w:hAnsi="Arial"/>
                <w:szCs w:val="22"/>
              </w:rPr>
              <w:t>68597</w:t>
            </w:r>
          </w:p>
        </w:tc>
        <w:tc>
          <w:tcPr>
            <w:tcW w:w="7938" w:type="dxa"/>
            <w:shd w:val="clear" w:color="auto" w:fill="auto"/>
            <w:vAlign w:val="bottom"/>
          </w:tcPr>
          <w:p w14:paraId="1F08D3CD" w14:textId="77777777" w:rsidR="002A4F0C" w:rsidRPr="002A4F0C" w:rsidRDefault="002A4F0C" w:rsidP="002A4F0C">
            <w:pPr>
              <w:spacing w:line="240" w:lineRule="auto"/>
              <w:rPr>
                <w:rFonts w:ascii="Arial" w:hAnsi="Arial"/>
                <w:szCs w:val="22"/>
              </w:rPr>
            </w:pPr>
            <w:r w:rsidRPr="002A4F0C">
              <w:rPr>
                <w:rFonts w:ascii="Arial" w:hAnsi="Arial"/>
                <w:szCs w:val="22"/>
              </w:rPr>
              <w:t>Yanagisawa N, Morita H, Nakajima T (2006). Sarin experiences in Japan: acute toxicity and long-term effects. J Neurol Sci, 249(1): 76-85.</w:t>
            </w:r>
          </w:p>
        </w:tc>
      </w:tr>
      <w:tr w:rsidR="002A4F0C" w:rsidRPr="002A4F0C" w14:paraId="33221E25" w14:textId="77777777" w:rsidTr="002A4F0C">
        <w:trPr>
          <w:cantSplit/>
        </w:trPr>
        <w:tc>
          <w:tcPr>
            <w:tcW w:w="1575" w:type="dxa"/>
            <w:shd w:val="clear" w:color="auto" w:fill="auto"/>
            <w:noWrap/>
            <w:vAlign w:val="center"/>
          </w:tcPr>
          <w:p w14:paraId="3CFAAA0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68639</w:t>
            </w:r>
          </w:p>
        </w:tc>
        <w:tc>
          <w:tcPr>
            <w:tcW w:w="7938" w:type="dxa"/>
            <w:shd w:val="clear" w:color="auto" w:fill="auto"/>
            <w:vAlign w:val="bottom"/>
          </w:tcPr>
          <w:p w14:paraId="77592D0C" w14:textId="77777777" w:rsidR="002A4F0C" w:rsidRPr="002A4F0C" w:rsidRDefault="002A4F0C" w:rsidP="002A4F0C">
            <w:pPr>
              <w:spacing w:line="240" w:lineRule="auto"/>
              <w:rPr>
                <w:rFonts w:ascii="Arial" w:hAnsi="Arial"/>
                <w:szCs w:val="22"/>
              </w:rPr>
            </w:pPr>
            <w:r w:rsidRPr="002A4F0C">
              <w:rPr>
                <w:rFonts w:ascii="Arial" w:hAnsi="Arial"/>
                <w:szCs w:val="22"/>
              </w:rPr>
              <w:t>Waller M, Treloar SA, Sim MR et al (2012). Traumatic events, other operational stressors and physical and mental health reported by Australian Defence Force personnel following peacekeeping and war-like deployments. BMC Psychiatry, 12: 88.</w:t>
            </w:r>
          </w:p>
        </w:tc>
      </w:tr>
      <w:tr w:rsidR="002A4F0C" w:rsidRPr="002A4F0C" w14:paraId="725D7356" w14:textId="77777777" w:rsidTr="002A4F0C">
        <w:trPr>
          <w:cantSplit/>
        </w:trPr>
        <w:tc>
          <w:tcPr>
            <w:tcW w:w="1575" w:type="dxa"/>
            <w:shd w:val="clear" w:color="auto" w:fill="auto"/>
            <w:noWrap/>
            <w:vAlign w:val="center"/>
          </w:tcPr>
          <w:p w14:paraId="3EEB43CA" w14:textId="77777777" w:rsidR="002A4F0C" w:rsidRPr="002A4F0C" w:rsidRDefault="002A4F0C" w:rsidP="002A4F0C">
            <w:pPr>
              <w:spacing w:line="240" w:lineRule="auto"/>
              <w:jc w:val="center"/>
              <w:rPr>
                <w:rFonts w:ascii="Arial" w:hAnsi="Arial"/>
                <w:szCs w:val="22"/>
              </w:rPr>
            </w:pPr>
            <w:r w:rsidRPr="002A4F0C">
              <w:rPr>
                <w:rFonts w:ascii="Arial" w:hAnsi="Arial"/>
                <w:szCs w:val="22"/>
              </w:rPr>
              <w:t>68640</w:t>
            </w:r>
          </w:p>
        </w:tc>
        <w:tc>
          <w:tcPr>
            <w:tcW w:w="7938" w:type="dxa"/>
            <w:shd w:val="clear" w:color="auto" w:fill="auto"/>
            <w:vAlign w:val="bottom"/>
          </w:tcPr>
          <w:p w14:paraId="629467C2" w14:textId="77777777" w:rsidR="002A4F0C" w:rsidRPr="002A4F0C" w:rsidRDefault="002A4F0C" w:rsidP="002A4F0C">
            <w:pPr>
              <w:spacing w:line="240" w:lineRule="auto"/>
              <w:rPr>
                <w:rFonts w:ascii="Arial" w:hAnsi="Arial"/>
                <w:szCs w:val="22"/>
              </w:rPr>
            </w:pPr>
            <w:r w:rsidRPr="002A4F0C">
              <w:rPr>
                <w:rFonts w:ascii="Arial" w:hAnsi="Arial"/>
                <w:szCs w:val="22"/>
              </w:rPr>
              <w:t>Wolfe F, Walitt B (2013). Culture, science and the changing nature of fibromyalgia. Nat Rev Rheumatol, : [epub ahead of print].</w:t>
            </w:r>
          </w:p>
        </w:tc>
      </w:tr>
      <w:tr w:rsidR="002A4F0C" w:rsidRPr="002A4F0C" w14:paraId="13776405" w14:textId="77777777" w:rsidTr="002A4F0C">
        <w:trPr>
          <w:cantSplit/>
        </w:trPr>
        <w:tc>
          <w:tcPr>
            <w:tcW w:w="1575" w:type="dxa"/>
            <w:shd w:val="clear" w:color="auto" w:fill="auto"/>
            <w:noWrap/>
            <w:vAlign w:val="center"/>
          </w:tcPr>
          <w:p w14:paraId="061E9FBC" w14:textId="77777777" w:rsidR="002A4F0C" w:rsidRPr="002A4F0C" w:rsidRDefault="002A4F0C" w:rsidP="002A4F0C">
            <w:pPr>
              <w:spacing w:line="240" w:lineRule="auto"/>
              <w:jc w:val="center"/>
              <w:rPr>
                <w:rFonts w:ascii="Arial" w:hAnsi="Arial"/>
                <w:szCs w:val="22"/>
              </w:rPr>
            </w:pPr>
            <w:r w:rsidRPr="002A4F0C">
              <w:rPr>
                <w:rFonts w:ascii="Arial" w:hAnsi="Arial"/>
                <w:szCs w:val="22"/>
              </w:rPr>
              <w:t>68641</w:t>
            </w:r>
          </w:p>
        </w:tc>
        <w:tc>
          <w:tcPr>
            <w:tcW w:w="7938" w:type="dxa"/>
            <w:shd w:val="clear" w:color="auto" w:fill="auto"/>
            <w:vAlign w:val="bottom"/>
          </w:tcPr>
          <w:p w14:paraId="5FE29B94" w14:textId="77777777" w:rsidR="002A4F0C" w:rsidRPr="002A4F0C" w:rsidRDefault="002A4F0C" w:rsidP="002A4F0C">
            <w:pPr>
              <w:spacing w:line="240" w:lineRule="auto"/>
              <w:rPr>
                <w:rFonts w:ascii="Arial" w:hAnsi="Arial"/>
                <w:szCs w:val="22"/>
              </w:rPr>
            </w:pPr>
            <w:r w:rsidRPr="002A4F0C">
              <w:rPr>
                <w:rFonts w:ascii="Arial" w:hAnsi="Arial"/>
                <w:szCs w:val="22"/>
              </w:rPr>
              <w:t>Veterans' Affairs New Zealand (2012). Presumptive lists. .  Retrieved 17 July 2013, from http://www.veteransaffairs.mil.nz/pensions/presumptive-lists-info.html</w:t>
            </w:r>
          </w:p>
        </w:tc>
      </w:tr>
      <w:tr w:rsidR="002A4F0C" w:rsidRPr="002A4F0C" w14:paraId="674818EC" w14:textId="77777777" w:rsidTr="002A4F0C">
        <w:trPr>
          <w:cantSplit/>
        </w:trPr>
        <w:tc>
          <w:tcPr>
            <w:tcW w:w="1575" w:type="dxa"/>
            <w:shd w:val="clear" w:color="auto" w:fill="auto"/>
            <w:noWrap/>
            <w:vAlign w:val="center"/>
          </w:tcPr>
          <w:p w14:paraId="6644D2D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68642</w:t>
            </w:r>
          </w:p>
        </w:tc>
        <w:tc>
          <w:tcPr>
            <w:tcW w:w="7938" w:type="dxa"/>
            <w:shd w:val="clear" w:color="auto" w:fill="auto"/>
            <w:vAlign w:val="bottom"/>
          </w:tcPr>
          <w:p w14:paraId="79590600" w14:textId="77777777" w:rsidR="002A4F0C" w:rsidRPr="002A4F0C" w:rsidRDefault="002A4F0C" w:rsidP="002A4F0C">
            <w:pPr>
              <w:spacing w:line="240" w:lineRule="auto"/>
              <w:rPr>
                <w:rFonts w:ascii="Arial" w:hAnsi="Arial"/>
                <w:szCs w:val="22"/>
              </w:rPr>
            </w:pPr>
            <w:r w:rsidRPr="002A4F0C">
              <w:rPr>
                <w:rFonts w:ascii="Arial" w:hAnsi="Arial"/>
                <w:szCs w:val="22"/>
              </w:rPr>
              <w:t>Parihar VK, Hattiangady B, Shuai B et al (2013). Mood and memory deficits in a model of Gulf War illness are linked with reduced neurogenesis, partial neuron loss and mild inflammation in the hippocampus. Neuropsychopharmacology, : [epub ahead of print].</w:t>
            </w:r>
          </w:p>
        </w:tc>
      </w:tr>
      <w:tr w:rsidR="002A4F0C" w:rsidRPr="002A4F0C" w14:paraId="092832ED" w14:textId="77777777" w:rsidTr="002A4F0C">
        <w:trPr>
          <w:cantSplit/>
        </w:trPr>
        <w:tc>
          <w:tcPr>
            <w:tcW w:w="1575" w:type="dxa"/>
            <w:shd w:val="clear" w:color="auto" w:fill="auto"/>
            <w:noWrap/>
            <w:vAlign w:val="center"/>
          </w:tcPr>
          <w:p w14:paraId="53F0F75D" w14:textId="77777777" w:rsidR="002A4F0C" w:rsidRPr="002A4F0C" w:rsidRDefault="002A4F0C" w:rsidP="002A4F0C">
            <w:pPr>
              <w:spacing w:line="240" w:lineRule="auto"/>
              <w:jc w:val="center"/>
              <w:rPr>
                <w:rFonts w:ascii="Arial" w:hAnsi="Arial"/>
                <w:szCs w:val="22"/>
              </w:rPr>
            </w:pPr>
            <w:r w:rsidRPr="002A4F0C">
              <w:rPr>
                <w:rFonts w:ascii="Arial" w:hAnsi="Arial"/>
                <w:szCs w:val="22"/>
              </w:rPr>
              <w:t>68722</w:t>
            </w:r>
          </w:p>
        </w:tc>
        <w:tc>
          <w:tcPr>
            <w:tcW w:w="7938" w:type="dxa"/>
            <w:shd w:val="clear" w:color="auto" w:fill="auto"/>
            <w:vAlign w:val="bottom"/>
          </w:tcPr>
          <w:p w14:paraId="5E4E9E9F" w14:textId="77777777" w:rsidR="002A4F0C" w:rsidRPr="002A4F0C" w:rsidRDefault="002A4F0C" w:rsidP="002A4F0C">
            <w:pPr>
              <w:spacing w:line="240" w:lineRule="auto"/>
              <w:rPr>
                <w:rFonts w:ascii="Arial" w:hAnsi="Arial"/>
                <w:szCs w:val="22"/>
              </w:rPr>
            </w:pPr>
            <w:r w:rsidRPr="002A4F0C">
              <w:rPr>
                <w:rFonts w:ascii="Arial" w:hAnsi="Arial"/>
                <w:szCs w:val="22"/>
              </w:rPr>
              <w:t>Rolfe A, Burton C (2013). Reassurance after diagnostic testing with a low pretest probability of serious disease: systematic review and meta-analysis. JAMA Intern Med, 173(6): 407-16.</w:t>
            </w:r>
          </w:p>
        </w:tc>
      </w:tr>
      <w:tr w:rsidR="002A4F0C" w:rsidRPr="002A4F0C" w14:paraId="15CEE25E" w14:textId="77777777" w:rsidTr="002A4F0C">
        <w:trPr>
          <w:cantSplit/>
        </w:trPr>
        <w:tc>
          <w:tcPr>
            <w:tcW w:w="1575" w:type="dxa"/>
            <w:shd w:val="clear" w:color="auto" w:fill="auto"/>
            <w:noWrap/>
            <w:vAlign w:val="center"/>
          </w:tcPr>
          <w:p w14:paraId="6636568F" w14:textId="77777777" w:rsidR="002A4F0C" w:rsidRPr="002A4F0C" w:rsidRDefault="002A4F0C" w:rsidP="002A4F0C">
            <w:pPr>
              <w:spacing w:line="240" w:lineRule="auto"/>
              <w:jc w:val="center"/>
              <w:rPr>
                <w:rFonts w:ascii="Arial" w:hAnsi="Arial"/>
                <w:szCs w:val="22"/>
              </w:rPr>
            </w:pPr>
            <w:r w:rsidRPr="002A4F0C">
              <w:rPr>
                <w:rFonts w:ascii="Arial" w:hAnsi="Arial"/>
                <w:szCs w:val="22"/>
              </w:rPr>
              <w:t>68741</w:t>
            </w:r>
          </w:p>
        </w:tc>
        <w:tc>
          <w:tcPr>
            <w:tcW w:w="7938" w:type="dxa"/>
            <w:shd w:val="clear" w:color="auto" w:fill="auto"/>
            <w:vAlign w:val="bottom"/>
          </w:tcPr>
          <w:p w14:paraId="4DA38916" w14:textId="77777777" w:rsidR="002A4F0C" w:rsidRPr="002A4F0C" w:rsidRDefault="002A4F0C" w:rsidP="002A4F0C">
            <w:pPr>
              <w:spacing w:line="240" w:lineRule="auto"/>
              <w:rPr>
                <w:rFonts w:ascii="Arial" w:hAnsi="Arial"/>
                <w:szCs w:val="22"/>
              </w:rPr>
            </w:pPr>
            <w:r w:rsidRPr="002A4F0C">
              <w:rPr>
                <w:rFonts w:ascii="Arial" w:hAnsi="Arial"/>
                <w:szCs w:val="22"/>
              </w:rPr>
              <w:t>Veterans Health Administration, Department of Defense (USA) (2001). VHA/DoD clinical practice guideline for the management of medically unexplained symptoms: Chronic pain and fatigue,  Version 1.0. .</w:t>
            </w:r>
          </w:p>
        </w:tc>
      </w:tr>
      <w:tr w:rsidR="002A4F0C" w:rsidRPr="002A4F0C" w14:paraId="7F8DD2D8" w14:textId="77777777" w:rsidTr="002A4F0C">
        <w:trPr>
          <w:cantSplit/>
        </w:trPr>
        <w:tc>
          <w:tcPr>
            <w:tcW w:w="1575" w:type="dxa"/>
            <w:shd w:val="clear" w:color="auto" w:fill="auto"/>
            <w:noWrap/>
            <w:vAlign w:val="center"/>
          </w:tcPr>
          <w:p w14:paraId="3CCEEDAA" w14:textId="77777777" w:rsidR="002A4F0C" w:rsidRPr="002A4F0C" w:rsidRDefault="002A4F0C" w:rsidP="002A4F0C">
            <w:pPr>
              <w:spacing w:line="240" w:lineRule="auto"/>
              <w:jc w:val="center"/>
              <w:rPr>
                <w:rFonts w:ascii="Arial" w:hAnsi="Arial"/>
                <w:szCs w:val="22"/>
              </w:rPr>
            </w:pPr>
            <w:r w:rsidRPr="002A4F0C">
              <w:rPr>
                <w:rFonts w:ascii="Arial" w:hAnsi="Arial"/>
                <w:szCs w:val="22"/>
              </w:rPr>
              <w:t>68744</w:t>
            </w:r>
          </w:p>
        </w:tc>
        <w:tc>
          <w:tcPr>
            <w:tcW w:w="7938" w:type="dxa"/>
            <w:shd w:val="clear" w:color="auto" w:fill="auto"/>
            <w:vAlign w:val="bottom"/>
          </w:tcPr>
          <w:p w14:paraId="69807177" w14:textId="77777777" w:rsidR="002A4F0C" w:rsidRPr="002A4F0C" w:rsidRDefault="002A4F0C" w:rsidP="002A4F0C">
            <w:pPr>
              <w:spacing w:line="240" w:lineRule="auto"/>
              <w:rPr>
                <w:rFonts w:ascii="Arial" w:hAnsi="Arial"/>
                <w:szCs w:val="22"/>
              </w:rPr>
            </w:pPr>
            <w:r w:rsidRPr="002A4F0C">
              <w:rPr>
                <w:rFonts w:ascii="Arial" w:hAnsi="Arial"/>
                <w:szCs w:val="22"/>
              </w:rPr>
              <w:t>Lejeune J, Gauter M, Turpin R (1959). Etude des chromosomes somatiques de neuf enfants mongoliens. Comptes Rendus Hebd Seances Acad Sci, 248(11): 1721-2. Retrieved 3 July 2013, from http://gallica.bnf.fr/ark:/12148/bpt6k32002/f1759.chemindefer</w:t>
            </w:r>
          </w:p>
        </w:tc>
      </w:tr>
      <w:tr w:rsidR="002A4F0C" w:rsidRPr="002A4F0C" w14:paraId="545AF568" w14:textId="77777777" w:rsidTr="002A4F0C">
        <w:trPr>
          <w:cantSplit/>
        </w:trPr>
        <w:tc>
          <w:tcPr>
            <w:tcW w:w="1575" w:type="dxa"/>
            <w:shd w:val="clear" w:color="auto" w:fill="auto"/>
            <w:noWrap/>
            <w:vAlign w:val="center"/>
          </w:tcPr>
          <w:p w14:paraId="7EDEA8E4" w14:textId="77777777" w:rsidR="002A4F0C" w:rsidRPr="002A4F0C" w:rsidRDefault="002A4F0C" w:rsidP="002A4F0C">
            <w:pPr>
              <w:spacing w:line="240" w:lineRule="auto"/>
              <w:jc w:val="center"/>
              <w:rPr>
                <w:rFonts w:ascii="Arial" w:hAnsi="Arial"/>
                <w:szCs w:val="22"/>
              </w:rPr>
            </w:pPr>
            <w:r w:rsidRPr="002A4F0C">
              <w:rPr>
                <w:rFonts w:ascii="Arial" w:hAnsi="Arial"/>
                <w:szCs w:val="22"/>
              </w:rPr>
              <w:t>68791</w:t>
            </w:r>
          </w:p>
        </w:tc>
        <w:tc>
          <w:tcPr>
            <w:tcW w:w="7938" w:type="dxa"/>
            <w:shd w:val="clear" w:color="auto" w:fill="auto"/>
            <w:vAlign w:val="bottom"/>
          </w:tcPr>
          <w:p w14:paraId="3F023FEB" w14:textId="77777777" w:rsidR="002A4F0C" w:rsidRPr="002A4F0C" w:rsidRDefault="002A4F0C" w:rsidP="002A4F0C">
            <w:pPr>
              <w:spacing w:line="240" w:lineRule="auto"/>
              <w:rPr>
                <w:rFonts w:ascii="Arial" w:hAnsi="Arial"/>
                <w:szCs w:val="22"/>
              </w:rPr>
            </w:pPr>
            <w:r w:rsidRPr="002A4F0C">
              <w:rPr>
                <w:rFonts w:ascii="Arial" w:hAnsi="Arial"/>
                <w:szCs w:val="22"/>
              </w:rPr>
              <w:t>Scremin OU, Shih TM, Huynh L et al (2005). Low-dose cholinesterase inhibitors do not induce delayed effects on cerebral blood flow and metabolism. Pharmacol Biochem Behav, 80(4): 529-40.</w:t>
            </w:r>
          </w:p>
        </w:tc>
      </w:tr>
      <w:tr w:rsidR="002A4F0C" w:rsidRPr="002A4F0C" w14:paraId="100533E7" w14:textId="77777777" w:rsidTr="002A4F0C">
        <w:trPr>
          <w:cantSplit/>
        </w:trPr>
        <w:tc>
          <w:tcPr>
            <w:tcW w:w="1575" w:type="dxa"/>
            <w:shd w:val="clear" w:color="auto" w:fill="auto"/>
            <w:noWrap/>
            <w:vAlign w:val="center"/>
          </w:tcPr>
          <w:p w14:paraId="40858B38" w14:textId="77777777" w:rsidR="002A4F0C" w:rsidRPr="002A4F0C" w:rsidRDefault="002A4F0C" w:rsidP="002A4F0C">
            <w:pPr>
              <w:spacing w:line="240" w:lineRule="auto"/>
              <w:jc w:val="center"/>
              <w:rPr>
                <w:rFonts w:ascii="Arial" w:hAnsi="Arial"/>
                <w:szCs w:val="22"/>
              </w:rPr>
            </w:pPr>
            <w:r w:rsidRPr="002A4F0C">
              <w:rPr>
                <w:rFonts w:ascii="Arial" w:hAnsi="Arial"/>
                <w:szCs w:val="22"/>
              </w:rPr>
              <w:t>68998</w:t>
            </w:r>
          </w:p>
        </w:tc>
        <w:tc>
          <w:tcPr>
            <w:tcW w:w="7938" w:type="dxa"/>
            <w:shd w:val="clear" w:color="auto" w:fill="auto"/>
            <w:vAlign w:val="bottom"/>
          </w:tcPr>
          <w:p w14:paraId="5E3AC785" w14:textId="77777777" w:rsidR="002A4F0C" w:rsidRPr="002A4F0C" w:rsidRDefault="002A4F0C" w:rsidP="002A4F0C">
            <w:pPr>
              <w:spacing w:line="240" w:lineRule="auto"/>
              <w:rPr>
                <w:rFonts w:ascii="Arial" w:hAnsi="Arial"/>
                <w:szCs w:val="22"/>
              </w:rPr>
            </w:pPr>
            <w:r w:rsidRPr="002A4F0C">
              <w:rPr>
                <w:rFonts w:ascii="Arial" w:hAnsi="Arial"/>
                <w:szCs w:val="22"/>
              </w:rPr>
              <w:t>Gevao B, Aba AA, Al-Ghadban AN, et al (2012). Depositional history of polychlorinated biphenyls in a dated sediment core from the northwestern Arabian Gulf. , 62(4): 549-56.</w:t>
            </w:r>
          </w:p>
        </w:tc>
      </w:tr>
      <w:tr w:rsidR="002A4F0C" w:rsidRPr="002A4F0C" w14:paraId="687AC3FD" w14:textId="77777777" w:rsidTr="002A4F0C">
        <w:trPr>
          <w:cantSplit/>
        </w:trPr>
        <w:tc>
          <w:tcPr>
            <w:tcW w:w="1575" w:type="dxa"/>
            <w:shd w:val="clear" w:color="auto" w:fill="auto"/>
            <w:noWrap/>
            <w:vAlign w:val="center"/>
          </w:tcPr>
          <w:p w14:paraId="32A4DEB0" w14:textId="77777777" w:rsidR="002A4F0C" w:rsidRPr="002A4F0C" w:rsidRDefault="002A4F0C" w:rsidP="002A4F0C">
            <w:pPr>
              <w:spacing w:line="240" w:lineRule="auto"/>
              <w:jc w:val="center"/>
              <w:rPr>
                <w:rFonts w:ascii="Arial" w:hAnsi="Arial"/>
                <w:szCs w:val="22"/>
              </w:rPr>
            </w:pPr>
            <w:r w:rsidRPr="002A4F0C">
              <w:rPr>
                <w:rFonts w:ascii="Arial" w:hAnsi="Arial"/>
                <w:szCs w:val="22"/>
              </w:rPr>
              <w:t>68999</w:t>
            </w:r>
          </w:p>
        </w:tc>
        <w:tc>
          <w:tcPr>
            <w:tcW w:w="7938" w:type="dxa"/>
            <w:shd w:val="clear" w:color="auto" w:fill="auto"/>
            <w:vAlign w:val="bottom"/>
          </w:tcPr>
          <w:p w14:paraId="79FFE17F" w14:textId="77777777" w:rsidR="002A4F0C" w:rsidRPr="002A4F0C" w:rsidRDefault="002A4F0C" w:rsidP="002A4F0C">
            <w:pPr>
              <w:spacing w:line="240" w:lineRule="auto"/>
              <w:rPr>
                <w:rFonts w:ascii="Arial" w:hAnsi="Arial"/>
                <w:szCs w:val="22"/>
              </w:rPr>
            </w:pPr>
            <w:r w:rsidRPr="002A4F0C">
              <w:rPr>
                <w:rFonts w:ascii="Arial" w:hAnsi="Arial"/>
                <w:szCs w:val="22"/>
              </w:rPr>
              <w:t>Binns JH, Barlow C, Bloom FE, et al (2008). Gulf War illness and the health of Gulf War veterans: scientific findings and recommendations. : 1-454.  Retrieved 26 August 2013, from http://www.va.gov/RAC-GWVI/docs/Committee_Documents/GWIandHealthofGWVeterans_RAC-GWVIReport_2008.pdf</w:t>
            </w:r>
          </w:p>
        </w:tc>
      </w:tr>
      <w:tr w:rsidR="002A4F0C" w:rsidRPr="002A4F0C" w14:paraId="385CD48B" w14:textId="77777777" w:rsidTr="002A4F0C">
        <w:trPr>
          <w:cantSplit/>
        </w:trPr>
        <w:tc>
          <w:tcPr>
            <w:tcW w:w="1575" w:type="dxa"/>
            <w:shd w:val="clear" w:color="auto" w:fill="auto"/>
            <w:noWrap/>
            <w:vAlign w:val="center"/>
          </w:tcPr>
          <w:p w14:paraId="48BDAEAE"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69000</w:t>
            </w:r>
          </w:p>
        </w:tc>
        <w:tc>
          <w:tcPr>
            <w:tcW w:w="7938" w:type="dxa"/>
            <w:shd w:val="clear" w:color="auto" w:fill="auto"/>
            <w:vAlign w:val="bottom"/>
          </w:tcPr>
          <w:p w14:paraId="2FE32706" w14:textId="77777777" w:rsidR="002A4F0C" w:rsidRPr="002A4F0C" w:rsidRDefault="002A4F0C" w:rsidP="002A4F0C">
            <w:pPr>
              <w:spacing w:line="240" w:lineRule="auto"/>
              <w:rPr>
                <w:rFonts w:ascii="Arial" w:hAnsi="Arial"/>
                <w:szCs w:val="22"/>
              </w:rPr>
            </w:pPr>
            <w:r w:rsidRPr="002A4F0C">
              <w:rPr>
                <w:rFonts w:ascii="Arial" w:hAnsi="Arial"/>
                <w:szCs w:val="22"/>
              </w:rPr>
              <w:t>High Court of Australia (1992). Bushell v Repatriation Commission [1992] HCA 47; (1992) 175 CLR 408; (1992) 29 ALD 1 (7 October 1992). .  Retrieved 26 August 2013, from http://www.austlii.edu.au/au/cases/cth/HCA/1992/47.html</w:t>
            </w:r>
          </w:p>
        </w:tc>
      </w:tr>
      <w:tr w:rsidR="002A4F0C" w:rsidRPr="002A4F0C" w14:paraId="1B4ABDDF" w14:textId="77777777" w:rsidTr="002A4F0C">
        <w:trPr>
          <w:cantSplit/>
        </w:trPr>
        <w:tc>
          <w:tcPr>
            <w:tcW w:w="1575" w:type="dxa"/>
            <w:shd w:val="clear" w:color="auto" w:fill="auto"/>
            <w:noWrap/>
            <w:vAlign w:val="center"/>
          </w:tcPr>
          <w:p w14:paraId="5C529749"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69001</w:t>
            </w:r>
          </w:p>
        </w:tc>
        <w:tc>
          <w:tcPr>
            <w:tcW w:w="7938" w:type="dxa"/>
            <w:shd w:val="clear" w:color="auto" w:fill="auto"/>
            <w:vAlign w:val="bottom"/>
          </w:tcPr>
          <w:p w14:paraId="6782AD99" w14:textId="77777777" w:rsidR="002A4F0C" w:rsidRPr="002A4F0C" w:rsidRDefault="002A4F0C" w:rsidP="002A4F0C">
            <w:pPr>
              <w:spacing w:line="240" w:lineRule="auto"/>
              <w:rPr>
                <w:rFonts w:ascii="Arial" w:hAnsi="Arial"/>
                <w:szCs w:val="22"/>
              </w:rPr>
            </w:pPr>
            <w:r w:rsidRPr="002A4F0C">
              <w:rPr>
                <w:rFonts w:ascii="Arial" w:hAnsi="Arial"/>
                <w:szCs w:val="22"/>
              </w:rPr>
              <w:t>Federal Court of Australia (2001). Budworth v Repatriation Commission [2001] FCA 317 (29 March 2001). .  Retrieved 26 August 2013, from http://www.judgments.fedcourt.gov.au/judgments/Judgments/fca/single/2001/2001fca0317</w:t>
            </w:r>
          </w:p>
        </w:tc>
      </w:tr>
      <w:tr w:rsidR="002A4F0C" w:rsidRPr="002A4F0C" w14:paraId="0521DD67" w14:textId="77777777" w:rsidTr="002A4F0C">
        <w:trPr>
          <w:cantSplit/>
        </w:trPr>
        <w:tc>
          <w:tcPr>
            <w:tcW w:w="1575" w:type="dxa"/>
            <w:shd w:val="clear" w:color="auto" w:fill="auto"/>
            <w:noWrap/>
            <w:vAlign w:val="center"/>
          </w:tcPr>
          <w:p w14:paraId="1D62CE1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69002</w:t>
            </w:r>
          </w:p>
        </w:tc>
        <w:tc>
          <w:tcPr>
            <w:tcW w:w="7938" w:type="dxa"/>
            <w:shd w:val="clear" w:color="auto" w:fill="auto"/>
            <w:vAlign w:val="bottom"/>
          </w:tcPr>
          <w:p w14:paraId="7288CCB3" w14:textId="77777777" w:rsidR="002A4F0C" w:rsidRPr="002A4F0C" w:rsidRDefault="002A4F0C" w:rsidP="002A4F0C">
            <w:pPr>
              <w:spacing w:line="240" w:lineRule="auto"/>
              <w:rPr>
                <w:rFonts w:ascii="Arial" w:hAnsi="Arial"/>
                <w:szCs w:val="22"/>
              </w:rPr>
            </w:pPr>
            <w:r w:rsidRPr="002A4F0C">
              <w:rPr>
                <w:rFonts w:ascii="Arial" w:hAnsi="Arial"/>
                <w:szCs w:val="22"/>
              </w:rPr>
              <w:t>Richardson LK, Frueh BC, Acierno R (2010). Prevalence Estimates of Combat-Related PTSD: A Critical Review. Australian &amp; New Zealand Journal of Psychiatry, 44(1): 4-19.</w:t>
            </w:r>
          </w:p>
        </w:tc>
      </w:tr>
      <w:tr w:rsidR="002A4F0C" w:rsidRPr="002A4F0C" w14:paraId="41B1D963" w14:textId="77777777" w:rsidTr="002A4F0C">
        <w:trPr>
          <w:cantSplit/>
        </w:trPr>
        <w:tc>
          <w:tcPr>
            <w:tcW w:w="1575" w:type="dxa"/>
            <w:shd w:val="clear" w:color="auto" w:fill="auto"/>
            <w:noWrap/>
            <w:vAlign w:val="center"/>
          </w:tcPr>
          <w:p w14:paraId="7F375AF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69003</w:t>
            </w:r>
          </w:p>
        </w:tc>
        <w:tc>
          <w:tcPr>
            <w:tcW w:w="7938" w:type="dxa"/>
            <w:shd w:val="clear" w:color="auto" w:fill="auto"/>
            <w:vAlign w:val="bottom"/>
          </w:tcPr>
          <w:p w14:paraId="09A95F18" w14:textId="77777777" w:rsidR="002A4F0C" w:rsidRPr="002A4F0C" w:rsidRDefault="002A4F0C" w:rsidP="002A4F0C">
            <w:pPr>
              <w:spacing w:line="240" w:lineRule="auto"/>
              <w:rPr>
                <w:rFonts w:ascii="Arial" w:hAnsi="Arial"/>
                <w:szCs w:val="22"/>
              </w:rPr>
            </w:pPr>
            <w:r w:rsidRPr="002A4F0C">
              <w:rPr>
                <w:rFonts w:ascii="Arial" w:hAnsi="Arial"/>
                <w:szCs w:val="22"/>
              </w:rPr>
              <w:t>General Accounting Office (1997). Gulf War illnesses: improved monitoring of clinical progress and reexamination of research emphasis are needed. .  Retrieved 26 August 2013, from http://www.gao.gov/archive/1997/ns97163.pdf</w:t>
            </w:r>
          </w:p>
        </w:tc>
      </w:tr>
      <w:tr w:rsidR="002A4F0C" w:rsidRPr="002A4F0C" w14:paraId="6745F327" w14:textId="77777777" w:rsidTr="002A4F0C">
        <w:trPr>
          <w:cantSplit/>
        </w:trPr>
        <w:tc>
          <w:tcPr>
            <w:tcW w:w="1575" w:type="dxa"/>
            <w:shd w:val="clear" w:color="auto" w:fill="auto"/>
            <w:noWrap/>
            <w:vAlign w:val="center"/>
          </w:tcPr>
          <w:p w14:paraId="5EED713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69004</w:t>
            </w:r>
          </w:p>
        </w:tc>
        <w:tc>
          <w:tcPr>
            <w:tcW w:w="7938" w:type="dxa"/>
            <w:shd w:val="clear" w:color="auto" w:fill="auto"/>
            <w:vAlign w:val="bottom"/>
          </w:tcPr>
          <w:p w14:paraId="561E6643" w14:textId="77777777" w:rsidR="002A4F0C" w:rsidRPr="002A4F0C" w:rsidRDefault="002A4F0C" w:rsidP="002A4F0C">
            <w:pPr>
              <w:spacing w:line="240" w:lineRule="auto"/>
              <w:rPr>
                <w:rFonts w:ascii="Arial" w:hAnsi="Arial"/>
                <w:szCs w:val="22"/>
              </w:rPr>
            </w:pPr>
            <w:r w:rsidRPr="002A4F0C">
              <w:rPr>
                <w:rFonts w:ascii="Arial" w:hAnsi="Arial"/>
                <w:szCs w:val="22"/>
              </w:rPr>
              <w:t>Jones E, Wessely S (1999). Case of chronic fatigue syndrome after Crimean war and Indian mutiny. British Medical Journal, 319(7225): 1645-7.</w:t>
            </w:r>
          </w:p>
        </w:tc>
      </w:tr>
      <w:tr w:rsidR="002A4F0C" w:rsidRPr="002A4F0C" w14:paraId="6E88F922" w14:textId="77777777" w:rsidTr="002A4F0C">
        <w:trPr>
          <w:cantSplit/>
        </w:trPr>
        <w:tc>
          <w:tcPr>
            <w:tcW w:w="1575" w:type="dxa"/>
            <w:shd w:val="clear" w:color="auto" w:fill="auto"/>
            <w:noWrap/>
            <w:vAlign w:val="center"/>
          </w:tcPr>
          <w:p w14:paraId="018DFEB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69005</w:t>
            </w:r>
          </w:p>
        </w:tc>
        <w:tc>
          <w:tcPr>
            <w:tcW w:w="7938" w:type="dxa"/>
            <w:shd w:val="clear" w:color="auto" w:fill="auto"/>
            <w:vAlign w:val="bottom"/>
          </w:tcPr>
          <w:p w14:paraId="3F710992" w14:textId="77777777" w:rsidR="002A4F0C" w:rsidRPr="002A4F0C" w:rsidRDefault="002A4F0C" w:rsidP="002A4F0C">
            <w:pPr>
              <w:spacing w:line="240" w:lineRule="auto"/>
              <w:rPr>
                <w:rFonts w:ascii="Arial" w:hAnsi="Arial"/>
                <w:szCs w:val="22"/>
              </w:rPr>
            </w:pPr>
            <w:r w:rsidRPr="002A4F0C">
              <w:rPr>
                <w:rFonts w:ascii="Arial" w:hAnsi="Arial"/>
                <w:szCs w:val="22"/>
              </w:rPr>
              <w:t>MacCoun RJ (1998). Biases in the interpretation and use of research results. Annual Review of Psychology, 49: 259-87.</w:t>
            </w:r>
          </w:p>
        </w:tc>
      </w:tr>
      <w:tr w:rsidR="002A4F0C" w:rsidRPr="002A4F0C" w14:paraId="3878F9E3" w14:textId="77777777" w:rsidTr="002A4F0C">
        <w:trPr>
          <w:cantSplit/>
        </w:trPr>
        <w:tc>
          <w:tcPr>
            <w:tcW w:w="1575" w:type="dxa"/>
            <w:shd w:val="clear" w:color="auto" w:fill="auto"/>
            <w:noWrap/>
            <w:vAlign w:val="center"/>
          </w:tcPr>
          <w:p w14:paraId="17CA8384"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69006</w:t>
            </w:r>
          </w:p>
        </w:tc>
        <w:tc>
          <w:tcPr>
            <w:tcW w:w="7938" w:type="dxa"/>
            <w:shd w:val="clear" w:color="auto" w:fill="auto"/>
            <w:vAlign w:val="bottom"/>
          </w:tcPr>
          <w:p w14:paraId="4F2423A9" w14:textId="77777777" w:rsidR="002A4F0C" w:rsidRPr="002A4F0C" w:rsidRDefault="002A4F0C" w:rsidP="002A4F0C">
            <w:pPr>
              <w:spacing w:line="240" w:lineRule="auto"/>
              <w:rPr>
                <w:rFonts w:ascii="Arial" w:hAnsi="Arial"/>
                <w:szCs w:val="22"/>
              </w:rPr>
            </w:pPr>
            <w:r w:rsidRPr="002A4F0C">
              <w:rPr>
                <w:rFonts w:ascii="Arial" w:hAnsi="Arial"/>
                <w:szCs w:val="22"/>
              </w:rPr>
              <w:t>National Healthy and Medical Research Council (2007). National Statement on Ethical Conduct in Human Research. : 1-111.  Retrieved 26 August 2013, from http://www.nhmrc.gov.au/_files_nhmrc/publications/attachments/e72.pdf</w:t>
            </w:r>
          </w:p>
        </w:tc>
      </w:tr>
      <w:tr w:rsidR="002A4F0C" w:rsidRPr="002A4F0C" w14:paraId="09731B60" w14:textId="77777777" w:rsidTr="002A4F0C">
        <w:trPr>
          <w:cantSplit/>
        </w:trPr>
        <w:tc>
          <w:tcPr>
            <w:tcW w:w="1575" w:type="dxa"/>
            <w:shd w:val="clear" w:color="auto" w:fill="auto"/>
            <w:noWrap/>
            <w:vAlign w:val="center"/>
          </w:tcPr>
          <w:p w14:paraId="14175E19"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69007</w:t>
            </w:r>
          </w:p>
        </w:tc>
        <w:tc>
          <w:tcPr>
            <w:tcW w:w="7938" w:type="dxa"/>
            <w:shd w:val="clear" w:color="auto" w:fill="auto"/>
            <w:vAlign w:val="bottom"/>
          </w:tcPr>
          <w:p w14:paraId="5F819662" w14:textId="77777777" w:rsidR="002A4F0C" w:rsidRPr="002A4F0C" w:rsidRDefault="002A4F0C" w:rsidP="002A4F0C">
            <w:pPr>
              <w:spacing w:line="240" w:lineRule="auto"/>
              <w:rPr>
                <w:rFonts w:ascii="Arial" w:hAnsi="Arial"/>
                <w:szCs w:val="22"/>
              </w:rPr>
            </w:pPr>
            <w:r w:rsidRPr="002A4F0C">
              <w:rPr>
                <w:rFonts w:ascii="Arial" w:hAnsi="Arial"/>
                <w:szCs w:val="22"/>
              </w:rPr>
              <w:t>Bekelman JE, Li Y, Gross CP (2003). Scope and impact of financial conflicts of interest in biomedical research: a systematic review. JAMA, 289(4): 454-65.</w:t>
            </w:r>
          </w:p>
        </w:tc>
      </w:tr>
      <w:tr w:rsidR="002A4F0C" w:rsidRPr="002A4F0C" w14:paraId="3EAAFEBE" w14:textId="77777777" w:rsidTr="002A4F0C">
        <w:trPr>
          <w:cantSplit/>
        </w:trPr>
        <w:tc>
          <w:tcPr>
            <w:tcW w:w="1575" w:type="dxa"/>
            <w:shd w:val="clear" w:color="auto" w:fill="auto"/>
            <w:noWrap/>
            <w:vAlign w:val="center"/>
          </w:tcPr>
          <w:p w14:paraId="1FEDE95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69008</w:t>
            </w:r>
          </w:p>
        </w:tc>
        <w:tc>
          <w:tcPr>
            <w:tcW w:w="7938" w:type="dxa"/>
            <w:shd w:val="clear" w:color="auto" w:fill="auto"/>
            <w:vAlign w:val="bottom"/>
          </w:tcPr>
          <w:p w14:paraId="051CD884" w14:textId="77777777" w:rsidR="002A4F0C" w:rsidRPr="002A4F0C" w:rsidRDefault="002A4F0C" w:rsidP="002A4F0C">
            <w:pPr>
              <w:spacing w:line="240" w:lineRule="auto"/>
              <w:rPr>
                <w:rFonts w:ascii="Arial" w:hAnsi="Arial"/>
                <w:szCs w:val="22"/>
              </w:rPr>
            </w:pPr>
            <w:r w:rsidRPr="002A4F0C">
              <w:rPr>
                <w:rFonts w:ascii="Arial" w:hAnsi="Arial"/>
                <w:szCs w:val="22"/>
              </w:rPr>
              <w:t>Wessely S, Hyams KC, Bartholomew R (2001). Psychological implications of chemical and biological weapons. British Medical Journal, 323(7318): 878-9.</w:t>
            </w:r>
          </w:p>
        </w:tc>
      </w:tr>
      <w:tr w:rsidR="002A4F0C" w:rsidRPr="002A4F0C" w14:paraId="5B5F3B5D" w14:textId="77777777" w:rsidTr="002A4F0C">
        <w:trPr>
          <w:cantSplit/>
        </w:trPr>
        <w:tc>
          <w:tcPr>
            <w:tcW w:w="1575" w:type="dxa"/>
            <w:shd w:val="clear" w:color="auto" w:fill="auto"/>
            <w:noWrap/>
            <w:vAlign w:val="center"/>
          </w:tcPr>
          <w:p w14:paraId="40FBA11B"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69009</w:t>
            </w:r>
          </w:p>
        </w:tc>
        <w:tc>
          <w:tcPr>
            <w:tcW w:w="7938" w:type="dxa"/>
            <w:shd w:val="clear" w:color="auto" w:fill="auto"/>
            <w:vAlign w:val="bottom"/>
          </w:tcPr>
          <w:p w14:paraId="106059BC" w14:textId="77777777" w:rsidR="002A4F0C" w:rsidRPr="002A4F0C" w:rsidRDefault="002A4F0C" w:rsidP="002A4F0C">
            <w:pPr>
              <w:spacing w:line="240" w:lineRule="auto"/>
              <w:rPr>
                <w:rFonts w:ascii="Arial" w:hAnsi="Arial"/>
                <w:szCs w:val="22"/>
              </w:rPr>
            </w:pPr>
            <w:r w:rsidRPr="002A4F0C">
              <w:rPr>
                <w:rFonts w:ascii="Arial" w:hAnsi="Arial"/>
                <w:szCs w:val="22"/>
              </w:rPr>
              <w:t>Angell M (2000). Is academic medicine for sale? New England Journal of Medicine, 342(20): 1516-8.</w:t>
            </w:r>
          </w:p>
        </w:tc>
      </w:tr>
      <w:tr w:rsidR="002A4F0C" w:rsidRPr="002A4F0C" w14:paraId="69B18562" w14:textId="77777777" w:rsidTr="002A4F0C">
        <w:trPr>
          <w:cantSplit/>
        </w:trPr>
        <w:tc>
          <w:tcPr>
            <w:tcW w:w="1575" w:type="dxa"/>
            <w:shd w:val="clear" w:color="auto" w:fill="auto"/>
            <w:noWrap/>
            <w:vAlign w:val="center"/>
          </w:tcPr>
          <w:p w14:paraId="6F755638"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69010</w:t>
            </w:r>
          </w:p>
        </w:tc>
        <w:tc>
          <w:tcPr>
            <w:tcW w:w="7938" w:type="dxa"/>
            <w:shd w:val="clear" w:color="auto" w:fill="auto"/>
            <w:vAlign w:val="bottom"/>
          </w:tcPr>
          <w:p w14:paraId="037990B8" w14:textId="77777777" w:rsidR="002A4F0C" w:rsidRPr="002A4F0C" w:rsidRDefault="002A4F0C" w:rsidP="002A4F0C">
            <w:pPr>
              <w:spacing w:line="240" w:lineRule="auto"/>
              <w:rPr>
                <w:rFonts w:ascii="Arial" w:hAnsi="Arial"/>
                <w:szCs w:val="22"/>
              </w:rPr>
            </w:pPr>
            <w:r w:rsidRPr="002A4F0C">
              <w:rPr>
                <w:rFonts w:ascii="Arial" w:hAnsi="Arial"/>
                <w:szCs w:val="22"/>
              </w:rPr>
              <w:t>Federal Court of Australia (1996). Comcare v Paul Mooi [1996] FCA 1587 (26 June 1996). .  Retrieved 27 August 2013, from http://www.austlii.edu.au/cgi-bin/sinodisp/au/cases/cth/FCA/1996/1587.html?stem=0&amp;synonyms=0&amp;query=mooi</w:t>
            </w:r>
          </w:p>
        </w:tc>
      </w:tr>
      <w:tr w:rsidR="002A4F0C" w:rsidRPr="002A4F0C" w14:paraId="784C6D60" w14:textId="77777777" w:rsidTr="002A4F0C">
        <w:trPr>
          <w:cantSplit/>
        </w:trPr>
        <w:tc>
          <w:tcPr>
            <w:tcW w:w="1575" w:type="dxa"/>
            <w:shd w:val="clear" w:color="auto" w:fill="auto"/>
            <w:noWrap/>
            <w:vAlign w:val="center"/>
          </w:tcPr>
          <w:p w14:paraId="5A56F6B0"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69011</w:t>
            </w:r>
          </w:p>
        </w:tc>
        <w:tc>
          <w:tcPr>
            <w:tcW w:w="7938" w:type="dxa"/>
            <w:shd w:val="clear" w:color="auto" w:fill="auto"/>
            <w:vAlign w:val="bottom"/>
          </w:tcPr>
          <w:p w14:paraId="5542A1F7" w14:textId="77777777" w:rsidR="002A4F0C" w:rsidRPr="002A4F0C" w:rsidRDefault="002A4F0C" w:rsidP="002A4F0C">
            <w:pPr>
              <w:spacing w:line="240" w:lineRule="auto"/>
              <w:rPr>
                <w:rFonts w:ascii="Arial" w:hAnsi="Arial"/>
                <w:szCs w:val="22"/>
              </w:rPr>
            </w:pPr>
            <w:r w:rsidRPr="002A4F0C">
              <w:rPr>
                <w:rFonts w:ascii="Arial" w:hAnsi="Arial"/>
                <w:szCs w:val="22"/>
              </w:rPr>
              <w:t>Administrative Appeals Tribunal of Australia (2003). Waller and Repatriation Commission [2003] AATA 430 (12 May 2003). .  Retrieved 27 August 2013, from http://www.austlii.edu.au/cgi-bin/sinodisp/au/cases/cth/AATA/2003/430.html</w:t>
            </w:r>
          </w:p>
        </w:tc>
      </w:tr>
      <w:tr w:rsidR="002A4F0C" w:rsidRPr="002A4F0C" w14:paraId="10989338" w14:textId="77777777" w:rsidTr="002A4F0C">
        <w:trPr>
          <w:cantSplit/>
        </w:trPr>
        <w:tc>
          <w:tcPr>
            <w:tcW w:w="1575" w:type="dxa"/>
            <w:shd w:val="clear" w:color="auto" w:fill="auto"/>
            <w:noWrap/>
            <w:vAlign w:val="center"/>
          </w:tcPr>
          <w:p w14:paraId="270CE441"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69012</w:t>
            </w:r>
          </w:p>
        </w:tc>
        <w:tc>
          <w:tcPr>
            <w:tcW w:w="7938" w:type="dxa"/>
            <w:shd w:val="clear" w:color="auto" w:fill="auto"/>
            <w:vAlign w:val="bottom"/>
          </w:tcPr>
          <w:p w14:paraId="349D4624" w14:textId="77777777" w:rsidR="002A4F0C" w:rsidRPr="002A4F0C" w:rsidRDefault="002A4F0C" w:rsidP="002A4F0C">
            <w:pPr>
              <w:spacing w:line="240" w:lineRule="auto"/>
              <w:rPr>
                <w:rFonts w:ascii="Arial" w:hAnsi="Arial"/>
                <w:szCs w:val="22"/>
              </w:rPr>
            </w:pPr>
            <w:r w:rsidRPr="002A4F0C">
              <w:rPr>
                <w:rFonts w:ascii="Arial" w:hAnsi="Arial"/>
                <w:szCs w:val="22"/>
              </w:rPr>
              <w:t>Kirkpatrick JS (2011). The impact of U.S. military operations in Kuwait, Bosnia, and Kosovo (1991-2000) on environmental health surveillance. Military Medicine, 176(7 Suppl): 41-5.</w:t>
            </w:r>
          </w:p>
        </w:tc>
      </w:tr>
      <w:tr w:rsidR="002A4F0C" w:rsidRPr="002A4F0C" w14:paraId="0EB1BEA5" w14:textId="77777777" w:rsidTr="002A4F0C">
        <w:trPr>
          <w:cantSplit/>
        </w:trPr>
        <w:tc>
          <w:tcPr>
            <w:tcW w:w="1575" w:type="dxa"/>
            <w:shd w:val="clear" w:color="auto" w:fill="auto"/>
            <w:noWrap/>
            <w:vAlign w:val="center"/>
          </w:tcPr>
          <w:p w14:paraId="48549167"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69013</w:t>
            </w:r>
          </w:p>
        </w:tc>
        <w:tc>
          <w:tcPr>
            <w:tcW w:w="7938" w:type="dxa"/>
            <w:shd w:val="clear" w:color="auto" w:fill="auto"/>
            <w:vAlign w:val="bottom"/>
          </w:tcPr>
          <w:p w14:paraId="6F5AEFE3" w14:textId="77777777" w:rsidR="002A4F0C" w:rsidRPr="002A4F0C" w:rsidRDefault="002A4F0C" w:rsidP="002A4F0C">
            <w:pPr>
              <w:spacing w:line="240" w:lineRule="auto"/>
              <w:rPr>
                <w:rFonts w:ascii="Arial" w:hAnsi="Arial"/>
                <w:szCs w:val="22"/>
              </w:rPr>
            </w:pPr>
            <w:r w:rsidRPr="002A4F0C">
              <w:rPr>
                <w:rFonts w:ascii="Arial" w:hAnsi="Arial"/>
                <w:szCs w:val="22"/>
              </w:rPr>
              <w:t>Boyd KC, Hallman WK, Wartenberg D, et al (2003). Reported exposures, stressors, and life events among Gulf War Registry veterans. Journal of Occupational &amp; Environmental Medicien, 45(12): 1247-56.</w:t>
            </w:r>
          </w:p>
        </w:tc>
      </w:tr>
      <w:tr w:rsidR="002A4F0C" w:rsidRPr="002A4F0C" w14:paraId="76CAD01B" w14:textId="77777777" w:rsidTr="002A4F0C">
        <w:trPr>
          <w:cantSplit/>
        </w:trPr>
        <w:tc>
          <w:tcPr>
            <w:tcW w:w="1575" w:type="dxa"/>
            <w:shd w:val="clear" w:color="auto" w:fill="auto"/>
            <w:noWrap/>
            <w:vAlign w:val="center"/>
          </w:tcPr>
          <w:p w14:paraId="53EB7810"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69014</w:t>
            </w:r>
          </w:p>
        </w:tc>
        <w:tc>
          <w:tcPr>
            <w:tcW w:w="7938" w:type="dxa"/>
            <w:shd w:val="clear" w:color="auto" w:fill="auto"/>
            <w:vAlign w:val="bottom"/>
          </w:tcPr>
          <w:p w14:paraId="0B69D987" w14:textId="77777777" w:rsidR="002A4F0C" w:rsidRPr="002A4F0C" w:rsidRDefault="002A4F0C" w:rsidP="002A4F0C">
            <w:pPr>
              <w:spacing w:line="240" w:lineRule="auto"/>
              <w:rPr>
                <w:rFonts w:ascii="Arial" w:hAnsi="Arial"/>
                <w:szCs w:val="22"/>
              </w:rPr>
            </w:pPr>
            <w:r w:rsidRPr="002A4F0C">
              <w:rPr>
                <w:rFonts w:ascii="Arial" w:hAnsi="Arial"/>
                <w:szCs w:val="22"/>
              </w:rPr>
              <w:t>Marlowe D (2001). Psychological and Psychosocial consequences of combat and deployment: with special emphasis on the Gulf War, . RAND: National Defence Research Institute. Santa Monica, California, USA.</w:t>
            </w:r>
          </w:p>
        </w:tc>
      </w:tr>
      <w:tr w:rsidR="002A4F0C" w:rsidRPr="002A4F0C" w14:paraId="1D9C5702" w14:textId="77777777" w:rsidTr="002A4F0C">
        <w:trPr>
          <w:cantSplit/>
        </w:trPr>
        <w:tc>
          <w:tcPr>
            <w:tcW w:w="1575" w:type="dxa"/>
            <w:shd w:val="clear" w:color="auto" w:fill="auto"/>
            <w:noWrap/>
            <w:vAlign w:val="center"/>
          </w:tcPr>
          <w:p w14:paraId="5D9E814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69015</w:t>
            </w:r>
          </w:p>
        </w:tc>
        <w:tc>
          <w:tcPr>
            <w:tcW w:w="7938" w:type="dxa"/>
            <w:shd w:val="clear" w:color="auto" w:fill="auto"/>
            <w:vAlign w:val="bottom"/>
          </w:tcPr>
          <w:p w14:paraId="24D1BF15" w14:textId="77777777" w:rsidR="002A4F0C" w:rsidRPr="002A4F0C" w:rsidRDefault="002A4F0C" w:rsidP="002A4F0C">
            <w:pPr>
              <w:spacing w:line="240" w:lineRule="auto"/>
              <w:rPr>
                <w:rFonts w:ascii="Arial" w:hAnsi="Arial"/>
                <w:szCs w:val="22"/>
              </w:rPr>
            </w:pPr>
            <w:r w:rsidRPr="002A4F0C">
              <w:rPr>
                <w:rFonts w:ascii="Arial" w:hAnsi="Arial"/>
                <w:szCs w:val="22"/>
              </w:rPr>
              <w:t>Mahan CM, Kang HK, Dalager NA, et al (2004). Anthrax vaccination and self-reported symptoms, functional status, and medical conditions in the National Health Survey of Gulf War Era Veterans and Their Families. Annals of Epidemiology, 14(2): 81-8.</w:t>
            </w:r>
          </w:p>
        </w:tc>
      </w:tr>
      <w:tr w:rsidR="002A4F0C" w:rsidRPr="002A4F0C" w14:paraId="6774F8EB" w14:textId="77777777" w:rsidTr="002A4F0C">
        <w:trPr>
          <w:cantSplit/>
        </w:trPr>
        <w:tc>
          <w:tcPr>
            <w:tcW w:w="1575" w:type="dxa"/>
            <w:shd w:val="clear" w:color="auto" w:fill="auto"/>
            <w:noWrap/>
            <w:vAlign w:val="center"/>
          </w:tcPr>
          <w:p w14:paraId="11C29B0E"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69016</w:t>
            </w:r>
          </w:p>
        </w:tc>
        <w:tc>
          <w:tcPr>
            <w:tcW w:w="7938" w:type="dxa"/>
            <w:shd w:val="clear" w:color="auto" w:fill="auto"/>
            <w:vAlign w:val="bottom"/>
          </w:tcPr>
          <w:p w14:paraId="71C32BD2" w14:textId="77777777" w:rsidR="002A4F0C" w:rsidRPr="002A4F0C" w:rsidRDefault="002A4F0C" w:rsidP="002A4F0C">
            <w:pPr>
              <w:spacing w:line="240" w:lineRule="auto"/>
              <w:rPr>
                <w:rFonts w:ascii="Arial" w:hAnsi="Arial"/>
                <w:szCs w:val="22"/>
              </w:rPr>
            </w:pPr>
            <w:r w:rsidRPr="002A4F0C">
              <w:rPr>
                <w:rFonts w:ascii="Arial" w:hAnsi="Arial"/>
                <w:szCs w:val="22"/>
              </w:rPr>
              <w:t>Schumm WR, Jurich AP, Bollman SR, et al (2005). The long term safety of anthrax vaccine, Pyridostigmine bromide (PB) tablets, and other risk factors among Reserve Component Veterans of the First Persian Gulf War. Medical Veritas, 2: 348-362. [Abstract]</w:t>
            </w:r>
          </w:p>
        </w:tc>
      </w:tr>
      <w:tr w:rsidR="002A4F0C" w:rsidRPr="002A4F0C" w14:paraId="4751B839" w14:textId="77777777" w:rsidTr="002A4F0C">
        <w:trPr>
          <w:cantSplit/>
        </w:trPr>
        <w:tc>
          <w:tcPr>
            <w:tcW w:w="1575" w:type="dxa"/>
            <w:shd w:val="clear" w:color="auto" w:fill="auto"/>
            <w:noWrap/>
            <w:vAlign w:val="center"/>
          </w:tcPr>
          <w:p w14:paraId="0D7E434A"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69017</w:t>
            </w:r>
          </w:p>
        </w:tc>
        <w:tc>
          <w:tcPr>
            <w:tcW w:w="7938" w:type="dxa"/>
            <w:shd w:val="clear" w:color="auto" w:fill="auto"/>
            <w:vAlign w:val="bottom"/>
          </w:tcPr>
          <w:p w14:paraId="3FE82149" w14:textId="77777777" w:rsidR="002A4F0C" w:rsidRPr="002A4F0C" w:rsidRDefault="002A4F0C" w:rsidP="002A4F0C">
            <w:pPr>
              <w:spacing w:line="240" w:lineRule="auto"/>
              <w:rPr>
                <w:rFonts w:ascii="Arial" w:hAnsi="Arial"/>
                <w:szCs w:val="22"/>
              </w:rPr>
            </w:pPr>
            <w:r w:rsidRPr="002A4F0C">
              <w:rPr>
                <w:rFonts w:ascii="Arial" w:hAnsi="Arial"/>
                <w:szCs w:val="22"/>
              </w:rPr>
              <w:t>Ismail K, Lewis G (2006). Multi-symptom illnesses, unexplained illness and Gulf War Syndrome. Philosophical Transactions of the Royal Society, B: Biological Sciences, 361(1468): 543-51.</w:t>
            </w:r>
          </w:p>
        </w:tc>
      </w:tr>
      <w:tr w:rsidR="002A4F0C" w:rsidRPr="002A4F0C" w14:paraId="2522B771" w14:textId="77777777" w:rsidTr="002A4F0C">
        <w:trPr>
          <w:cantSplit/>
        </w:trPr>
        <w:tc>
          <w:tcPr>
            <w:tcW w:w="1575" w:type="dxa"/>
            <w:shd w:val="clear" w:color="auto" w:fill="auto"/>
            <w:noWrap/>
            <w:vAlign w:val="center"/>
          </w:tcPr>
          <w:p w14:paraId="25154038"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69018</w:t>
            </w:r>
          </w:p>
        </w:tc>
        <w:tc>
          <w:tcPr>
            <w:tcW w:w="7938" w:type="dxa"/>
            <w:shd w:val="clear" w:color="auto" w:fill="auto"/>
            <w:vAlign w:val="bottom"/>
          </w:tcPr>
          <w:p w14:paraId="3B4D7232" w14:textId="77777777" w:rsidR="002A4F0C" w:rsidRPr="002A4F0C" w:rsidRDefault="002A4F0C" w:rsidP="002A4F0C">
            <w:pPr>
              <w:spacing w:line="240" w:lineRule="auto"/>
              <w:rPr>
                <w:rFonts w:ascii="Arial" w:hAnsi="Arial"/>
                <w:szCs w:val="22"/>
              </w:rPr>
            </w:pPr>
            <w:r w:rsidRPr="002A4F0C">
              <w:rPr>
                <w:rFonts w:ascii="Arial" w:hAnsi="Arial"/>
                <w:szCs w:val="22"/>
              </w:rPr>
              <w:t>Cox PA, Richer R, Metcalf JS, et al (2009). Cyanobacteria and BMAA exposure from desert dust: a possible link to sporadic ALS among Gulf War veterans. Amyotrophic Lateral Sclerosis, 10(Suppl 2): 109-17.</w:t>
            </w:r>
          </w:p>
        </w:tc>
      </w:tr>
      <w:tr w:rsidR="002A4F0C" w:rsidRPr="002A4F0C" w14:paraId="5936A107" w14:textId="77777777" w:rsidTr="002A4F0C">
        <w:trPr>
          <w:cantSplit/>
        </w:trPr>
        <w:tc>
          <w:tcPr>
            <w:tcW w:w="1575" w:type="dxa"/>
            <w:shd w:val="clear" w:color="auto" w:fill="auto"/>
            <w:noWrap/>
            <w:vAlign w:val="center"/>
          </w:tcPr>
          <w:p w14:paraId="3FE4244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69019</w:t>
            </w:r>
          </w:p>
        </w:tc>
        <w:tc>
          <w:tcPr>
            <w:tcW w:w="7938" w:type="dxa"/>
            <w:shd w:val="clear" w:color="auto" w:fill="auto"/>
            <w:vAlign w:val="bottom"/>
          </w:tcPr>
          <w:p w14:paraId="2E504A14" w14:textId="77777777" w:rsidR="002A4F0C" w:rsidRPr="002A4F0C" w:rsidRDefault="002A4F0C" w:rsidP="002A4F0C">
            <w:pPr>
              <w:spacing w:line="240" w:lineRule="auto"/>
              <w:rPr>
                <w:rFonts w:ascii="Arial" w:hAnsi="Arial"/>
                <w:szCs w:val="22"/>
              </w:rPr>
            </w:pPr>
            <w:r w:rsidRPr="002A4F0C">
              <w:rPr>
                <w:rFonts w:ascii="Arial" w:hAnsi="Arial"/>
                <w:szCs w:val="22"/>
              </w:rPr>
              <w:t>Ciccone DS, Weissman L, Natelson BH (2008). Chronic fatigue syndrome in male Gulf war veterans and civilians: a further test of the single syndrome hypothesis. J Health Psychol, 13(4): 529-36.</w:t>
            </w:r>
          </w:p>
        </w:tc>
      </w:tr>
      <w:tr w:rsidR="002A4F0C" w:rsidRPr="002A4F0C" w14:paraId="55EFF490" w14:textId="77777777" w:rsidTr="002A4F0C">
        <w:trPr>
          <w:cantSplit/>
        </w:trPr>
        <w:tc>
          <w:tcPr>
            <w:tcW w:w="1575" w:type="dxa"/>
            <w:shd w:val="clear" w:color="auto" w:fill="auto"/>
            <w:noWrap/>
            <w:vAlign w:val="center"/>
          </w:tcPr>
          <w:p w14:paraId="1FCC797D"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69020</w:t>
            </w:r>
          </w:p>
        </w:tc>
        <w:tc>
          <w:tcPr>
            <w:tcW w:w="7938" w:type="dxa"/>
            <w:shd w:val="clear" w:color="auto" w:fill="auto"/>
            <w:vAlign w:val="bottom"/>
          </w:tcPr>
          <w:p w14:paraId="025D7220" w14:textId="77777777" w:rsidR="002A4F0C" w:rsidRPr="002A4F0C" w:rsidRDefault="002A4F0C" w:rsidP="002A4F0C">
            <w:pPr>
              <w:spacing w:line="240" w:lineRule="auto"/>
              <w:rPr>
                <w:rFonts w:ascii="Arial" w:hAnsi="Arial"/>
                <w:szCs w:val="22"/>
              </w:rPr>
            </w:pPr>
            <w:r w:rsidRPr="002A4F0C">
              <w:rPr>
                <w:rFonts w:ascii="Arial" w:hAnsi="Arial"/>
                <w:szCs w:val="22"/>
              </w:rPr>
              <w:t>McCauley LA, Rischitelli G, Lambert WE, et al (2001). Symptoms of Gulf War veterans possibly exposed to organophosphate chemical warfare agents at Khamisiyah, Iraq. Int J Occup Environ Health, 7(2): 79-89.</w:t>
            </w:r>
          </w:p>
        </w:tc>
      </w:tr>
      <w:tr w:rsidR="002A4F0C" w:rsidRPr="002A4F0C" w14:paraId="46758081" w14:textId="77777777" w:rsidTr="002A4F0C">
        <w:trPr>
          <w:cantSplit/>
        </w:trPr>
        <w:tc>
          <w:tcPr>
            <w:tcW w:w="1575" w:type="dxa"/>
            <w:shd w:val="clear" w:color="auto" w:fill="auto"/>
            <w:noWrap/>
            <w:vAlign w:val="center"/>
          </w:tcPr>
          <w:p w14:paraId="71862854"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69026</w:t>
            </w:r>
          </w:p>
        </w:tc>
        <w:tc>
          <w:tcPr>
            <w:tcW w:w="7938" w:type="dxa"/>
            <w:shd w:val="clear" w:color="auto" w:fill="auto"/>
            <w:vAlign w:val="bottom"/>
          </w:tcPr>
          <w:p w14:paraId="42C62490" w14:textId="77777777" w:rsidR="002A4F0C" w:rsidRPr="002A4F0C" w:rsidRDefault="002A4F0C" w:rsidP="002A4F0C">
            <w:pPr>
              <w:spacing w:line="240" w:lineRule="auto"/>
              <w:rPr>
                <w:rFonts w:ascii="Arial" w:hAnsi="Arial"/>
                <w:szCs w:val="22"/>
              </w:rPr>
            </w:pPr>
            <w:r w:rsidRPr="002A4F0C">
              <w:rPr>
                <w:rFonts w:ascii="Arial" w:hAnsi="Arial"/>
                <w:szCs w:val="22"/>
              </w:rPr>
              <w:t>Furlong CE (2000). PON1 status and neurologic symptom complexes in Gulf War veterans. Genome Res, 10(2): 153-5.</w:t>
            </w:r>
          </w:p>
        </w:tc>
      </w:tr>
      <w:tr w:rsidR="002A4F0C" w:rsidRPr="002A4F0C" w14:paraId="55BD59E6" w14:textId="77777777" w:rsidTr="002A4F0C">
        <w:trPr>
          <w:cantSplit/>
        </w:trPr>
        <w:tc>
          <w:tcPr>
            <w:tcW w:w="1575" w:type="dxa"/>
            <w:shd w:val="clear" w:color="auto" w:fill="auto"/>
            <w:noWrap/>
            <w:vAlign w:val="center"/>
          </w:tcPr>
          <w:p w14:paraId="24CFA6B0"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69028</w:t>
            </w:r>
          </w:p>
        </w:tc>
        <w:tc>
          <w:tcPr>
            <w:tcW w:w="7938" w:type="dxa"/>
            <w:shd w:val="clear" w:color="auto" w:fill="auto"/>
            <w:vAlign w:val="bottom"/>
          </w:tcPr>
          <w:p w14:paraId="4D3A6EE6" w14:textId="77777777" w:rsidR="002A4F0C" w:rsidRPr="002A4F0C" w:rsidRDefault="002A4F0C" w:rsidP="002A4F0C">
            <w:pPr>
              <w:spacing w:line="240" w:lineRule="auto"/>
              <w:rPr>
                <w:rFonts w:ascii="Arial" w:hAnsi="Arial"/>
                <w:szCs w:val="22"/>
              </w:rPr>
            </w:pPr>
            <w:r w:rsidRPr="002A4F0C">
              <w:rPr>
                <w:rFonts w:ascii="Arial" w:hAnsi="Arial"/>
                <w:szCs w:val="22"/>
              </w:rPr>
              <w:t>Haley RW, Vongpatanasin W, Wolfe GI, et al (2004). Blunted circadian variation in autonomic regulation of sinus node function in veterans with Gulf War syndrome. Am J Med, 117(7): 469-78.</w:t>
            </w:r>
          </w:p>
        </w:tc>
      </w:tr>
      <w:tr w:rsidR="002A4F0C" w:rsidRPr="002A4F0C" w14:paraId="2586EAA8" w14:textId="77777777" w:rsidTr="002A4F0C">
        <w:trPr>
          <w:cantSplit/>
        </w:trPr>
        <w:tc>
          <w:tcPr>
            <w:tcW w:w="1575" w:type="dxa"/>
            <w:shd w:val="clear" w:color="auto" w:fill="auto"/>
            <w:noWrap/>
            <w:vAlign w:val="center"/>
          </w:tcPr>
          <w:p w14:paraId="5C2EBF6B"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69029</w:t>
            </w:r>
          </w:p>
        </w:tc>
        <w:tc>
          <w:tcPr>
            <w:tcW w:w="7938" w:type="dxa"/>
            <w:shd w:val="clear" w:color="auto" w:fill="auto"/>
            <w:vAlign w:val="bottom"/>
          </w:tcPr>
          <w:p w14:paraId="0872572C" w14:textId="77777777" w:rsidR="002A4F0C" w:rsidRPr="002A4F0C" w:rsidRDefault="002A4F0C" w:rsidP="002A4F0C">
            <w:pPr>
              <w:spacing w:line="240" w:lineRule="auto"/>
              <w:rPr>
                <w:rFonts w:ascii="Arial" w:hAnsi="Arial"/>
                <w:szCs w:val="22"/>
              </w:rPr>
            </w:pPr>
            <w:r w:rsidRPr="002A4F0C">
              <w:rPr>
                <w:rFonts w:ascii="Arial" w:hAnsi="Arial"/>
                <w:szCs w:val="22"/>
              </w:rPr>
              <w:t>Blaylock RL (2004). Chronic Microglial Activation and Excitotoxicity Secondary to Excessive Immune Stimulation: Possible Factors in Gulf War Syndrome and Autism. Journal of American Physicians and Surgeons, 9(2): 46-51.</w:t>
            </w:r>
          </w:p>
        </w:tc>
      </w:tr>
      <w:tr w:rsidR="002A4F0C" w:rsidRPr="002A4F0C" w14:paraId="29CF7743" w14:textId="77777777" w:rsidTr="002A4F0C">
        <w:trPr>
          <w:cantSplit/>
        </w:trPr>
        <w:tc>
          <w:tcPr>
            <w:tcW w:w="1575" w:type="dxa"/>
            <w:shd w:val="clear" w:color="auto" w:fill="auto"/>
            <w:noWrap/>
            <w:vAlign w:val="center"/>
          </w:tcPr>
          <w:p w14:paraId="43E5074C"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69032</w:t>
            </w:r>
          </w:p>
        </w:tc>
        <w:tc>
          <w:tcPr>
            <w:tcW w:w="7938" w:type="dxa"/>
            <w:shd w:val="clear" w:color="auto" w:fill="auto"/>
            <w:vAlign w:val="bottom"/>
          </w:tcPr>
          <w:p w14:paraId="4455C766" w14:textId="77777777" w:rsidR="002A4F0C" w:rsidRPr="002A4F0C" w:rsidRDefault="002A4F0C" w:rsidP="002A4F0C">
            <w:pPr>
              <w:spacing w:line="240" w:lineRule="auto"/>
              <w:rPr>
                <w:rFonts w:ascii="Arial" w:hAnsi="Arial"/>
                <w:szCs w:val="22"/>
              </w:rPr>
            </w:pPr>
            <w:r w:rsidRPr="002A4F0C">
              <w:rPr>
                <w:rFonts w:ascii="Arial" w:hAnsi="Arial"/>
                <w:szCs w:val="22"/>
              </w:rPr>
              <w:t>Ishoy T, Suadicani P, Guldager B, et al (1999). Risk factors for gastrointestinal symptoms. The Danish Gulf War Study. Dan Med Bull, 46(5): 420-3.</w:t>
            </w:r>
          </w:p>
        </w:tc>
      </w:tr>
      <w:tr w:rsidR="002A4F0C" w:rsidRPr="002A4F0C" w14:paraId="2117726C" w14:textId="77777777" w:rsidTr="002A4F0C">
        <w:trPr>
          <w:cantSplit/>
        </w:trPr>
        <w:tc>
          <w:tcPr>
            <w:tcW w:w="1575" w:type="dxa"/>
            <w:shd w:val="clear" w:color="auto" w:fill="auto"/>
            <w:noWrap/>
            <w:vAlign w:val="center"/>
          </w:tcPr>
          <w:p w14:paraId="171F0BB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69033</w:t>
            </w:r>
          </w:p>
        </w:tc>
        <w:tc>
          <w:tcPr>
            <w:tcW w:w="7938" w:type="dxa"/>
            <w:shd w:val="clear" w:color="auto" w:fill="auto"/>
            <w:vAlign w:val="bottom"/>
          </w:tcPr>
          <w:p w14:paraId="1D109B03" w14:textId="77777777" w:rsidR="002A4F0C" w:rsidRPr="002A4F0C" w:rsidRDefault="002A4F0C" w:rsidP="002A4F0C">
            <w:pPr>
              <w:spacing w:line="240" w:lineRule="auto"/>
              <w:rPr>
                <w:rFonts w:ascii="Arial" w:hAnsi="Arial"/>
                <w:szCs w:val="22"/>
              </w:rPr>
            </w:pPr>
            <w:r w:rsidRPr="002A4F0C">
              <w:rPr>
                <w:rFonts w:ascii="Arial" w:hAnsi="Arial"/>
                <w:szCs w:val="22"/>
              </w:rPr>
              <w:t>Suadicani P, Ishoy T, Guldager B, et al (1999). Determinants of long-term neuropsychological symptoms. The Danish Gulf War Study. Dan Med Bull, 46(5): 423-7.</w:t>
            </w:r>
          </w:p>
        </w:tc>
      </w:tr>
      <w:tr w:rsidR="002A4F0C" w:rsidRPr="002A4F0C" w14:paraId="7779A6EA" w14:textId="77777777" w:rsidTr="002A4F0C">
        <w:trPr>
          <w:cantSplit/>
        </w:trPr>
        <w:tc>
          <w:tcPr>
            <w:tcW w:w="1575" w:type="dxa"/>
            <w:shd w:val="clear" w:color="auto" w:fill="auto"/>
            <w:noWrap/>
            <w:vAlign w:val="center"/>
          </w:tcPr>
          <w:p w14:paraId="1B8D52C8"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69034</w:t>
            </w:r>
          </w:p>
        </w:tc>
        <w:tc>
          <w:tcPr>
            <w:tcW w:w="7938" w:type="dxa"/>
            <w:shd w:val="clear" w:color="auto" w:fill="auto"/>
            <w:vAlign w:val="bottom"/>
          </w:tcPr>
          <w:p w14:paraId="17AD8951" w14:textId="77777777" w:rsidR="002A4F0C" w:rsidRPr="002A4F0C" w:rsidRDefault="002A4F0C" w:rsidP="002A4F0C">
            <w:pPr>
              <w:spacing w:line="240" w:lineRule="auto"/>
              <w:rPr>
                <w:rFonts w:ascii="Arial" w:hAnsi="Arial"/>
                <w:szCs w:val="22"/>
              </w:rPr>
            </w:pPr>
            <w:r w:rsidRPr="002A4F0C">
              <w:rPr>
                <w:rFonts w:ascii="Arial" w:hAnsi="Arial"/>
                <w:szCs w:val="22"/>
              </w:rPr>
              <w:t>Menon PM, Nasrallah HA, Reeves RR, et al (2004). Hippocampal dysfunction in Gulf War Syndrome. A proton MR spectroscopy study. Brain Res, 1009(1-2): 189-94.</w:t>
            </w:r>
          </w:p>
        </w:tc>
      </w:tr>
      <w:tr w:rsidR="002A4F0C" w:rsidRPr="002A4F0C" w14:paraId="6593ACCA" w14:textId="77777777" w:rsidTr="002A4F0C">
        <w:trPr>
          <w:cantSplit/>
        </w:trPr>
        <w:tc>
          <w:tcPr>
            <w:tcW w:w="1575" w:type="dxa"/>
            <w:shd w:val="clear" w:color="auto" w:fill="auto"/>
            <w:noWrap/>
            <w:vAlign w:val="center"/>
          </w:tcPr>
          <w:p w14:paraId="11054B9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69035</w:t>
            </w:r>
          </w:p>
        </w:tc>
        <w:tc>
          <w:tcPr>
            <w:tcW w:w="7938" w:type="dxa"/>
            <w:shd w:val="clear" w:color="auto" w:fill="auto"/>
            <w:vAlign w:val="bottom"/>
          </w:tcPr>
          <w:p w14:paraId="13314E40" w14:textId="77777777" w:rsidR="002A4F0C" w:rsidRPr="002A4F0C" w:rsidRDefault="002A4F0C" w:rsidP="002A4F0C">
            <w:pPr>
              <w:spacing w:line="240" w:lineRule="auto"/>
              <w:rPr>
                <w:rFonts w:ascii="Arial" w:hAnsi="Arial"/>
                <w:szCs w:val="22"/>
              </w:rPr>
            </w:pPr>
            <w:r w:rsidRPr="002A4F0C">
              <w:rPr>
                <w:rFonts w:ascii="Arial" w:hAnsi="Arial"/>
                <w:szCs w:val="22"/>
              </w:rPr>
              <w:t>Staines D (2005). Hippocampal dysfunction in Gulf War Syndrome. A proton MR spectroscopy study. Med Hypotheses, 65(3): 591-4.</w:t>
            </w:r>
          </w:p>
        </w:tc>
      </w:tr>
      <w:tr w:rsidR="002A4F0C" w:rsidRPr="002A4F0C" w14:paraId="6BED2007" w14:textId="77777777" w:rsidTr="002A4F0C">
        <w:trPr>
          <w:cantSplit/>
        </w:trPr>
        <w:tc>
          <w:tcPr>
            <w:tcW w:w="1575" w:type="dxa"/>
            <w:shd w:val="clear" w:color="auto" w:fill="auto"/>
            <w:noWrap/>
            <w:vAlign w:val="center"/>
          </w:tcPr>
          <w:p w14:paraId="6D589C6B"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69036</w:t>
            </w:r>
          </w:p>
        </w:tc>
        <w:tc>
          <w:tcPr>
            <w:tcW w:w="7938" w:type="dxa"/>
            <w:shd w:val="clear" w:color="auto" w:fill="auto"/>
            <w:vAlign w:val="bottom"/>
          </w:tcPr>
          <w:p w14:paraId="7B75A94E" w14:textId="77777777" w:rsidR="002A4F0C" w:rsidRPr="002A4F0C" w:rsidRDefault="002A4F0C" w:rsidP="002A4F0C">
            <w:pPr>
              <w:spacing w:line="240" w:lineRule="auto"/>
              <w:rPr>
                <w:rFonts w:ascii="Arial" w:hAnsi="Arial"/>
                <w:szCs w:val="22"/>
              </w:rPr>
            </w:pPr>
            <w:r w:rsidRPr="002A4F0C">
              <w:rPr>
                <w:rFonts w:ascii="Arial" w:hAnsi="Arial"/>
                <w:szCs w:val="22"/>
              </w:rPr>
              <w:t>Chaney LA, Rockhold RW, Mozingo JR, et al (1997). Potentiation of pyridostigmine bromide toxicity in mice by selected adrenergic agents and caffeine. Vet Hum Toxicol, 39(4): 214-9.</w:t>
            </w:r>
          </w:p>
        </w:tc>
      </w:tr>
      <w:tr w:rsidR="002A4F0C" w:rsidRPr="002A4F0C" w14:paraId="1F659D73" w14:textId="77777777" w:rsidTr="002A4F0C">
        <w:trPr>
          <w:cantSplit/>
        </w:trPr>
        <w:tc>
          <w:tcPr>
            <w:tcW w:w="1575" w:type="dxa"/>
            <w:shd w:val="clear" w:color="auto" w:fill="auto"/>
            <w:noWrap/>
            <w:vAlign w:val="center"/>
          </w:tcPr>
          <w:p w14:paraId="02F28EC7"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69037</w:t>
            </w:r>
          </w:p>
        </w:tc>
        <w:tc>
          <w:tcPr>
            <w:tcW w:w="7938" w:type="dxa"/>
            <w:shd w:val="clear" w:color="auto" w:fill="auto"/>
            <w:vAlign w:val="bottom"/>
          </w:tcPr>
          <w:p w14:paraId="2E5C20DE" w14:textId="77777777" w:rsidR="002A4F0C" w:rsidRPr="002A4F0C" w:rsidRDefault="002A4F0C" w:rsidP="002A4F0C">
            <w:pPr>
              <w:spacing w:line="240" w:lineRule="auto"/>
              <w:rPr>
                <w:rFonts w:ascii="Arial" w:hAnsi="Arial"/>
                <w:szCs w:val="22"/>
              </w:rPr>
            </w:pPr>
            <w:r w:rsidRPr="002A4F0C">
              <w:rPr>
                <w:rFonts w:ascii="Arial" w:hAnsi="Arial"/>
                <w:szCs w:val="22"/>
              </w:rPr>
              <w:t>Abu-Qare AW, Abou-Donia MB (2001). Combined exposure to sarin and pyridostigmine bromide increased levels of rat urinary 3-nitrotyrosine and 8-hydroxy-2'-deoxyguanosine, biomarkers of oxidative stress. Toxicol Lett, 123(1): 51-8.</w:t>
            </w:r>
          </w:p>
        </w:tc>
      </w:tr>
      <w:tr w:rsidR="002A4F0C" w:rsidRPr="002A4F0C" w14:paraId="5CFD6F0E" w14:textId="77777777" w:rsidTr="002A4F0C">
        <w:trPr>
          <w:cantSplit/>
        </w:trPr>
        <w:tc>
          <w:tcPr>
            <w:tcW w:w="1575" w:type="dxa"/>
            <w:shd w:val="clear" w:color="auto" w:fill="auto"/>
            <w:noWrap/>
            <w:vAlign w:val="center"/>
          </w:tcPr>
          <w:p w14:paraId="1856031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69038</w:t>
            </w:r>
          </w:p>
        </w:tc>
        <w:tc>
          <w:tcPr>
            <w:tcW w:w="7938" w:type="dxa"/>
            <w:shd w:val="clear" w:color="auto" w:fill="auto"/>
            <w:vAlign w:val="bottom"/>
          </w:tcPr>
          <w:p w14:paraId="36C27489" w14:textId="77777777" w:rsidR="002A4F0C" w:rsidRPr="002A4F0C" w:rsidRDefault="002A4F0C" w:rsidP="002A4F0C">
            <w:pPr>
              <w:spacing w:line="240" w:lineRule="auto"/>
              <w:rPr>
                <w:rFonts w:ascii="Arial" w:hAnsi="Arial"/>
                <w:szCs w:val="22"/>
              </w:rPr>
            </w:pPr>
            <w:r w:rsidRPr="002A4F0C">
              <w:rPr>
                <w:rFonts w:ascii="Arial" w:hAnsi="Arial"/>
                <w:szCs w:val="22"/>
              </w:rPr>
              <w:t>Damodaran TV, Patel AG, Greenfield ST, et al (2006). Gene expression profiles of the rat brain both immediately and 3 months following acute sarin exposure. Biochem Pharmacol, 71(4): 497-520.</w:t>
            </w:r>
          </w:p>
        </w:tc>
      </w:tr>
      <w:tr w:rsidR="002A4F0C" w:rsidRPr="002A4F0C" w14:paraId="465C6A9E" w14:textId="77777777" w:rsidTr="002A4F0C">
        <w:trPr>
          <w:cantSplit/>
        </w:trPr>
        <w:tc>
          <w:tcPr>
            <w:tcW w:w="1575" w:type="dxa"/>
            <w:shd w:val="clear" w:color="auto" w:fill="auto"/>
            <w:noWrap/>
            <w:vAlign w:val="center"/>
          </w:tcPr>
          <w:p w14:paraId="019A4A46"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69039</w:t>
            </w:r>
          </w:p>
        </w:tc>
        <w:tc>
          <w:tcPr>
            <w:tcW w:w="7938" w:type="dxa"/>
            <w:shd w:val="clear" w:color="auto" w:fill="auto"/>
            <w:vAlign w:val="bottom"/>
          </w:tcPr>
          <w:p w14:paraId="17201F45" w14:textId="77777777" w:rsidR="002A4F0C" w:rsidRPr="002A4F0C" w:rsidRDefault="002A4F0C" w:rsidP="002A4F0C">
            <w:pPr>
              <w:spacing w:line="240" w:lineRule="auto"/>
              <w:rPr>
                <w:rFonts w:ascii="Arial" w:hAnsi="Arial"/>
                <w:szCs w:val="22"/>
              </w:rPr>
            </w:pPr>
            <w:r w:rsidRPr="002A4F0C">
              <w:rPr>
                <w:rFonts w:ascii="Arial" w:hAnsi="Arial"/>
                <w:szCs w:val="22"/>
              </w:rPr>
              <w:t>Morris M, Key MP, Farah V (2007). Sarin produces delayed cardiac and central autonomic changes. Exp Neurol, 203(1): 110-5.</w:t>
            </w:r>
          </w:p>
        </w:tc>
      </w:tr>
      <w:tr w:rsidR="002A4F0C" w:rsidRPr="002A4F0C" w14:paraId="5F00F445" w14:textId="77777777" w:rsidTr="002A4F0C">
        <w:trPr>
          <w:cantSplit/>
        </w:trPr>
        <w:tc>
          <w:tcPr>
            <w:tcW w:w="1575" w:type="dxa"/>
            <w:shd w:val="clear" w:color="auto" w:fill="auto"/>
            <w:noWrap/>
            <w:vAlign w:val="center"/>
          </w:tcPr>
          <w:p w14:paraId="6272F87D"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69040</w:t>
            </w:r>
          </w:p>
        </w:tc>
        <w:tc>
          <w:tcPr>
            <w:tcW w:w="7938" w:type="dxa"/>
            <w:shd w:val="clear" w:color="auto" w:fill="auto"/>
            <w:vAlign w:val="bottom"/>
          </w:tcPr>
          <w:p w14:paraId="6FB3C7B2" w14:textId="77777777" w:rsidR="002A4F0C" w:rsidRPr="002A4F0C" w:rsidRDefault="002A4F0C" w:rsidP="002A4F0C">
            <w:pPr>
              <w:spacing w:line="240" w:lineRule="auto"/>
              <w:rPr>
                <w:rFonts w:ascii="Arial" w:hAnsi="Arial"/>
                <w:szCs w:val="22"/>
              </w:rPr>
            </w:pPr>
            <w:r w:rsidRPr="002A4F0C">
              <w:rPr>
                <w:rFonts w:ascii="Arial" w:hAnsi="Arial"/>
                <w:szCs w:val="22"/>
              </w:rPr>
              <w:t>Pena-Philippides JC, Razani-Boroujerdi S, Singh SP, et al (2007). Long- and short-term changes in the neuroimmune-endocrine parameters following inhalation exposures of F344 rats to low-dose sarin. Toxicol Sci, 97(1): 181-8.</w:t>
            </w:r>
          </w:p>
        </w:tc>
      </w:tr>
      <w:tr w:rsidR="002A4F0C" w:rsidRPr="002A4F0C" w14:paraId="76C8E317" w14:textId="77777777" w:rsidTr="002A4F0C">
        <w:trPr>
          <w:cantSplit/>
        </w:trPr>
        <w:tc>
          <w:tcPr>
            <w:tcW w:w="1575" w:type="dxa"/>
            <w:shd w:val="clear" w:color="auto" w:fill="auto"/>
            <w:noWrap/>
            <w:vAlign w:val="center"/>
          </w:tcPr>
          <w:p w14:paraId="42A7D79A"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69041</w:t>
            </w:r>
          </w:p>
        </w:tc>
        <w:tc>
          <w:tcPr>
            <w:tcW w:w="7938" w:type="dxa"/>
            <w:shd w:val="clear" w:color="auto" w:fill="auto"/>
            <w:vAlign w:val="bottom"/>
          </w:tcPr>
          <w:p w14:paraId="3C07154C" w14:textId="77777777" w:rsidR="002A4F0C" w:rsidRPr="002A4F0C" w:rsidRDefault="002A4F0C" w:rsidP="002A4F0C">
            <w:pPr>
              <w:spacing w:line="240" w:lineRule="auto"/>
              <w:rPr>
                <w:rFonts w:ascii="Arial" w:hAnsi="Arial"/>
                <w:szCs w:val="22"/>
              </w:rPr>
            </w:pPr>
            <w:r w:rsidRPr="002A4F0C">
              <w:rPr>
                <w:rFonts w:ascii="Arial" w:hAnsi="Arial"/>
                <w:szCs w:val="22"/>
              </w:rPr>
              <w:t>Jansen KL, Cole TB, Park SS, et al (2009). Paraoxonase 1 (PON1) modulates the toxicity of mixed organophosphorus compounds. Toxicol Appl Pharmacol, 236(2): 142-53.</w:t>
            </w:r>
          </w:p>
        </w:tc>
      </w:tr>
      <w:tr w:rsidR="002A4F0C" w:rsidRPr="002A4F0C" w14:paraId="1F27D86C" w14:textId="77777777" w:rsidTr="002A4F0C">
        <w:trPr>
          <w:cantSplit/>
        </w:trPr>
        <w:tc>
          <w:tcPr>
            <w:tcW w:w="1575" w:type="dxa"/>
            <w:shd w:val="clear" w:color="auto" w:fill="auto"/>
            <w:noWrap/>
            <w:vAlign w:val="center"/>
          </w:tcPr>
          <w:p w14:paraId="13BCEB6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69042</w:t>
            </w:r>
          </w:p>
        </w:tc>
        <w:tc>
          <w:tcPr>
            <w:tcW w:w="7938" w:type="dxa"/>
            <w:shd w:val="clear" w:color="auto" w:fill="auto"/>
            <w:vAlign w:val="bottom"/>
          </w:tcPr>
          <w:p w14:paraId="51A0C163" w14:textId="77777777" w:rsidR="002A4F0C" w:rsidRPr="002A4F0C" w:rsidRDefault="002A4F0C" w:rsidP="002A4F0C">
            <w:pPr>
              <w:spacing w:line="240" w:lineRule="auto"/>
              <w:rPr>
                <w:rFonts w:ascii="Arial" w:hAnsi="Arial"/>
                <w:szCs w:val="22"/>
              </w:rPr>
            </w:pPr>
            <w:r w:rsidRPr="002A4F0C">
              <w:rPr>
                <w:rFonts w:ascii="Arial" w:hAnsi="Arial"/>
                <w:szCs w:val="22"/>
              </w:rPr>
              <w:t>Speed HE, Blaiss CA, Kim A, et al (2012). Delayed reduction of hippocampal synaptic transmission and spines following exposure to repeated subclinical doses of organophosphorus pesticide in adult mice. Toxicol Sci, 125(1): 196-208.</w:t>
            </w:r>
          </w:p>
        </w:tc>
      </w:tr>
      <w:tr w:rsidR="002A4F0C" w:rsidRPr="002A4F0C" w14:paraId="7EF3BB0D" w14:textId="77777777" w:rsidTr="002A4F0C">
        <w:trPr>
          <w:cantSplit/>
        </w:trPr>
        <w:tc>
          <w:tcPr>
            <w:tcW w:w="1575" w:type="dxa"/>
            <w:shd w:val="clear" w:color="auto" w:fill="auto"/>
            <w:noWrap/>
            <w:vAlign w:val="center"/>
          </w:tcPr>
          <w:p w14:paraId="56A65876"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69043</w:t>
            </w:r>
          </w:p>
        </w:tc>
        <w:tc>
          <w:tcPr>
            <w:tcW w:w="7938" w:type="dxa"/>
            <w:shd w:val="clear" w:color="auto" w:fill="auto"/>
            <w:vAlign w:val="bottom"/>
          </w:tcPr>
          <w:p w14:paraId="469C8DAB" w14:textId="77777777" w:rsidR="002A4F0C" w:rsidRPr="002A4F0C" w:rsidRDefault="002A4F0C" w:rsidP="002A4F0C">
            <w:pPr>
              <w:spacing w:line="240" w:lineRule="auto"/>
              <w:rPr>
                <w:rFonts w:ascii="Arial" w:hAnsi="Arial"/>
                <w:szCs w:val="22"/>
              </w:rPr>
            </w:pPr>
            <w:r w:rsidRPr="002A4F0C">
              <w:rPr>
                <w:rFonts w:ascii="Arial" w:hAnsi="Arial"/>
                <w:szCs w:val="22"/>
              </w:rPr>
              <w:t>White RF, Proctor SP, Heeren T, et al (2001). Neuropsychological function in Gulf War veterans: relationships to self-reported toxicant exposures. Am J Ind Med, 40(1): 42-54.</w:t>
            </w:r>
          </w:p>
        </w:tc>
      </w:tr>
      <w:tr w:rsidR="002A4F0C" w:rsidRPr="002A4F0C" w14:paraId="21B9800C" w14:textId="77777777" w:rsidTr="002A4F0C">
        <w:trPr>
          <w:cantSplit/>
        </w:trPr>
        <w:tc>
          <w:tcPr>
            <w:tcW w:w="1575" w:type="dxa"/>
            <w:shd w:val="clear" w:color="auto" w:fill="auto"/>
            <w:noWrap/>
            <w:vAlign w:val="center"/>
          </w:tcPr>
          <w:p w14:paraId="675BCB12"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69044</w:t>
            </w:r>
          </w:p>
        </w:tc>
        <w:tc>
          <w:tcPr>
            <w:tcW w:w="7938" w:type="dxa"/>
            <w:shd w:val="clear" w:color="auto" w:fill="auto"/>
            <w:vAlign w:val="bottom"/>
          </w:tcPr>
          <w:p w14:paraId="478A5A5D" w14:textId="77777777" w:rsidR="002A4F0C" w:rsidRPr="002A4F0C" w:rsidRDefault="002A4F0C" w:rsidP="002A4F0C">
            <w:pPr>
              <w:spacing w:line="240" w:lineRule="auto"/>
              <w:rPr>
                <w:rFonts w:ascii="Arial" w:hAnsi="Arial"/>
                <w:szCs w:val="22"/>
              </w:rPr>
            </w:pPr>
            <w:r w:rsidRPr="002A4F0C">
              <w:rPr>
                <w:rFonts w:ascii="Arial" w:hAnsi="Arial"/>
                <w:szCs w:val="22"/>
              </w:rPr>
              <w:t>Miyaki K, Nishiwaki Y, Maekawa K, et al (2005). Effects of sarin on the nervous system of subway workers seven years after the Tokyo subway sarin attack. J Occup Health, 47(4): 299-304.</w:t>
            </w:r>
          </w:p>
        </w:tc>
      </w:tr>
      <w:tr w:rsidR="002A4F0C" w:rsidRPr="002A4F0C" w14:paraId="0ED821B1" w14:textId="77777777" w:rsidTr="002A4F0C">
        <w:trPr>
          <w:cantSplit/>
        </w:trPr>
        <w:tc>
          <w:tcPr>
            <w:tcW w:w="1575" w:type="dxa"/>
            <w:shd w:val="clear" w:color="auto" w:fill="auto"/>
            <w:noWrap/>
            <w:vAlign w:val="center"/>
          </w:tcPr>
          <w:p w14:paraId="6472132A"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69045</w:t>
            </w:r>
          </w:p>
        </w:tc>
        <w:tc>
          <w:tcPr>
            <w:tcW w:w="7938" w:type="dxa"/>
            <w:shd w:val="clear" w:color="auto" w:fill="auto"/>
            <w:vAlign w:val="bottom"/>
          </w:tcPr>
          <w:p w14:paraId="0756250D" w14:textId="77777777" w:rsidR="002A4F0C" w:rsidRPr="002A4F0C" w:rsidRDefault="002A4F0C" w:rsidP="002A4F0C">
            <w:pPr>
              <w:spacing w:line="240" w:lineRule="auto"/>
              <w:rPr>
                <w:rFonts w:ascii="Arial" w:hAnsi="Arial"/>
                <w:szCs w:val="22"/>
              </w:rPr>
            </w:pPr>
            <w:r w:rsidRPr="002A4F0C">
              <w:rPr>
                <w:rFonts w:ascii="Arial" w:hAnsi="Arial"/>
                <w:szCs w:val="22"/>
              </w:rPr>
              <w:t>Yamasue H, Abe O, Kasai K, et al (2007). Human brain structural change related to acute single exposure to sarin. Ann Neurol, 61(1): 37-46.</w:t>
            </w:r>
          </w:p>
        </w:tc>
      </w:tr>
      <w:tr w:rsidR="002A4F0C" w:rsidRPr="002A4F0C" w14:paraId="434A63FC" w14:textId="77777777" w:rsidTr="002A4F0C">
        <w:trPr>
          <w:cantSplit/>
        </w:trPr>
        <w:tc>
          <w:tcPr>
            <w:tcW w:w="1575" w:type="dxa"/>
            <w:shd w:val="clear" w:color="auto" w:fill="auto"/>
            <w:noWrap/>
            <w:vAlign w:val="center"/>
          </w:tcPr>
          <w:p w14:paraId="14913F19"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69046</w:t>
            </w:r>
          </w:p>
        </w:tc>
        <w:tc>
          <w:tcPr>
            <w:tcW w:w="7938" w:type="dxa"/>
            <w:shd w:val="clear" w:color="auto" w:fill="auto"/>
            <w:vAlign w:val="bottom"/>
          </w:tcPr>
          <w:p w14:paraId="232E539D" w14:textId="77777777" w:rsidR="002A4F0C" w:rsidRPr="002A4F0C" w:rsidRDefault="002A4F0C" w:rsidP="002A4F0C">
            <w:pPr>
              <w:spacing w:line="240" w:lineRule="auto"/>
              <w:rPr>
                <w:rFonts w:ascii="Arial" w:hAnsi="Arial"/>
                <w:szCs w:val="22"/>
              </w:rPr>
            </w:pPr>
            <w:r w:rsidRPr="002A4F0C">
              <w:rPr>
                <w:rFonts w:ascii="Arial" w:hAnsi="Arial"/>
                <w:szCs w:val="22"/>
              </w:rPr>
              <w:t>Heaton KJ, Palumbo CL, Proctor SP, et al (2007). Quantitative magnetic resonance brain imaging in US army veterans of the 1991 Gulf War potentially exposed to sarin and cyclosarin. Neurotoxicology, 28(4): 761-9.</w:t>
            </w:r>
          </w:p>
        </w:tc>
      </w:tr>
      <w:tr w:rsidR="002A4F0C" w:rsidRPr="002A4F0C" w14:paraId="329ED1DA" w14:textId="77777777" w:rsidTr="002A4F0C">
        <w:trPr>
          <w:cantSplit/>
        </w:trPr>
        <w:tc>
          <w:tcPr>
            <w:tcW w:w="1575" w:type="dxa"/>
            <w:shd w:val="clear" w:color="auto" w:fill="auto"/>
            <w:noWrap/>
            <w:vAlign w:val="center"/>
          </w:tcPr>
          <w:p w14:paraId="17EA8BF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69047</w:t>
            </w:r>
          </w:p>
        </w:tc>
        <w:tc>
          <w:tcPr>
            <w:tcW w:w="7938" w:type="dxa"/>
            <w:shd w:val="clear" w:color="auto" w:fill="auto"/>
            <w:vAlign w:val="bottom"/>
          </w:tcPr>
          <w:p w14:paraId="1C097A20" w14:textId="77777777" w:rsidR="002A4F0C" w:rsidRPr="002A4F0C" w:rsidRDefault="002A4F0C" w:rsidP="002A4F0C">
            <w:pPr>
              <w:spacing w:line="240" w:lineRule="auto"/>
              <w:rPr>
                <w:rFonts w:ascii="Arial" w:hAnsi="Arial"/>
                <w:szCs w:val="22"/>
              </w:rPr>
            </w:pPr>
            <w:r w:rsidRPr="002A4F0C">
              <w:rPr>
                <w:rFonts w:ascii="Arial" w:hAnsi="Arial"/>
                <w:szCs w:val="22"/>
              </w:rPr>
              <w:t>Yokoyama K (2007). Our recent experiences with sarin poisoning cases in Japan and pesticide users with references to some selected chemicals. Neurotoxicology, 28(2): 364-73.</w:t>
            </w:r>
          </w:p>
        </w:tc>
      </w:tr>
      <w:tr w:rsidR="002A4F0C" w:rsidRPr="002A4F0C" w14:paraId="180CC323" w14:textId="77777777" w:rsidTr="002A4F0C">
        <w:trPr>
          <w:cantSplit/>
        </w:trPr>
        <w:tc>
          <w:tcPr>
            <w:tcW w:w="1575" w:type="dxa"/>
            <w:shd w:val="clear" w:color="auto" w:fill="auto"/>
            <w:noWrap/>
            <w:vAlign w:val="center"/>
          </w:tcPr>
          <w:p w14:paraId="11E562D4"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69049</w:t>
            </w:r>
          </w:p>
        </w:tc>
        <w:tc>
          <w:tcPr>
            <w:tcW w:w="7938" w:type="dxa"/>
            <w:shd w:val="clear" w:color="auto" w:fill="auto"/>
            <w:vAlign w:val="bottom"/>
          </w:tcPr>
          <w:p w14:paraId="280D0F32" w14:textId="77777777" w:rsidR="002A4F0C" w:rsidRPr="002A4F0C" w:rsidRDefault="002A4F0C" w:rsidP="002A4F0C">
            <w:pPr>
              <w:spacing w:line="240" w:lineRule="auto"/>
              <w:rPr>
                <w:rFonts w:ascii="Arial" w:hAnsi="Arial"/>
                <w:szCs w:val="22"/>
              </w:rPr>
            </w:pPr>
            <w:r w:rsidRPr="002A4F0C">
              <w:rPr>
                <w:rFonts w:ascii="Arial" w:hAnsi="Arial"/>
                <w:szCs w:val="22"/>
              </w:rPr>
              <w:t>Haley RW, Tuite JJ (2013). Epidemiologic evidence of health effects from long-distance transit of chemical weapons fallout from bombing early in the 1991 Persian Gulf War. Neuroepidemiology, 40(3): 178-89.</w:t>
            </w:r>
          </w:p>
        </w:tc>
      </w:tr>
      <w:tr w:rsidR="002A4F0C" w:rsidRPr="002A4F0C" w14:paraId="508C1554" w14:textId="77777777" w:rsidTr="002A4F0C">
        <w:trPr>
          <w:cantSplit/>
        </w:trPr>
        <w:tc>
          <w:tcPr>
            <w:tcW w:w="1575" w:type="dxa"/>
            <w:shd w:val="clear" w:color="auto" w:fill="auto"/>
            <w:noWrap/>
            <w:vAlign w:val="center"/>
          </w:tcPr>
          <w:p w14:paraId="3CA6E49D"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69051</w:t>
            </w:r>
          </w:p>
        </w:tc>
        <w:tc>
          <w:tcPr>
            <w:tcW w:w="7938" w:type="dxa"/>
            <w:shd w:val="clear" w:color="auto" w:fill="auto"/>
            <w:vAlign w:val="bottom"/>
          </w:tcPr>
          <w:p w14:paraId="699D3F23" w14:textId="77777777" w:rsidR="002A4F0C" w:rsidRPr="002A4F0C" w:rsidRDefault="002A4F0C" w:rsidP="002A4F0C">
            <w:pPr>
              <w:spacing w:line="240" w:lineRule="auto"/>
              <w:rPr>
                <w:rFonts w:ascii="Arial" w:hAnsi="Arial"/>
                <w:szCs w:val="22"/>
              </w:rPr>
            </w:pPr>
            <w:r w:rsidRPr="002A4F0C">
              <w:rPr>
                <w:rFonts w:ascii="Arial" w:hAnsi="Arial"/>
                <w:szCs w:val="22"/>
              </w:rPr>
              <w:t>Mackness B, Mackness MI, Arrol S, Turkie W, Durrington PN (1997). Effect of the molecular polymorphisms of human paraoxonase (PON1) on the rate of hydrolysis of paraoxon. Br J Pharmacol, 122(2): 265-8.</w:t>
            </w:r>
          </w:p>
        </w:tc>
      </w:tr>
      <w:tr w:rsidR="002A4F0C" w:rsidRPr="002A4F0C" w14:paraId="3205DB20" w14:textId="77777777" w:rsidTr="002A4F0C">
        <w:trPr>
          <w:cantSplit/>
        </w:trPr>
        <w:tc>
          <w:tcPr>
            <w:tcW w:w="1575" w:type="dxa"/>
            <w:shd w:val="clear" w:color="auto" w:fill="auto"/>
            <w:noWrap/>
            <w:vAlign w:val="center"/>
          </w:tcPr>
          <w:p w14:paraId="291B1BC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69052</w:t>
            </w:r>
          </w:p>
        </w:tc>
        <w:tc>
          <w:tcPr>
            <w:tcW w:w="7938" w:type="dxa"/>
            <w:shd w:val="clear" w:color="auto" w:fill="auto"/>
            <w:vAlign w:val="bottom"/>
          </w:tcPr>
          <w:p w14:paraId="10052FC2" w14:textId="77777777" w:rsidR="002A4F0C" w:rsidRPr="002A4F0C" w:rsidRDefault="002A4F0C" w:rsidP="002A4F0C">
            <w:pPr>
              <w:spacing w:line="240" w:lineRule="auto"/>
              <w:rPr>
                <w:rFonts w:ascii="Arial" w:hAnsi="Arial"/>
                <w:szCs w:val="22"/>
              </w:rPr>
            </w:pPr>
            <w:r w:rsidRPr="002A4F0C">
              <w:rPr>
                <w:rFonts w:ascii="Arial" w:hAnsi="Arial"/>
                <w:szCs w:val="22"/>
              </w:rPr>
              <w:t>Kurt TL (1998). Epidemiological association in US veterans between Gulf War illness and exposures to anticholinesterases. Toxicol Lett, 102-103: 523-6.</w:t>
            </w:r>
          </w:p>
        </w:tc>
      </w:tr>
      <w:tr w:rsidR="002A4F0C" w:rsidRPr="002A4F0C" w14:paraId="028A2E40" w14:textId="77777777" w:rsidTr="002A4F0C">
        <w:trPr>
          <w:cantSplit/>
        </w:trPr>
        <w:tc>
          <w:tcPr>
            <w:tcW w:w="1575" w:type="dxa"/>
            <w:shd w:val="clear" w:color="auto" w:fill="auto"/>
            <w:noWrap/>
            <w:vAlign w:val="center"/>
          </w:tcPr>
          <w:p w14:paraId="25B43690"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69053</w:t>
            </w:r>
          </w:p>
        </w:tc>
        <w:tc>
          <w:tcPr>
            <w:tcW w:w="7938" w:type="dxa"/>
            <w:shd w:val="clear" w:color="auto" w:fill="auto"/>
            <w:vAlign w:val="bottom"/>
          </w:tcPr>
          <w:p w14:paraId="0D9E0749" w14:textId="77777777" w:rsidR="002A4F0C" w:rsidRPr="002A4F0C" w:rsidRDefault="002A4F0C" w:rsidP="002A4F0C">
            <w:pPr>
              <w:spacing w:line="240" w:lineRule="auto"/>
              <w:rPr>
                <w:rFonts w:ascii="Arial" w:hAnsi="Arial"/>
                <w:szCs w:val="22"/>
              </w:rPr>
            </w:pPr>
            <w:r w:rsidRPr="002A4F0C">
              <w:rPr>
                <w:rFonts w:ascii="Arial" w:hAnsi="Arial"/>
                <w:szCs w:val="22"/>
              </w:rPr>
              <w:t>Costa LG, Li WF, Richter RJ, et al (1999). The role of paraoxonase (PON1) in the detoxication of organophosphates and its human polymorphism. Chem Biol Interact, 119-120: 429-38.</w:t>
            </w:r>
          </w:p>
        </w:tc>
      </w:tr>
      <w:tr w:rsidR="002A4F0C" w:rsidRPr="002A4F0C" w14:paraId="66C9538B" w14:textId="77777777" w:rsidTr="002A4F0C">
        <w:trPr>
          <w:cantSplit/>
        </w:trPr>
        <w:tc>
          <w:tcPr>
            <w:tcW w:w="1575" w:type="dxa"/>
            <w:shd w:val="clear" w:color="auto" w:fill="auto"/>
            <w:noWrap/>
            <w:vAlign w:val="center"/>
          </w:tcPr>
          <w:p w14:paraId="0A1CFF9B" w14:textId="77777777" w:rsidR="002A4F0C" w:rsidRPr="002A4F0C" w:rsidRDefault="002A4F0C" w:rsidP="002A4F0C">
            <w:pPr>
              <w:spacing w:line="240" w:lineRule="auto"/>
              <w:jc w:val="center"/>
              <w:rPr>
                <w:rFonts w:ascii="Arial" w:hAnsi="Arial"/>
                <w:szCs w:val="22"/>
              </w:rPr>
            </w:pPr>
            <w:r w:rsidRPr="002A4F0C">
              <w:rPr>
                <w:rFonts w:ascii="Arial" w:hAnsi="Arial"/>
                <w:szCs w:val="22"/>
              </w:rPr>
              <w:t>69054</w:t>
            </w:r>
          </w:p>
        </w:tc>
        <w:tc>
          <w:tcPr>
            <w:tcW w:w="7938" w:type="dxa"/>
            <w:shd w:val="clear" w:color="auto" w:fill="auto"/>
            <w:vAlign w:val="bottom"/>
          </w:tcPr>
          <w:p w14:paraId="15869330" w14:textId="77777777" w:rsidR="002A4F0C" w:rsidRPr="002A4F0C" w:rsidRDefault="002A4F0C" w:rsidP="002A4F0C">
            <w:pPr>
              <w:spacing w:line="240" w:lineRule="auto"/>
              <w:rPr>
                <w:rFonts w:ascii="Arial" w:hAnsi="Arial"/>
                <w:szCs w:val="22"/>
              </w:rPr>
            </w:pPr>
            <w:r w:rsidRPr="002A4F0C">
              <w:rPr>
                <w:rFonts w:ascii="Arial" w:hAnsi="Arial"/>
                <w:szCs w:val="22"/>
              </w:rPr>
              <w:t>Hernandez AF, Mackness B, Rodrigo L, (2003). Paraoxonase activity and genetic polymorphisms in greenhouse workers with long term pesticide exposure. Hum Exp Toxicol, 22(11): 565-74.</w:t>
            </w:r>
          </w:p>
        </w:tc>
      </w:tr>
      <w:tr w:rsidR="002A4F0C" w:rsidRPr="002A4F0C" w14:paraId="33112F00" w14:textId="77777777" w:rsidTr="002A4F0C">
        <w:trPr>
          <w:cantSplit/>
        </w:trPr>
        <w:tc>
          <w:tcPr>
            <w:tcW w:w="1575" w:type="dxa"/>
            <w:shd w:val="clear" w:color="auto" w:fill="auto"/>
            <w:noWrap/>
            <w:vAlign w:val="center"/>
          </w:tcPr>
          <w:p w14:paraId="5496F88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69209</w:t>
            </w:r>
          </w:p>
        </w:tc>
        <w:tc>
          <w:tcPr>
            <w:tcW w:w="7938" w:type="dxa"/>
            <w:shd w:val="clear" w:color="auto" w:fill="auto"/>
            <w:vAlign w:val="bottom"/>
          </w:tcPr>
          <w:p w14:paraId="3EC8A93C" w14:textId="77777777" w:rsidR="002A4F0C" w:rsidRPr="002A4F0C" w:rsidRDefault="002A4F0C" w:rsidP="002A4F0C">
            <w:pPr>
              <w:spacing w:line="240" w:lineRule="auto"/>
              <w:rPr>
                <w:rFonts w:ascii="Arial" w:hAnsi="Arial"/>
                <w:szCs w:val="22"/>
              </w:rPr>
            </w:pPr>
            <w:r w:rsidRPr="002A4F0C">
              <w:rPr>
                <w:rFonts w:ascii="Arial" w:hAnsi="Arial"/>
                <w:szCs w:val="22"/>
              </w:rPr>
              <w:t>Ishoy T, Suadicani P, Guldager B, et al (1999). State of health after deployment in the Persian Gulf. The Danish Gulf War Study. Dan Med Bull, 46: 416-9.</w:t>
            </w:r>
          </w:p>
        </w:tc>
      </w:tr>
      <w:tr w:rsidR="002A4F0C" w:rsidRPr="002A4F0C" w14:paraId="12FABDE2" w14:textId="77777777" w:rsidTr="002A4F0C">
        <w:trPr>
          <w:cantSplit/>
        </w:trPr>
        <w:tc>
          <w:tcPr>
            <w:tcW w:w="1575" w:type="dxa"/>
            <w:shd w:val="clear" w:color="auto" w:fill="auto"/>
            <w:noWrap/>
            <w:vAlign w:val="center"/>
          </w:tcPr>
          <w:p w14:paraId="3544E26D" w14:textId="77777777" w:rsidR="002A4F0C" w:rsidRPr="002A4F0C" w:rsidRDefault="002A4F0C" w:rsidP="002A4F0C">
            <w:pPr>
              <w:spacing w:line="240" w:lineRule="auto"/>
              <w:jc w:val="center"/>
              <w:rPr>
                <w:rFonts w:ascii="Arial" w:hAnsi="Arial"/>
                <w:szCs w:val="22"/>
              </w:rPr>
            </w:pPr>
            <w:r w:rsidRPr="002A4F0C">
              <w:rPr>
                <w:rFonts w:ascii="Arial" w:hAnsi="Arial"/>
                <w:szCs w:val="22"/>
              </w:rPr>
              <w:t>69211</w:t>
            </w:r>
          </w:p>
        </w:tc>
        <w:tc>
          <w:tcPr>
            <w:tcW w:w="7938" w:type="dxa"/>
            <w:shd w:val="clear" w:color="auto" w:fill="auto"/>
            <w:vAlign w:val="bottom"/>
          </w:tcPr>
          <w:p w14:paraId="2EAF37C1" w14:textId="77777777" w:rsidR="002A4F0C" w:rsidRPr="002A4F0C" w:rsidRDefault="002A4F0C" w:rsidP="002A4F0C">
            <w:pPr>
              <w:spacing w:line="240" w:lineRule="auto"/>
              <w:rPr>
                <w:rFonts w:ascii="Arial" w:hAnsi="Arial"/>
                <w:szCs w:val="22"/>
              </w:rPr>
            </w:pPr>
            <w:r w:rsidRPr="002A4F0C">
              <w:rPr>
                <w:rFonts w:ascii="Arial" w:hAnsi="Arial"/>
                <w:szCs w:val="22"/>
              </w:rPr>
              <w:t>Moss JI (1996). Synergism of toxicity of N,N-diethyl-m-toluamide to German cockroaches (Orthoptera: Blattellidae) by hydrolytic enzyme inhibitors. J Econ Entomol, 89(5): 1151-5.</w:t>
            </w:r>
          </w:p>
        </w:tc>
      </w:tr>
      <w:tr w:rsidR="002A4F0C" w:rsidRPr="002A4F0C" w14:paraId="0DB4C80E" w14:textId="77777777" w:rsidTr="002A4F0C">
        <w:trPr>
          <w:cantSplit/>
        </w:trPr>
        <w:tc>
          <w:tcPr>
            <w:tcW w:w="1575" w:type="dxa"/>
            <w:shd w:val="clear" w:color="auto" w:fill="auto"/>
            <w:noWrap/>
            <w:vAlign w:val="center"/>
          </w:tcPr>
          <w:p w14:paraId="3853479E" w14:textId="77777777" w:rsidR="002A4F0C" w:rsidRPr="002A4F0C" w:rsidRDefault="002A4F0C" w:rsidP="002A4F0C">
            <w:pPr>
              <w:spacing w:line="240" w:lineRule="auto"/>
              <w:jc w:val="center"/>
              <w:rPr>
                <w:rFonts w:ascii="Arial" w:hAnsi="Arial"/>
                <w:szCs w:val="22"/>
              </w:rPr>
            </w:pPr>
            <w:r w:rsidRPr="002A4F0C">
              <w:rPr>
                <w:rFonts w:ascii="Arial" w:hAnsi="Arial"/>
                <w:szCs w:val="22"/>
              </w:rPr>
              <w:t>69344</w:t>
            </w:r>
          </w:p>
        </w:tc>
        <w:tc>
          <w:tcPr>
            <w:tcW w:w="7938" w:type="dxa"/>
            <w:shd w:val="clear" w:color="auto" w:fill="auto"/>
            <w:vAlign w:val="bottom"/>
          </w:tcPr>
          <w:p w14:paraId="6DEF3AEF" w14:textId="77777777" w:rsidR="002A4F0C" w:rsidRPr="002A4F0C" w:rsidRDefault="002A4F0C" w:rsidP="002A4F0C">
            <w:pPr>
              <w:spacing w:line="240" w:lineRule="auto"/>
              <w:rPr>
                <w:rFonts w:ascii="Arial" w:hAnsi="Arial"/>
                <w:szCs w:val="22"/>
              </w:rPr>
            </w:pPr>
            <w:r w:rsidRPr="002A4F0C">
              <w:rPr>
                <w:rFonts w:ascii="Arial" w:hAnsi="Arial"/>
                <w:szCs w:val="22"/>
              </w:rPr>
              <w:t>Gupta MA (2013). Review of somatic symptoms in post-traumatic stress disorder. Int Rev Psychiatry, 25(1): 86-99.</w:t>
            </w:r>
          </w:p>
        </w:tc>
      </w:tr>
      <w:tr w:rsidR="002A4F0C" w:rsidRPr="002A4F0C" w14:paraId="29CDC3C8" w14:textId="77777777" w:rsidTr="002A4F0C">
        <w:trPr>
          <w:cantSplit/>
        </w:trPr>
        <w:tc>
          <w:tcPr>
            <w:tcW w:w="1575" w:type="dxa"/>
            <w:shd w:val="clear" w:color="auto" w:fill="auto"/>
            <w:noWrap/>
            <w:vAlign w:val="center"/>
          </w:tcPr>
          <w:p w14:paraId="6B6B83D8" w14:textId="77777777" w:rsidR="002A4F0C" w:rsidRPr="002A4F0C" w:rsidRDefault="002A4F0C" w:rsidP="002A4F0C">
            <w:pPr>
              <w:spacing w:line="240" w:lineRule="auto"/>
              <w:jc w:val="center"/>
              <w:rPr>
                <w:rFonts w:ascii="Arial" w:hAnsi="Arial"/>
                <w:szCs w:val="22"/>
              </w:rPr>
            </w:pPr>
            <w:r w:rsidRPr="002A4F0C">
              <w:rPr>
                <w:rFonts w:ascii="Arial" w:hAnsi="Arial"/>
                <w:szCs w:val="22"/>
              </w:rPr>
              <w:t>69390</w:t>
            </w:r>
          </w:p>
        </w:tc>
        <w:tc>
          <w:tcPr>
            <w:tcW w:w="7938" w:type="dxa"/>
            <w:shd w:val="clear" w:color="auto" w:fill="auto"/>
            <w:vAlign w:val="bottom"/>
          </w:tcPr>
          <w:p w14:paraId="16ADEF9B" w14:textId="77777777" w:rsidR="002A4F0C" w:rsidRPr="002A4F0C" w:rsidRDefault="002A4F0C" w:rsidP="002A4F0C">
            <w:pPr>
              <w:spacing w:line="240" w:lineRule="auto"/>
              <w:rPr>
                <w:rFonts w:ascii="Arial" w:hAnsi="Arial"/>
                <w:szCs w:val="22"/>
              </w:rPr>
            </w:pPr>
            <w:r w:rsidRPr="002A4F0C">
              <w:rPr>
                <w:rFonts w:ascii="Arial" w:hAnsi="Arial"/>
                <w:szCs w:val="22"/>
              </w:rPr>
              <w:t>Baraniuk JN, Casado B, Mailbach H, et al (2005). A chronic fatigue syndrome - related proteome in human cerebrospinal fluid. BMC Neurol, 5: 22.</w:t>
            </w:r>
          </w:p>
        </w:tc>
      </w:tr>
      <w:tr w:rsidR="002A4F0C" w:rsidRPr="002A4F0C" w14:paraId="3B668FA3" w14:textId="77777777" w:rsidTr="002A4F0C">
        <w:trPr>
          <w:cantSplit/>
        </w:trPr>
        <w:tc>
          <w:tcPr>
            <w:tcW w:w="1575" w:type="dxa"/>
            <w:shd w:val="clear" w:color="auto" w:fill="auto"/>
            <w:noWrap/>
            <w:vAlign w:val="center"/>
          </w:tcPr>
          <w:p w14:paraId="55DCAB84" w14:textId="77777777" w:rsidR="002A4F0C" w:rsidRPr="002A4F0C" w:rsidRDefault="002A4F0C" w:rsidP="002A4F0C">
            <w:pPr>
              <w:spacing w:line="240" w:lineRule="auto"/>
              <w:jc w:val="center"/>
              <w:rPr>
                <w:rFonts w:ascii="Arial" w:hAnsi="Arial"/>
                <w:szCs w:val="22"/>
              </w:rPr>
            </w:pPr>
            <w:r w:rsidRPr="002A4F0C">
              <w:rPr>
                <w:rFonts w:ascii="Arial" w:hAnsi="Arial"/>
                <w:szCs w:val="22"/>
              </w:rPr>
              <w:t>69391</w:t>
            </w:r>
          </w:p>
        </w:tc>
        <w:tc>
          <w:tcPr>
            <w:tcW w:w="7938" w:type="dxa"/>
            <w:shd w:val="clear" w:color="auto" w:fill="auto"/>
            <w:vAlign w:val="bottom"/>
          </w:tcPr>
          <w:p w14:paraId="0DACDB52" w14:textId="77777777" w:rsidR="002A4F0C" w:rsidRPr="002A4F0C" w:rsidRDefault="002A4F0C" w:rsidP="002A4F0C">
            <w:pPr>
              <w:spacing w:line="240" w:lineRule="auto"/>
              <w:rPr>
                <w:rFonts w:ascii="Arial" w:hAnsi="Arial"/>
                <w:szCs w:val="22"/>
              </w:rPr>
            </w:pPr>
            <w:r w:rsidRPr="002A4F0C">
              <w:rPr>
                <w:rFonts w:ascii="Arial" w:hAnsi="Arial"/>
                <w:szCs w:val="22"/>
              </w:rPr>
              <w:t>Gun RT, Pratt N, Ryan P, et al (2006). Update of mortality and cancer incidence in the Australian petroleum industry cohort. Occup Environ Health, 63: 476-81.</w:t>
            </w:r>
          </w:p>
        </w:tc>
      </w:tr>
      <w:tr w:rsidR="002A4F0C" w:rsidRPr="002A4F0C" w14:paraId="7D39320D" w14:textId="77777777" w:rsidTr="002A4F0C">
        <w:trPr>
          <w:cantSplit/>
        </w:trPr>
        <w:tc>
          <w:tcPr>
            <w:tcW w:w="1575" w:type="dxa"/>
            <w:shd w:val="clear" w:color="auto" w:fill="auto"/>
            <w:noWrap/>
            <w:vAlign w:val="center"/>
          </w:tcPr>
          <w:p w14:paraId="68A1388E" w14:textId="77777777" w:rsidR="002A4F0C" w:rsidRPr="002A4F0C" w:rsidRDefault="002A4F0C" w:rsidP="002A4F0C">
            <w:pPr>
              <w:spacing w:line="240" w:lineRule="auto"/>
              <w:jc w:val="center"/>
              <w:rPr>
                <w:rFonts w:ascii="Arial" w:hAnsi="Arial"/>
                <w:szCs w:val="22"/>
              </w:rPr>
            </w:pPr>
            <w:r w:rsidRPr="002A4F0C">
              <w:rPr>
                <w:rFonts w:ascii="Arial" w:hAnsi="Arial"/>
                <w:szCs w:val="22"/>
              </w:rPr>
              <w:t>69402</w:t>
            </w:r>
          </w:p>
        </w:tc>
        <w:tc>
          <w:tcPr>
            <w:tcW w:w="7938" w:type="dxa"/>
            <w:shd w:val="clear" w:color="auto" w:fill="auto"/>
            <w:vAlign w:val="bottom"/>
          </w:tcPr>
          <w:p w14:paraId="0C037F59" w14:textId="77777777" w:rsidR="002A4F0C" w:rsidRPr="002A4F0C" w:rsidRDefault="002A4F0C" w:rsidP="002A4F0C">
            <w:pPr>
              <w:spacing w:line="240" w:lineRule="auto"/>
              <w:rPr>
                <w:rFonts w:ascii="Arial" w:hAnsi="Arial"/>
                <w:szCs w:val="22"/>
              </w:rPr>
            </w:pPr>
            <w:r w:rsidRPr="002A4F0C">
              <w:rPr>
                <w:rFonts w:ascii="Arial" w:hAnsi="Arial"/>
                <w:szCs w:val="22"/>
              </w:rPr>
              <w:t>Institute of Medicine (IOM) (2013). Gulf War and Health: Volume 9. Treatment for chronic multisymptom illness. The National Academies Press. Washington D.C.</w:t>
            </w:r>
          </w:p>
        </w:tc>
      </w:tr>
      <w:tr w:rsidR="002A4F0C" w:rsidRPr="002A4F0C" w14:paraId="7CC7C1D5" w14:textId="77777777" w:rsidTr="002A4F0C">
        <w:trPr>
          <w:cantSplit/>
        </w:trPr>
        <w:tc>
          <w:tcPr>
            <w:tcW w:w="1575" w:type="dxa"/>
            <w:shd w:val="clear" w:color="auto" w:fill="auto"/>
            <w:noWrap/>
            <w:vAlign w:val="center"/>
          </w:tcPr>
          <w:p w14:paraId="164209D2" w14:textId="77777777" w:rsidR="002A4F0C" w:rsidRPr="002A4F0C" w:rsidRDefault="002A4F0C" w:rsidP="002A4F0C">
            <w:pPr>
              <w:spacing w:line="240" w:lineRule="auto"/>
              <w:jc w:val="center"/>
              <w:rPr>
                <w:rFonts w:ascii="Arial" w:hAnsi="Arial"/>
                <w:szCs w:val="22"/>
              </w:rPr>
            </w:pPr>
            <w:r w:rsidRPr="002A4F0C">
              <w:rPr>
                <w:rFonts w:ascii="Arial" w:hAnsi="Arial"/>
                <w:szCs w:val="22"/>
              </w:rPr>
              <w:t>69457</w:t>
            </w:r>
          </w:p>
        </w:tc>
        <w:tc>
          <w:tcPr>
            <w:tcW w:w="7938" w:type="dxa"/>
            <w:shd w:val="clear" w:color="auto" w:fill="auto"/>
            <w:vAlign w:val="bottom"/>
          </w:tcPr>
          <w:p w14:paraId="7E7F82BE" w14:textId="77777777" w:rsidR="002A4F0C" w:rsidRPr="002A4F0C" w:rsidRDefault="002A4F0C" w:rsidP="002A4F0C">
            <w:pPr>
              <w:spacing w:line="240" w:lineRule="auto"/>
              <w:rPr>
                <w:rFonts w:ascii="Arial" w:hAnsi="Arial"/>
                <w:szCs w:val="22"/>
              </w:rPr>
            </w:pPr>
            <w:r w:rsidRPr="002A4F0C">
              <w:rPr>
                <w:rFonts w:ascii="Arial" w:hAnsi="Arial"/>
                <w:szCs w:val="22"/>
              </w:rPr>
              <w:t>Greenberg N, Jones E, Jones N, et al (2011). The injured mind in the UK Armed Forces. Philos Trans R Soc Lond B Biol Sci, 366(1562): 261-7.</w:t>
            </w:r>
          </w:p>
        </w:tc>
      </w:tr>
      <w:tr w:rsidR="002A4F0C" w:rsidRPr="002A4F0C" w14:paraId="1A97D6ED" w14:textId="77777777" w:rsidTr="002A4F0C">
        <w:trPr>
          <w:cantSplit/>
        </w:trPr>
        <w:tc>
          <w:tcPr>
            <w:tcW w:w="1575" w:type="dxa"/>
            <w:shd w:val="clear" w:color="auto" w:fill="auto"/>
            <w:noWrap/>
            <w:vAlign w:val="center"/>
          </w:tcPr>
          <w:p w14:paraId="166410AD" w14:textId="77777777" w:rsidR="002A4F0C" w:rsidRPr="002A4F0C" w:rsidRDefault="002A4F0C" w:rsidP="002A4F0C">
            <w:pPr>
              <w:spacing w:line="240" w:lineRule="auto"/>
              <w:jc w:val="center"/>
              <w:rPr>
                <w:rFonts w:ascii="Arial" w:hAnsi="Arial"/>
                <w:szCs w:val="22"/>
              </w:rPr>
            </w:pPr>
            <w:r w:rsidRPr="002A4F0C">
              <w:rPr>
                <w:rFonts w:ascii="Arial" w:hAnsi="Arial"/>
                <w:szCs w:val="22"/>
              </w:rPr>
              <w:t>69517</w:t>
            </w:r>
          </w:p>
        </w:tc>
        <w:tc>
          <w:tcPr>
            <w:tcW w:w="7938" w:type="dxa"/>
            <w:shd w:val="clear" w:color="auto" w:fill="auto"/>
            <w:vAlign w:val="bottom"/>
          </w:tcPr>
          <w:p w14:paraId="17E07FE9" w14:textId="77777777" w:rsidR="002A4F0C" w:rsidRPr="002A4F0C" w:rsidRDefault="002A4F0C" w:rsidP="002A4F0C">
            <w:pPr>
              <w:spacing w:line="240" w:lineRule="auto"/>
              <w:rPr>
                <w:rFonts w:ascii="Arial" w:hAnsi="Arial"/>
                <w:szCs w:val="22"/>
              </w:rPr>
            </w:pPr>
            <w:r w:rsidRPr="002A4F0C">
              <w:rPr>
                <w:rFonts w:ascii="Arial" w:hAnsi="Arial"/>
                <w:szCs w:val="22"/>
              </w:rPr>
              <w:t>Young HA, Maillard JD, Levine PH, et al (2010). Investigating the risk of cancer in 1990-1991 US Gulf War veterans with the use of state cancer registry data. Ann Epidemiol, 20(4): 265-272, e1.</w:t>
            </w:r>
          </w:p>
        </w:tc>
      </w:tr>
      <w:tr w:rsidR="002A4F0C" w:rsidRPr="002A4F0C" w14:paraId="4A506436" w14:textId="77777777" w:rsidTr="002A4F0C">
        <w:trPr>
          <w:cantSplit/>
        </w:trPr>
        <w:tc>
          <w:tcPr>
            <w:tcW w:w="1575" w:type="dxa"/>
            <w:shd w:val="clear" w:color="auto" w:fill="auto"/>
            <w:noWrap/>
            <w:vAlign w:val="center"/>
          </w:tcPr>
          <w:p w14:paraId="4E1D0E4D" w14:textId="77777777" w:rsidR="002A4F0C" w:rsidRPr="002A4F0C" w:rsidRDefault="002A4F0C" w:rsidP="002A4F0C">
            <w:pPr>
              <w:spacing w:line="240" w:lineRule="auto"/>
              <w:jc w:val="center"/>
              <w:rPr>
                <w:rFonts w:ascii="Arial" w:hAnsi="Arial"/>
                <w:szCs w:val="22"/>
              </w:rPr>
            </w:pPr>
            <w:r w:rsidRPr="002A4F0C">
              <w:rPr>
                <w:rFonts w:ascii="Arial" w:hAnsi="Arial"/>
                <w:szCs w:val="22"/>
              </w:rPr>
              <w:t>69567</w:t>
            </w:r>
          </w:p>
        </w:tc>
        <w:tc>
          <w:tcPr>
            <w:tcW w:w="7938" w:type="dxa"/>
            <w:shd w:val="clear" w:color="auto" w:fill="auto"/>
            <w:vAlign w:val="bottom"/>
          </w:tcPr>
          <w:p w14:paraId="4BBA6F65" w14:textId="77777777" w:rsidR="002A4F0C" w:rsidRPr="002A4F0C" w:rsidRDefault="002A4F0C" w:rsidP="002A4F0C">
            <w:pPr>
              <w:spacing w:line="240" w:lineRule="auto"/>
              <w:rPr>
                <w:rFonts w:ascii="Arial" w:hAnsi="Arial"/>
                <w:szCs w:val="22"/>
              </w:rPr>
            </w:pPr>
            <w:r w:rsidRPr="002A4F0C">
              <w:rPr>
                <w:rFonts w:ascii="Arial" w:hAnsi="Arial"/>
                <w:szCs w:val="22"/>
              </w:rPr>
              <w:t>Nicolson GL, Nasralla MY, Nicolson NL, et al (2003). High prevalence of Mycoplasmal infections in symptomatic (chronic fatigue syndrome) family members of Mycoplasma-positive Gulf War illness patients. Journal of Chronic Fatigue Syndrome, 11(2): 21-36.</w:t>
            </w:r>
          </w:p>
        </w:tc>
      </w:tr>
      <w:tr w:rsidR="002A4F0C" w:rsidRPr="002A4F0C" w14:paraId="033F8139" w14:textId="77777777" w:rsidTr="002A4F0C">
        <w:trPr>
          <w:cantSplit/>
        </w:trPr>
        <w:tc>
          <w:tcPr>
            <w:tcW w:w="1575" w:type="dxa"/>
            <w:shd w:val="clear" w:color="auto" w:fill="auto"/>
            <w:noWrap/>
            <w:vAlign w:val="center"/>
          </w:tcPr>
          <w:p w14:paraId="0921426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69692</w:t>
            </w:r>
          </w:p>
        </w:tc>
        <w:tc>
          <w:tcPr>
            <w:tcW w:w="7938" w:type="dxa"/>
            <w:shd w:val="clear" w:color="auto" w:fill="auto"/>
            <w:vAlign w:val="bottom"/>
          </w:tcPr>
          <w:p w14:paraId="5BFC907A" w14:textId="77777777" w:rsidR="002A4F0C" w:rsidRPr="002A4F0C" w:rsidRDefault="002A4F0C" w:rsidP="002A4F0C">
            <w:pPr>
              <w:spacing w:line="240" w:lineRule="auto"/>
              <w:rPr>
                <w:rFonts w:ascii="Arial" w:hAnsi="Arial"/>
                <w:szCs w:val="22"/>
              </w:rPr>
            </w:pPr>
            <w:r w:rsidRPr="002A4F0C">
              <w:rPr>
                <w:rFonts w:ascii="Arial" w:hAnsi="Arial"/>
                <w:szCs w:val="22"/>
              </w:rPr>
              <w:t>Cho HJ, Skowera A, Cleare A, et al (2006). Chronic fatigue syndrome: an update focusing on phenomenology and pathophysiology. Curr Opin Psychiatry, 19: 67-73.</w:t>
            </w:r>
          </w:p>
        </w:tc>
      </w:tr>
      <w:tr w:rsidR="002A4F0C" w:rsidRPr="002A4F0C" w14:paraId="12508E2A" w14:textId="77777777" w:rsidTr="002A4F0C">
        <w:trPr>
          <w:cantSplit/>
        </w:trPr>
        <w:tc>
          <w:tcPr>
            <w:tcW w:w="1575" w:type="dxa"/>
            <w:shd w:val="clear" w:color="auto" w:fill="auto"/>
            <w:noWrap/>
            <w:vAlign w:val="center"/>
          </w:tcPr>
          <w:p w14:paraId="364D269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69704</w:t>
            </w:r>
          </w:p>
        </w:tc>
        <w:tc>
          <w:tcPr>
            <w:tcW w:w="7938" w:type="dxa"/>
            <w:shd w:val="clear" w:color="auto" w:fill="auto"/>
            <w:vAlign w:val="bottom"/>
          </w:tcPr>
          <w:p w14:paraId="48CD9817" w14:textId="77777777" w:rsidR="002A4F0C" w:rsidRPr="002A4F0C" w:rsidRDefault="002A4F0C" w:rsidP="002A4F0C">
            <w:pPr>
              <w:spacing w:line="240" w:lineRule="auto"/>
              <w:rPr>
                <w:rFonts w:ascii="Arial" w:hAnsi="Arial"/>
                <w:szCs w:val="22"/>
              </w:rPr>
            </w:pPr>
            <w:r w:rsidRPr="002A4F0C">
              <w:rPr>
                <w:rFonts w:ascii="Arial" w:hAnsi="Arial"/>
                <w:szCs w:val="22"/>
              </w:rPr>
              <w:t>Adal A (2013). Heavy metal toxicity. Medscape. .  Retrieved 29 July 2013, from http://emedicine.medscape.com/article/814960-overview</w:t>
            </w:r>
          </w:p>
        </w:tc>
      </w:tr>
      <w:tr w:rsidR="002A4F0C" w:rsidRPr="002A4F0C" w14:paraId="1CE28B8C" w14:textId="77777777" w:rsidTr="002A4F0C">
        <w:trPr>
          <w:cantSplit/>
        </w:trPr>
        <w:tc>
          <w:tcPr>
            <w:tcW w:w="1575" w:type="dxa"/>
            <w:shd w:val="clear" w:color="auto" w:fill="auto"/>
            <w:noWrap/>
            <w:vAlign w:val="center"/>
          </w:tcPr>
          <w:p w14:paraId="376A92A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69705</w:t>
            </w:r>
          </w:p>
        </w:tc>
        <w:tc>
          <w:tcPr>
            <w:tcW w:w="7938" w:type="dxa"/>
            <w:shd w:val="clear" w:color="auto" w:fill="auto"/>
            <w:vAlign w:val="bottom"/>
          </w:tcPr>
          <w:p w14:paraId="0E884598" w14:textId="77777777" w:rsidR="002A4F0C" w:rsidRPr="002A4F0C" w:rsidRDefault="002A4F0C" w:rsidP="002A4F0C">
            <w:pPr>
              <w:spacing w:line="240" w:lineRule="auto"/>
              <w:rPr>
                <w:rFonts w:ascii="Arial" w:hAnsi="Arial"/>
                <w:szCs w:val="22"/>
              </w:rPr>
            </w:pPr>
            <w:r w:rsidRPr="002A4F0C">
              <w:rPr>
                <w:rFonts w:ascii="Arial" w:hAnsi="Arial"/>
                <w:szCs w:val="22"/>
              </w:rPr>
              <w:t>ATSDR (Agency for Toxic Substances and Disease Registry) (2000). Public health statement. Polychlorinated Biphenyls (PCBS). .  Retrieved 11 October 2013, from http://www.atsdr.cdc.gov/ToxProfiles/tp17-c1-b.pdf</w:t>
            </w:r>
          </w:p>
        </w:tc>
      </w:tr>
      <w:tr w:rsidR="002A4F0C" w:rsidRPr="002A4F0C" w14:paraId="58DA65AC" w14:textId="77777777" w:rsidTr="002A4F0C">
        <w:trPr>
          <w:cantSplit/>
        </w:trPr>
        <w:tc>
          <w:tcPr>
            <w:tcW w:w="1575" w:type="dxa"/>
            <w:shd w:val="clear" w:color="auto" w:fill="auto"/>
            <w:noWrap/>
            <w:vAlign w:val="center"/>
          </w:tcPr>
          <w:p w14:paraId="3A103D98" w14:textId="77777777" w:rsidR="002A4F0C" w:rsidRPr="002A4F0C" w:rsidRDefault="002A4F0C" w:rsidP="002A4F0C">
            <w:pPr>
              <w:spacing w:line="240" w:lineRule="auto"/>
              <w:jc w:val="center"/>
              <w:rPr>
                <w:rFonts w:ascii="Arial" w:hAnsi="Arial"/>
                <w:szCs w:val="22"/>
              </w:rPr>
            </w:pPr>
            <w:r w:rsidRPr="002A4F0C">
              <w:rPr>
                <w:rFonts w:ascii="Arial" w:hAnsi="Arial"/>
                <w:szCs w:val="22"/>
              </w:rPr>
              <w:t>69706</w:t>
            </w:r>
          </w:p>
        </w:tc>
        <w:tc>
          <w:tcPr>
            <w:tcW w:w="7938" w:type="dxa"/>
            <w:shd w:val="clear" w:color="auto" w:fill="auto"/>
            <w:vAlign w:val="bottom"/>
          </w:tcPr>
          <w:p w14:paraId="1C17D1DA" w14:textId="77777777" w:rsidR="002A4F0C" w:rsidRPr="002A4F0C" w:rsidRDefault="002A4F0C" w:rsidP="002A4F0C">
            <w:pPr>
              <w:spacing w:line="240" w:lineRule="auto"/>
              <w:rPr>
                <w:rFonts w:ascii="Arial" w:hAnsi="Arial"/>
                <w:szCs w:val="22"/>
              </w:rPr>
            </w:pPr>
            <w:r w:rsidRPr="002A4F0C">
              <w:rPr>
                <w:rFonts w:ascii="Arial" w:hAnsi="Arial"/>
                <w:szCs w:val="22"/>
              </w:rPr>
              <w:t>ATSDR (Agency for Toxic Substances and Disease Registry) (2001). Polychlorinated biphenyls. Fact sheet. .  Retrieved 11 October 2013, from http://www.atsdr.cdc.gov/tfacts17.pdf</w:t>
            </w:r>
          </w:p>
        </w:tc>
      </w:tr>
      <w:tr w:rsidR="002A4F0C" w:rsidRPr="002A4F0C" w14:paraId="04C3CC53" w14:textId="77777777" w:rsidTr="002A4F0C">
        <w:trPr>
          <w:cantSplit/>
        </w:trPr>
        <w:tc>
          <w:tcPr>
            <w:tcW w:w="1575" w:type="dxa"/>
            <w:shd w:val="clear" w:color="auto" w:fill="auto"/>
            <w:noWrap/>
            <w:vAlign w:val="center"/>
          </w:tcPr>
          <w:p w14:paraId="4D7B4A48" w14:textId="77777777" w:rsidR="002A4F0C" w:rsidRPr="002A4F0C" w:rsidRDefault="002A4F0C" w:rsidP="002A4F0C">
            <w:pPr>
              <w:spacing w:line="240" w:lineRule="auto"/>
              <w:jc w:val="center"/>
              <w:rPr>
                <w:rFonts w:ascii="Arial" w:hAnsi="Arial"/>
                <w:szCs w:val="22"/>
              </w:rPr>
            </w:pPr>
            <w:r w:rsidRPr="002A4F0C">
              <w:rPr>
                <w:rFonts w:ascii="Arial" w:hAnsi="Arial"/>
                <w:szCs w:val="22"/>
              </w:rPr>
              <w:t>69707</w:t>
            </w:r>
          </w:p>
        </w:tc>
        <w:tc>
          <w:tcPr>
            <w:tcW w:w="7938" w:type="dxa"/>
            <w:shd w:val="clear" w:color="auto" w:fill="auto"/>
            <w:vAlign w:val="bottom"/>
          </w:tcPr>
          <w:p w14:paraId="0DDD7AFC" w14:textId="77777777" w:rsidR="002A4F0C" w:rsidRPr="002A4F0C" w:rsidRDefault="002A4F0C" w:rsidP="002A4F0C">
            <w:pPr>
              <w:spacing w:line="240" w:lineRule="auto"/>
              <w:rPr>
                <w:rFonts w:ascii="Arial" w:hAnsi="Arial"/>
                <w:szCs w:val="22"/>
              </w:rPr>
            </w:pPr>
            <w:r w:rsidRPr="002A4F0C">
              <w:rPr>
                <w:rFonts w:ascii="Arial" w:hAnsi="Arial"/>
                <w:szCs w:val="22"/>
              </w:rPr>
              <w:t>Chaturvedi S, Desai G (2013). Measurement and assessment of somatic symptoms. Int Rev Psychiatry, 25(1): 31-40.</w:t>
            </w:r>
          </w:p>
        </w:tc>
      </w:tr>
      <w:tr w:rsidR="002A4F0C" w:rsidRPr="002A4F0C" w14:paraId="6C1CA1A3" w14:textId="77777777" w:rsidTr="002A4F0C">
        <w:trPr>
          <w:cantSplit/>
        </w:trPr>
        <w:tc>
          <w:tcPr>
            <w:tcW w:w="1575" w:type="dxa"/>
            <w:shd w:val="clear" w:color="auto" w:fill="auto"/>
            <w:noWrap/>
            <w:vAlign w:val="center"/>
          </w:tcPr>
          <w:p w14:paraId="66823729" w14:textId="77777777" w:rsidR="002A4F0C" w:rsidRPr="002A4F0C" w:rsidRDefault="002A4F0C" w:rsidP="002A4F0C">
            <w:pPr>
              <w:spacing w:line="240" w:lineRule="auto"/>
              <w:jc w:val="center"/>
              <w:rPr>
                <w:rFonts w:ascii="Arial" w:hAnsi="Arial"/>
                <w:szCs w:val="22"/>
              </w:rPr>
            </w:pPr>
            <w:r w:rsidRPr="002A4F0C">
              <w:rPr>
                <w:rFonts w:ascii="Arial" w:hAnsi="Arial"/>
                <w:szCs w:val="22"/>
              </w:rPr>
              <w:t>69708</w:t>
            </w:r>
          </w:p>
        </w:tc>
        <w:tc>
          <w:tcPr>
            <w:tcW w:w="7938" w:type="dxa"/>
            <w:shd w:val="clear" w:color="auto" w:fill="auto"/>
            <w:vAlign w:val="bottom"/>
          </w:tcPr>
          <w:p w14:paraId="2C8B03C7" w14:textId="77777777" w:rsidR="002A4F0C" w:rsidRPr="002A4F0C" w:rsidRDefault="002A4F0C" w:rsidP="002A4F0C">
            <w:pPr>
              <w:spacing w:line="240" w:lineRule="auto"/>
              <w:rPr>
                <w:rFonts w:ascii="Arial" w:hAnsi="Arial"/>
                <w:szCs w:val="22"/>
              </w:rPr>
            </w:pPr>
            <w:r w:rsidRPr="002A4F0C">
              <w:rPr>
                <w:rFonts w:ascii="Arial" w:hAnsi="Arial"/>
                <w:szCs w:val="22"/>
              </w:rPr>
              <w:t>Donegan S, Bellamy R, Gamble CL (2009). Vaccines for preventing anthrax (Review). Cochrane Database of Systematic Reviews, 2: CD006403.</w:t>
            </w:r>
          </w:p>
        </w:tc>
      </w:tr>
      <w:tr w:rsidR="002A4F0C" w:rsidRPr="002A4F0C" w14:paraId="15F87080" w14:textId="77777777" w:rsidTr="002A4F0C">
        <w:trPr>
          <w:cantSplit/>
        </w:trPr>
        <w:tc>
          <w:tcPr>
            <w:tcW w:w="1575" w:type="dxa"/>
            <w:shd w:val="clear" w:color="auto" w:fill="auto"/>
            <w:noWrap/>
            <w:vAlign w:val="center"/>
          </w:tcPr>
          <w:p w14:paraId="2171DAD6" w14:textId="77777777" w:rsidR="002A4F0C" w:rsidRPr="002A4F0C" w:rsidRDefault="002A4F0C" w:rsidP="002A4F0C">
            <w:pPr>
              <w:spacing w:line="240" w:lineRule="auto"/>
              <w:jc w:val="center"/>
              <w:rPr>
                <w:rFonts w:ascii="Arial" w:hAnsi="Arial"/>
                <w:szCs w:val="22"/>
              </w:rPr>
            </w:pPr>
            <w:r w:rsidRPr="002A4F0C">
              <w:rPr>
                <w:rFonts w:ascii="Arial" w:hAnsi="Arial"/>
                <w:szCs w:val="22"/>
              </w:rPr>
              <w:t>69709</w:t>
            </w:r>
          </w:p>
        </w:tc>
        <w:tc>
          <w:tcPr>
            <w:tcW w:w="7938" w:type="dxa"/>
            <w:shd w:val="clear" w:color="auto" w:fill="auto"/>
            <w:vAlign w:val="bottom"/>
          </w:tcPr>
          <w:p w14:paraId="27E4F785" w14:textId="77777777" w:rsidR="002A4F0C" w:rsidRPr="002A4F0C" w:rsidRDefault="002A4F0C" w:rsidP="002A4F0C">
            <w:pPr>
              <w:spacing w:line="240" w:lineRule="auto"/>
              <w:rPr>
                <w:rFonts w:ascii="Arial" w:hAnsi="Arial"/>
                <w:szCs w:val="22"/>
              </w:rPr>
            </w:pPr>
            <w:r w:rsidRPr="002A4F0C">
              <w:rPr>
                <w:rFonts w:ascii="Arial" w:hAnsi="Arial"/>
                <w:szCs w:val="22"/>
              </w:rPr>
              <w:t>Page WF (2003). Long-term health effects of exposure to sarin and other anticholinesterase chemical warfare agents. Mil Med, 168(3): 239-45.</w:t>
            </w:r>
          </w:p>
        </w:tc>
      </w:tr>
      <w:tr w:rsidR="002A4F0C" w:rsidRPr="002A4F0C" w14:paraId="2F3D08E5" w14:textId="77777777" w:rsidTr="002A4F0C">
        <w:trPr>
          <w:cantSplit/>
        </w:trPr>
        <w:tc>
          <w:tcPr>
            <w:tcW w:w="1575" w:type="dxa"/>
            <w:shd w:val="clear" w:color="auto" w:fill="auto"/>
            <w:noWrap/>
            <w:vAlign w:val="center"/>
          </w:tcPr>
          <w:p w14:paraId="7700A767" w14:textId="77777777" w:rsidR="002A4F0C" w:rsidRPr="002A4F0C" w:rsidRDefault="002A4F0C" w:rsidP="002A4F0C">
            <w:pPr>
              <w:spacing w:line="240" w:lineRule="auto"/>
              <w:jc w:val="center"/>
              <w:rPr>
                <w:rFonts w:ascii="Arial" w:hAnsi="Arial"/>
                <w:szCs w:val="22"/>
              </w:rPr>
            </w:pPr>
            <w:r w:rsidRPr="002A4F0C">
              <w:rPr>
                <w:rFonts w:ascii="Arial" w:hAnsi="Arial"/>
                <w:szCs w:val="22"/>
              </w:rPr>
              <w:t>69710</w:t>
            </w:r>
          </w:p>
        </w:tc>
        <w:tc>
          <w:tcPr>
            <w:tcW w:w="7938" w:type="dxa"/>
            <w:shd w:val="clear" w:color="auto" w:fill="auto"/>
            <w:vAlign w:val="bottom"/>
          </w:tcPr>
          <w:p w14:paraId="6F231081" w14:textId="77777777" w:rsidR="002A4F0C" w:rsidRPr="002A4F0C" w:rsidRDefault="002A4F0C" w:rsidP="002A4F0C">
            <w:pPr>
              <w:spacing w:line="240" w:lineRule="auto"/>
              <w:rPr>
                <w:rFonts w:ascii="Arial" w:hAnsi="Arial"/>
                <w:szCs w:val="22"/>
              </w:rPr>
            </w:pPr>
            <w:r w:rsidRPr="002A4F0C">
              <w:rPr>
                <w:rFonts w:ascii="Arial" w:hAnsi="Arial"/>
                <w:szCs w:val="22"/>
              </w:rPr>
              <w:t>ATSDR (1995). Toxicological profile for fuel oils. .  Retrieved 11 October 2013, from http://www.atsdr.cdc.gov/toxprofiles/tp75-c2.pdf</w:t>
            </w:r>
          </w:p>
        </w:tc>
      </w:tr>
      <w:tr w:rsidR="002A4F0C" w:rsidRPr="002A4F0C" w14:paraId="7687DA94" w14:textId="77777777" w:rsidTr="002A4F0C">
        <w:trPr>
          <w:cantSplit/>
        </w:trPr>
        <w:tc>
          <w:tcPr>
            <w:tcW w:w="1575" w:type="dxa"/>
            <w:shd w:val="clear" w:color="auto" w:fill="auto"/>
            <w:noWrap/>
            <w:vAlign w:val="center"/>
          </w:tcPr>
          <w:p w14:paraId="538AFF8C"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69822</w:t>
            </w:r>
          </w:p>
        </w:tc>
        <w:tc>
          <w:tcPr>
            <w:tcW w:w="7938" w:type="dxa"/>
            <w:shd w:val="clear" w:color="auto" w:fill="auto"/>
            <w:vAlign w:val="bottom"/>
          </w:tcPr>
          <w:p w14:paraId="167A8D35" w14:textId="77777777" w:rsidR="002A4F0C" w:rsidRPr="002A4F0C" w:rsidRDefault="002A4F0C" w:rsidP="002A4F0C">
            <w:pPr>
              <w:spacing w:line="240" w:lineRule="auto"/>
              <w:rPr>
                <w:rFonts w:ascii="Arial" w:hAnsi="Arial"/>
                <w:szCs w:val="22"/>
              </w:rPr>
            </w:pPr>
            <w:r w:rsidRPr="002A4F0C">
              <w:rPr>
                <w:rFonts w:ascii="Arial" w:hAnsi="Arial"/>
                <w:szCs w:val="22"/>
              </w:rPr>
              <w:t>Albers JW, Garabrant DH, Mattsson JL, et al (2007). Dose-effect analyses of occupational chlorpyrifos exposure and peripheral nerve electrophysiology. Toxicol Sci, 97(1): 196-204.</w:t>
            </w:r>
          </w:p>
        </w:tc>
      </w:tr>
      <w:tr w:rsidR="002A4F0C" w:rsidRPr="002A4F0C" w14:paraId="46AA7FBC" w14:textId="77777777" w:rsidTr="002A4F0C">
        <w:trPr>
          <w:cantSplit/>
        </w:trPr>
        <w:tc>
          <w:tcPr>
            <w:tcW w:w="1575" w:type="dxa"/>
            <w:shd w:val="clear" w:color="auto" w:fill="auto"/>
            <w:noWrap/>
            <w:vAlign w:val="center"/>
          </w:tcPr>
          <w:p w14:paraId="54D96609"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69823</w:t>
            </w:r>
          </w:p>
        </w:tc>
        <w:tc>
          <w:tcPr>
            <w:tcW w:w="7938" w:type="dxa"/>
            <w:shd w:val="clear" w:color="auto" w:fill="auto"/>
            <w:vAlign w:val="bottom"/>
          </w:tcPr>
          <w:p w14:paraId="332C544B" w14:textId="77777777" w:rsidR="002A4F0C" w:rsidRPr="002A4F0C" w:rsidRDefault="002A4F0C" w:rsidP="002A4F0C">
            <w:pPr>
              <w:spacing w:line="240" w:lineRule="auto"/>
              <w:rPr>
                <w:rFonts w:ascii="Arial" w:hAnsi="Arial"/>
                <w:szCs w:val="22"/>
              </w:rPr>
            </w:pPr>
            <w:r w:rsidRPr="002A4F0C">
              <w:rPr>
                <w:rFonts w:ascii="Arial" w:hAnsi="Arial"/>
                <w:szCs w:val="22"/>
              </w:rPr>
              <w:t>Asa PB, Cao Y, Garry RF (2000). Antibodies to squalene in Gulf War syndrome. Experimental and Molecular Pathology, 68: 55-64.</w:t>
            </w:r>
          </w:p>
        </w:tc>
      </w:tr>
      <w:tr w:rsidR="002A4F0C" w:rsidRPr="002A4F0C" w14:paraId="27FF1906" w14:textId="77777777" w:rsidTr="002A4F0C">
        <w:trPr>
          <w:cantSplit/>
        </w:trPr>
        <w:tc>
          <w:tcPr>
            <w:tcW w:w="1575" w:type="dxa"/>
            <w:shd w:val="clear" w:color="auto" w:fill="auto"/>
            <w:noWrap/>
            <w:vAlign w:val="center"/>
          </w:tcPr>
          <w:p w14:paraId="15F33BD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69824</w:t>
            </w:r>
          </w:p>
        </w:tc>
        <w:tc>
          <w:tcPr>
            <w:tcW w:w="7938" w:type="dxa"/>
            <w:shd w:val="clear" w:color="auto" w:fill="auto"/>
            <w:vAlign w:val="bottom"/>
          </w:tcPr>
          <w:p w14:paraId="2F4C950E" w14:textId="77777777" w:rsidR="002A4F0C" w:rsidRPr="002A4F0C" w:rsidRDefault="002A4F0C" w:rsidP="002A4F0C">
            <w:pPr>
              <w:spacing w:line="240" w:lineRule="auto"/>
              <w:rPr>
                <w:rFonts w:ascii="Arial" w:hAnsi="Arial"/>
                <w:szCs w:val="22"/>
              </w:rPr>
            </w:pPr>
            <w:r w:rsidRPr="002A4F0C">
              <w:rPr>
                <w:rFonts w:ascii="Arial" w:hAnsi="Arial"/>
                <w:szCs w:val="22"/>
              </w:rPr>
              <w:t>Asa PB, Wilson RB, Garry RF (2002). Antibodies to squalene in recipients of anthrax vaccine. Experimental and Molecular Pathology, 73: 19-27.</w:t>
            </w:r>
          </w:p>
        </w:tc>
      </w:tr>
      <w:tr w:rsidR="002A4F0C" w:rsidRPr="002A4F0C" w14:paraId="4E561505" w14:textId="77777777" w:rsidTr="002A4F0C">
        <w:trPr>
          <w:cantSplit/>
        </w:trPr>
        <w:tc>
          <w:tcPr>
            <w:tcW w:w="1575" w:type="dxa"/>
            <w:shd w:val="clear" w:color="auto" w:fill="auto"/>
            <w:noWrap/>
            <w:vAlign w:val="center"/>
          </w:tcPr>
          <w:p w14:paraId="006FB3FB"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69825</w:t>
            </w:r>
          </w:p>
        </w:tc>
        <w:tc>
          <w:tcPr>
            <w:tcW w:w="7938" w:type="dxa"/>
            <w:shd w:val="clear" w:color="auto" w:fill="auto"/>
            <w:vAlign w:val="bottom"/>
          </w:tcPr>
          <w:p w14:paraId="58584B85" w14:textId="77777777" w:rsidR="002A4F0C" w:rsidRPr="002A4F0C" w:rsidRDefault="002A4F0C" w:rsidP="002A4F0C">
            <w:pPr>
              <w:spacing w:line="240" w:lineRule="auto"/>
              <w:rPr>
                <w:rFonts w:ascii="Arial" w:hAnsi="Arial"/>
                <w:szCs w:val="22"/>
              </w:rPr>
            </w:pPr>
            <w:r w:rsidRPr="002A4F0C">
              <w:rPr>
                <w:rFonts w:ascii="Arial" w:hAnsi="Arial"/>
                <w:szCs w:val="22"/>
              </w:rPr>
              <w:t>Benotsch EG, Brailey K, Vasterling JJ, et al (2000). War zone stress, personal and environmental resources, and PTSD symptoms in Gulf War veterans: a longitudinal perspective. J Abnorm Psychol, 109(2): 205-13.</w:t>
            </w:r>
          </w:p>
        </w:tc>
      </w:tr>
      <w:tr w:rsidR="002A4F0C" w:rsidRPr="002A4F0C" w14:paraId="23A5DE2B" w14:textId="77777777" w:rsidTr="002A4F0C">
        <w:trPr>
          <w:cantSplit/>
        </w:trPr>
        <w:tc>
          <w:tcPr>
            <w:tcW w:w="1575" w:type="dxa"/>
            <w:shd w:val="clear" w:color="auto" w:fill="auto"/>
            <w:noWrap/>
            <w:vAlign w:val="center"/>
          </w:tcPr>
          <w:p w14:paraId="57712EBE"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69826</w:t>
            </w:r>
          </w:p>
        </w:tc>
        <w:tc>
          <w:tcPr>
            <w:tcW w:w="7938" w:type="dxa"/>
            <w:shd w:val="clear" w:color="auto" w:fill="auto"/>
            <w:vAlign w:val="bottom"/>
          </w:tcPr>
          <w:p w14:paraId="2C1B0544" w14:textId="77777777" w:rsidR="002A4F0C" w:rsidRPr="002A4F0C" w:rsidRDefault="002A4F0C" w:rsidP="002A4F0C">
            <w:pPr>
              <w:spacing w:line="240" w:lineRule="auto"/>
              <w:rPr>
                <w:rFonts w:ascii="Arial" w:hAnsi="Arial"/>
                <w:szCs w:val="22"/>
              </w:rPr>
            </w:pPr>
            <w:r w:rsidRPr="002A4F0C">
              <w:rPr>
                <w:rFonts w:ascii="Arial" w:hAnsi="Arial"/>
                <w:szCs w:val="22"/>
              </w:rPr>
              <w:t>Buchwald D, Pascualy R, Bombardier C, et al (1994). Sleep disorders in patients with chronic fatigue. Clin Infect Dis, 18(Suppl 1): S68-72.</w:t>
            </w:r>
          </w:p>
        </w:tc>
      </w:tr>
      <w:tr w:rsidR="002A4F0C" w:rsidRPr="002A4F0C" w14:paraId="06EF146A" w14:textId="77777777" w:rsidTr="002A4F0C">
        <w:trPr>
          <w:cantSplit/>
        </w:trPr>
        <w:tc>
          <w:tcPr>
            <w:tcW w:w="1575" w:type="dxa"/>
            <w:shd w:val="clear" w:color="auto" w:fill="auto"/>
            <w:noWrap/>
            <w:vAlign w:val="center"/>
          </w:tcPr>
          <w:p w14:paraId="2D48D0A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69827</w:t>
            </w:r>
          </w:p>
        </w:tc>
        <w:tc>
          <w:tcPr>
            <w:tcW w:w="7938" w:type="dxa"/>
            <w:shd w:val="clear" w:color="auto" w:fill="auto"/>
            <w:vAlign w:val="bottom"/>
          </w:tcPr>
          <w:p w14:paraId="5D79062F" w14:textId="77777777" w:rsidR="002A4F0C" w:rsidRPr="002A4F0C" w:rsidRDefault="002A4F0C" w:rsidP="002A4F0C">
            <w:pPr>
              <w:spacing w:line="240" w:lineRule="auto"/>
              <w:rPr>
                <w:rFonts w:ascii="Arial" w:hAnsi="Arial"/>
                <w:szCs w:val="22"/>
              </w:rPr>
            </w:pPr>
            <w:r w:rsidRPr="002A4F0C">
              <w:rPr>
                <w:rFonts w:ascii="Arial" w:hAnsi="Arial"/>
                <w:szCs w:val="22"/>
              </w:rPr>
              <w:t>Hunter D, Zoutman D, Whitehead J, et al (2004). Health effects of anthrax vaccination in the Canadian forces. Military Medicine, 169(10): 833-8.</w:t>
            </w:r>
          </w:p>
        </w:tc>
      </w:tr>
      <w:tr w:rsidR="002A4F0C" w:rsidRPr="002A4F0C" w14:paraId="1073AE3B" w14:textId="77777777" w:rsidTr="002A4F0C">
        <w:trPr>
          <w:cantSplit/>
        </w:trPr>
        <w:tc>
          <w:tcPr>
            <w:tcW w:w="1575" w:type="dxa"/>
            <w:shd w:val="clear" w:color="auto" w:fill="auto"/>
            <w:noWrap/>
            <w:vAlign w:val="center"/>
          </w:tcPr>
          <w:p w14:paraId="1CEEEA18"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69828</w:t>
            </w:r>
          </w:p>
        </w:tc>
        <w:tc>
          <w:tcPr>
            <w:tcW w:w="7938" w:type="dxa"/>
            <w:shd w:val="clear" w:color="auto" w:fill="auto"/>
            <w:vAlign w:val="bottom"/>
          </w:tcPr>
          <w:p w14:paraId="14976E6B" w14:textId="77777777" w:rsidR="002A4F0C" w:rsidRPr="002A4F0C" w:rsidRDefault="002A4F0C" w:rsidP="002A4F0C">
            <w:pPr>
              <w:spacing w:line="240" w:lineRule="auto"/>
              <w:rPr>
                <w:rFonts w:ascii="Arial" w:hAnsi="Arial"/>
                <w:szCs w:val="22"/>
              </w:rPr>
            </w:pPr>
            <w:r w:rsidRPr="002A4F0C">
              <w:rPr>
                <w:rFonts w:ascii="Arial" w:hAnsi="Arial"/>
                <w:szCs w:val="22"/>
              </w:rPr>
              <w:t>Kyle RA, Rajkumar SV, Therneau TA, et al (2005). Prognostic factors and predictors of outcome of immunoglobulin M monoclonal gammopathy of undetermined significance. Clin Lymphoma, 5(4): 257-60.</w:t>
            </w:r>
          </w:p>
        </w:tc>
      </w:tr>
      <w:tr w:rsidR="002A4F0C" w:rsidRPr="002A4F0C" w14:paraId="01BB0431" w14:textId="77777777" w:rsidTr="002A4F0C">
        <w:trPr>
          <w:cantSplit/>
        </w:trPr>
        <w:tc>
          <w:tcPr>
            <w:tcW w:w="1575" w:type="dxa"/>
            <w:shd w:val="clear" w:color="auto" w:fill="auto"/>
            <w:noWrap/>
            <w:vAlign w:val="center"/>
          </w:tcPr>
          <w:p w14:paraId="40EFB91E"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69829</w:t>
            </w:r>
          </w:p>
        </w:tc>
        <w:tc>
          <w:tcPr>
            <w:tcW w:w="7938" w:type="dxa"/>
            <w:shd w:val="clear" w:color="auto" w:fill="auto"/>
            <w:vAlign w:val="bottom"/>
          </w:tcPr>
          <w:p w14:paraId="479D89C4" w14:textId="77777777" w:rsidR="002A4F0C" w:rsidRPr="002A4F0C" w:rsidRDefault="002A4F0C" w:rsidP="002A4F0C">
            <w:pPr>
              <w:spacing w:line="240" w:lineRule="auto"/>
              <w:rPr>
                <w:rFonts w:ascii="Arial" w:hAnsi="Arial"/>
                <w:szCs w:val="22"/>
              </w:rPr>
            </w:pPr>
            <w:r w:rsidRPr="002A4F0C">
              <w:rPr>
                <w:rFonts w:ascii="Arial" w:hAnsi="Arial"/>
                <w:szCs w:val="22"/>
              </w:rPr>
              <w:t>Levine PH, Young HA, Simmens SJ, et al (2005). Is testicular cancer related to Gulf War deployment? Evidence from a pilot population-based study of Gulf War era veterans and cancer registries. Mil Med, 170(2): 149-53.</w:t>
            </w:r>
          </w:p>
        </w:tc>
      </w:tr>
      <w:tr w:rsidR="002A4F0C" w:rsidRPr="002A4F0C" w14:paraId="6ACF9171" w14:textId="77777777" w:rsidTr="002A4F0C">
        <w:trPr>
          <w:cantSplit/>
        </w:trPr>
        <w:tc>
          <w:tcPr>
            <w:tcW w:w="1575" w:type="dxa"/>
            <w:shd w:val="clear" w:color="auto" w:fill="auto"/>
            <w:noWrap/>
            <w:vAlign w:val="center"/>
          </w:tcPr>
          <w:p w14:paraId="7E9C730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69830</w:t>
            </w:r>
          </w:p>
        </w:tc>
        <w:tc>
          <w:tcPr>
            <w:tcW w:w="7938" w:type="dxa"/>
            <w:shd w:val="clear" w:color="auto" w:fill="auto"/>
            <w:vAlign w:val="bottom"/>
          </w:tcPr>
          <w:p w14:paraId="52F70D8C" w14:textId="77777777" w:rsidR="002A4F0C" w:rsidRPr="002A4F0C" w:rsidRDefault="002A4F0C" w:rsidP="002A4F0C">
            <w:pPr>
              <w:spacing w:line="240" w:lineRule="auto"/>
              <w:rPr>
                <w:rFonts w:ascii="Arial" w:hAnsi="Arial"/>
                <w:szCs w:val="22"/>
              </w:rPr>
            </w:pPr>
            <w:r w:rsidRPr="002A4F0C">
              <w:rPr>
                <w:rFonts w:ascii="Arial" w:hAnsi="Arial"/>
                <w:szCs w:val="22"/>
              </w:rPr>
              <w:t>Kawana N, Ishimatsu S, Kanda K (2001). Psycho-physiological effects of the terrorist sarin attack on the Tokyo subway system. Mil Med, 166: 23-6.</w:t>
            </w:r>
          </w:p>
        </w:tc>
      </w:tr>
      <w:tr w:rsidR="002A4F0C" w:rsidRPr="002A4F0C" w14:paraId="665F823C" w14:textId="77777777" w:rsidTr="002A4F0C">
        <w:trPr>
          <w:cantSplit/>
        </w:trPr>
        <w:tc>
          <w:tcPr>
            <w:tcW w:w="1575" w:type="dxa"/>
            <w:shd w:val="clear" w:color="auto" w:fill="auto"/>
            <w:noWrap/>
            <w:vAlign w:val="center"/>
          </w:tcPr>
          <w:p w14:paraId="380B973C"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69831</w:t>
            </w:r>
          </w:p>
        </w:tc>
        <w:tc>
          <w:tcPr>
            <w:tcW w:w="7938" w:type="dxa"/>
            <w:shd w:val="clear" w:color="auto" w:fill="auto"/>
            <w:vAlign w:val="bottom"/>
          </w:tcPr>
          <w:p w14:paraId="2FB5A3F4" w14:textId="77777777" w:rsidR="002A4F0C" w:rsidRPr="002A4F0C" w:rsidRDefault="002A4F0C" w:rsidP="002A4F0C">
            <w:pPr>
              <w:spacing w:line="240" w:lineRule="auto"/>
              <w:rPr>
                <w:rFonts w:ascii="Arial" w:hAnsi="Arial"/>
                <w:szCs w:val="22"/>
              </w:rPr>
            </w:pPr>
            <w:r w:rsidRPr="002A4F0C">
              <w:rPr>
                <w:rFonts w:ascii="Arial" w:hAnsi="Arial"/>
                <w:szCs w:val="22"/>
              </w:rPr>
              <w:t>Gunzenhauser JD, Cook JE, Parker ME (2001). Acute side effects of anthrax vaccine in ROTC cadets participating in advanced camp. Med Surveill Mon Rep, 7: 9-11.</w:t>
            </w:r>
          </w:p>
        </w:tc>
      </w:tr>
      <w:tr w:rsidR="002A4F0C" w:rsidRPr="002A4F0C" w14:paraId="0945D674" w14:textId="77777777" w:rsidTr="002A4F0C">
        <w:trPr>
          <w:cantSplit/>
        </w:trPr>
        <w:tc>
          <w:tcPr>
            <w:tcW w:w="1575" w:type="dxa"/>
            <w:shd w:val="clear" w:color="auto" w:fill="auto"/>
            <w:noWrap/>
            <w:vAlign w:val="center"/>
          </w:tcPr>
          <w:p w14:paraId="79141348"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69832</w:t>
            </w:r>
          </w:p>
        </w:tc>
        <w:tc>
          <w:tcPr>
            <w:tcW w:w="7938" w:type="dxa"/>
            <w:shd w:val="clear" w:color="auto" w:fill="auto"/>
            <w:vAlign w:val="bottom"/>
          </w:tcPr>
          <w:p w14:paraId="1234A90B" w14:textId="77777777" w:rsidR="002A4F0C" w:rsidRPr="002A4F0C" w:rsidRDefault="002A4F0C" w:rsidP="002A4F0C">
            <w:pPr>
              <w:spacing w:line="240" w:lineRule="auto"/>
              <w:rPr>
                <w:rFonts w:ascii="Arial" w:hAnsi="Arial"/>
                <w:szCs w:val="22"/>
              </w:rPr>
            </w:pPr>
            <w:r w:rsidRPr="002A4F0C">
              <w:rPr>
                <w:rFonts w:ascii="Arial" w:hAnsi="Arial"/>
                <w:szCs w:val="22"/>
              </w:rPr>
              <w:t>Gray GC, Chesbrough KB, Ryan MA, et al (2002). The Millennium Cohort Study: a 21-year prospective cohort study of 140,000 military personnel. Mil Med, 167(6): 483-8.</w:t>
            </w:r>
          </w:p>
        </w:tc>
      </w:tr>
      <w:tr w:rsidR="002A4F0C" w:rsidRPr="002A4F0C" w14:paraId="4A77BCD9" w14:textId="77777777" w:rsidTr="002A4F0C">
        <w:trPr>
          <w:cantSplit/>
        </w:trPr>
        <w:tc>
          <w:tcPr>
            <w:tcW w:w="1575" w:type="dxa"/>
            <w:shd w:val="clear" w:color="auto" w:fill="auto"/>
            <w:noWrap/>
            <w:vAlign w:val="center"/>
          </w:tcPr>
          <w:p w14:paraId="5740D03E"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69833</w:t>
            </w:r>
          </w:p>
        </w:tc>
        <w:tc>
          <w:tcPr>
            <w:tcW w:w="7938" w:type="dxa"/>
            <w:shd w:val="clear" w:color="auto" w:fill="auto"/>
            <w:vAlign w:val="bottom"/>
          </w:tcPr>
          <w:p w14:paraId="6C81CBE3" w14:textId="77777777" w:rsidR="002A4F0C" w:rsidRPr="002A4F0C" w:rsidRDefault="002A4F0C" w:rsidP="002A4F0C">
            <w:pPr>
              <w:spacing w:line="240" w:lineRule="auto"/>
              <w:rPr>
                <w:rFonts w:ascii="Arial" w:hAnsi="Arial"/>
                <w:szCs w:val="22"/>
              </w:rPr>
            </w:pPr>
            <w:r w:rsidRPr="002A4F0C">
              <w:rPr>
                <w:rFonts w:ascii="Arial" w:hAnsi="Arial"/>
                <w:szCs w:val="22"/>
              </w:rPr>
              <w:t>Gray MJ, Bolton EE, Litz BT (2004). A longitudinal analysis of PTSD symptom course: delayed-onset PTSD in Somalia peacekeepers. J Consult Clin Psychol, 72(5): 909-13.</w:t>
            </w:r>
          </w:p>
        </w:tc>
      </w:tr>
      <w:tr w:rsidR="002A4F0C" w:rsidRPr="002A4F0C" w14:paraId="793223A3" w14:textId="77777777" w:rsidTr="002A4F0C">
        <w:trPr>
          <w:cantSplit/>
        </w:trPr>
        <w:tc>
          <w:tcPr>
            <w:tcW w:w="1575" w:type="dxa"/>
            <w:shd w:val="clear" w:color="auto" w:fill="auto"/>
            <w:noWrap/>
            <w:vAlign w:val="center"/>
          </w:tcPr>
          <w:p w14:paraId="6E94B48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69834</w:t>
            </w:r>
          </w:p>
        </w:tc>
        <w:tc>
          <w:tcPr>
            <w:tcW w:w="7938" w:type="dxa"/>
            <w:shd w:val="clear" w:color="auto" w:fill="auto"/>
            <w:vAlign w:val="bottom"/>
          </w:tcPr>
          <w:p w14:paraId="59DFC915" w14:textId="77777777" w:rsidR="002A4F0C" w:rsidRPr="002A4F0C" w:rsidRDefault="002A4F0C" w:rsidP="002A4F0C">
            <w:pPr>
              <w:spacing w:line="240" w:lineRule="auto"/>
              <w:rPr>
                <w:rFonts w:ascii="Arial" w:hAnsi="Arial"/>
                <w:szCs w:val="22"/>
              </w:rPr>
            </w:pPr>
            <w:r w:rsidRPr="002A4F0C">
              <w:rPr>
                <w:rFonts w:ascii="Arial" w:hAnsi="Arial"/>
                <w:szCs w:val="22"/>
              </w:rPr>
              <w:t>Doyle P, Maconochie N, Davies G, et al (2004). Miscarriage, stillbirth and congenital malformation in the offspring of UK veterans of the first Gulf war. Int J Epidemiol, 33: 74-86.</w:t>
            </w:r>
          </w:p>
        </w:tc>
      </w:tr>
      <w:tr w:rsidR="002A4F0C" w:rsidRPr="002A4F0C" w14:paraId="72952609" w14:textId="77777777" w:rsidTr="002A4F0C">
        <w:trPr>
          <w:cantSplit/>
        </w:trPr>
        <w:tc>
          <w:tcPr>
            <w:tcW w:w="1575" w:type="dxa"/>
            <w:shd w:val="clear" w:color="auto" w:fill="auto"/>
            <w:noWrap/>
            <w:vAlign w:val="center"/>
          </w:tcPr>
          <w:p w14:paraId="138E0B78"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69835</w:t>
            </w:r>
          </w:p>
        </w:tc>
        <w:tc>
          <w:tcPr>
            <w:tcW w:w="7938" w:type="dxa"/>
            <w:shd w:val="clear" w:color="auto" w:fill="auto"/>
            <w:vAlign w:val="bottom"/>
          </w:tcPr>
          <w:p w14:paraId="4B5AB9C2" w14:textId="77777777" w:rsidR="002A4F0C" w:rsidRPr="002A4F0C" w:rsidRDefault="002A4F0C" w:rsidP="002A4F0C">
            <w:pPr>
              <w:spacing w:line="240" w:lineRule="auto"/>
              <w:rPr>
                <w:rFonts w:ascii="Arial" w:hAnsi="Arial"/>
                <w:szCs w:val="22"/>
              </w:rPr>
            </w:pPr>
            <w:r w:rsidRPr="002A4F0C">
              <w:rPr>
                <w:rFonts w:ascii="Arial" w:hAnsi="Arial"/>
                <w:szCs w:val="22"/>
              </w:rPr>
              <w:t>Cameron B, Bharadwaj M, Burrows J, et al (2006). Prolonged illness after infectious mononucleosis is associated with altered immunity but not with increased viral load. J Infect Dis, 193: 664-71.</w:t>
            </w:r>
          </w:p>
        </w:tc>
      </w:tr>
      <w:tr w:rsidR="002A4F0C" w:rsidRPr="002A4F0C" w14:paraId="26ABC6D4" w14:textId="77777777" w:rsidTr="002A4F0C">
        <w:trPr>
          <w:cantSplit/>
        </w:trPr>
        <w:tc>
          <w:tcPr>
            <w:tcW w:w="1575" w:type="dxa"/>
            <w:shd w:val="clear" w:color="auto" w:fill="auto"/>
            <w:noWrap/>
            <w:vAlign w:val="center"/>
          </w:tcPr>
          <w:p w14:paraId="5EE109F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69836</w:t>
            </w:r>
          </w:p>
        </w:tc>
        <w:tc>
          <w:tcPr>
            <w:tcW w:w="7938" w:type="dxa"/>
            <w:shd w:val="clear" w:color="auto" w:fill="auto"/>
            <w:vAlign w:val="bottom"/>
          </w:tcPr>
          <w:p w14:paraId="7A4791A8" w14:textId="77777777" w:rsidR="002A4F0C" w:rsidRPr="002A4F0C" w:rsidRDefault="002A4F0C" w:rsidP="002A4F0C">
            <w:pPr>
              <w:spacing w:line="240" w:lineRule="auto"/>
              <w:rPr>
                <w:rFonts w:ascii="Arial" w:hAnsi="Arial"/>
                <w:szCs w:val="22"/>
              </w:rPr>
            </w:pPr>
            <w:r w:rsidRPr="002A4F0C">
              <w:rPr>
                <w:rFonts w:ascii="Arial" w:hAnsi="Arial"/>
                <w:szCs w:val="22"/>
              </w:rPr>
              <w:t>Deschamps S, Momas I, Festy B (1995). Mortality amongst Paris fire-fighters. Eur J Epidemiol, 11: 643-6.</w:t>
            </w:r>
          </w:p>
        </w:tc>
      </w:tr>
      <w:tr w:rsidR="002A4F0C" w:rsidRPr="002A4F0C" w14:paraId="33463A42" w14:textId="77777777" w:rsidTr="002A4F0C">
        <w:trPr>
          <w:cantSplit/>
        </w:trPr>
        <w:tc>
          <w:tcPr>
            <w:tcW w:w="1575" w:type="dxa"/>
            <w:shd w:val="clear" w:color="auto" w:fill="auto"/>
            <w:noWrap/>
            <w:vAlign w:val="center"/>
          </w:tcPr>
          <w:p w14:paraId="26F782F7"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69837</w:t>
            </w:r>
          </w:p>
        </w:tc>
        <w:tc>
          <w:tcPr>
            <w:tcW w:w="7938" w:type="dxa"/>
            <w:shd w:val="clear" w:color="auto" w:fill="auto"/>
            <w:vAlign w:val="bottom"/>
          </w:tcPr>
          <w:p w14:paraId="0068104E" w14:textId="77777777" w:rsidR="002A4F0C" w:rsidRPr="002A4F0C" w:rsidRDefault="002A4F0C" w:rsidP="002A4F0C">
            <w:pPr>
              <w:spacing w:line="240" w:lineRule="auto"/>
              <w:rPr>
                <w:rFonts w:ascii="Arial" w:hAnsi="Arial"/>
                <w:szCs w:val="22"/>
              </w:rPr>
            </w:pPr>
            <w:r w:rsidRPr="002A4F0C">
              <w:rPr>
                <w:rFonts w:ascii="Arial" w:hAnsi="Arial"/>
                <w:szCs w:val="22"/>
              </w:rPr>
              <w:t>Dinerman H, Steere AC (1992). Lyme disease associated with fibromyalgia. Ann Intern Med, 117(4): 281-5.</w:t>
            </w:r>
          </w:p>
        </w:tc>
      </w:tr>
      <w:tr w:rsidR="002A4F0C" w:rsidRPr="002A4F0C" w14:paraId="41419745" w14:textId="77777777" w:rsidTr="002A4F0C">
        <w:trPr>
          <w:cantSplit/>
        </w:trPr>
        <w:tc>
          <w:tcPr>
            <w:tcW w:w="1575" w:type="dxa"/>
            <w:shd w:val="clear" w:color="auto" w:fill="auto"/>
            <w:noWrap/>
            <w:vAlign w:val="center"/>
          </w:tcPr>
          <w:p w14:paraId="2835B91E"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69838</w:t>
            </w:r>
          </w:p>
        </w:tc>
        <w:tc>
          <w:tcPr>
            <w:tcW w:w="7938" w:type="dxa"/>
            <w:shd w:val="clear" w:color="auto" w:fill="auto"/>
            <w:vAlign w:val="bottom"/>
          </w:tcPr>
          <w:p w14:paraId="300B6C2C" w14:textId="77777777" w:rsidR="002A4F0C" w:rsidRPr="002A4F0C" w:rsidRDefault="002A4F0C" w:rsidP="002A4F0C">
            <w:pPr>
              <w:spacing w:line="240" w:lineRule="auto"/>
              <w:rPr>
                <w:rFonts w:ascii="Arial" w:hAnsi="Arial"/>
                <w:szCs w:val="22"/>
              </w:rPr>
            </w:pPr>
            <w:r w:rsidRPr="002A4F0C">
              <w:rPr>
                <w:rFonts w:ascii="Arial" w:hAnsi="Arial"/>
                <w:szCs w:val="22"/>
              </w:rPr>
              <w:t>Keegan T, Nieuwenhuijsen M, Fletcher T, et al (2007). Reconstructing exposures from the UK chemical warfare agent human research programme. Ann Occup Hyg, 51: 441-50.</w:t>
            </w:r>
          </w:p>
        </w:tc>
      </w:tr>
      <w:tr w:rsidR="002A4F0C" w:rsidRPr="002A4F0C" w14:paraId="34712BB1" w14:textId="77777777" w:rsidTr="002A4F0C">
        <w:trPr>
          <w:cantSplit/>
        </w:trPr>
        <w:tc>
          <w:tcPr>
            <w:tcW w:w="1575" w:type="dxa"/>
            <w:shd w:val="clear" w:color="auto" w:fill="auto"/>
            <w:noWrap/>
            <w:vAlign w:val="center"/>
          </w:tcPr>
          <w:p w14:paraId="0C551041"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69840</w:t>
            </w:r>
          </w:p>
        </w:tc>
        <w:tc>
          <w:tcPr>
            <w:tcW w:w="7938" w:type="dxa"/>
            <w:shd w:val="clear" w:color="auto" w:fill="auto"/>
            <w:vAlign w:val="bottom"/>
          </w:tcPr>
          <w:p w14:paraId="365D4D74" w14:textId="77777777" w:rsidR="002A4F0C" w:rsidRPr="002A4F0C" w:rsidRDefault="002A4F0C" w:rsidP="002A4F0C">
            <w:pPr>
              <w:spacing w:line="240" w:lineRule="auto"/>
              <w:rPr>
                <w:rFonts w:ascii="Arial" w:hAnsi="Arial"/>
                <w:szCs w:val="22"/>
              </w:rPr>
            </w:pPr>
            <w:r w:rsidRPr="002A4F0C">
              <w:rPr>
                <w:rFonts w:ascii="Arial" w:hAnsi="Arial"/>
                <w:szCs w:val="22"/>
              </w:rPr>
              <w:t>McDiarmid MA, Engelhardt S, Oliver M, et a (2004). Health effects of depleted uranium on exposed Gulf War veterans: a 10-year follow-up. J Toxicol Environ Health A, 67(4): 277-96.</w:t>
            </w:r>
          </w:p>
        </w:tc>
      </w:tr>
      <w:tr w:rsidR="002A4F0C" w:rsidRPr="002A4F0C" w14:paraId="23B18370" w14:textId="77777777" w:rsidTr="002A4F0C">
        <w:trPr>
          <w:cantSplit/>
        </w:trPr>
        <w:tc>
          <w:tcPr>
            <w:tcW w:w="1575" w:type="dxa"/>
            <w:shd w:val="clear" w:color="auto" w:fill="auto"/>
            <w:noWrap/>
            <w:vAlign w:val="center"/>
          </w:tcPr>
          <w:p w14:paraId="74A5E2E4"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69841</w:t>
            </w:r>
          </w:p>
        </w:tc>
        <w:tc>
          <w:tcPr>
            <w:tcW w:w="7938" w:type="dxa"/>
            <w:shd w:val="clear" w:color="auto" w:fill="auto"/>
            <w:vAlign w:val="bottom"/>
          </w:tcPr>
          <w:p w14:paraId="1AFE2A82" w14:textId="77777777" w:rsidR="002A4F0C" w:rsidRPr="002A4F0C" w:rsidRDefault="002A4F0C" w:rsidP="002A4F0C">
            <w:pPr>
              <w:spacing w:line="240" w:lineRule="auto"/>
              <w:rPr>
                <w:rFonts w:ascii="Arial" w:hAnsi="Arial"/>
                <w:szCs w:val="22"/>
              </w:rPr>
            </w:pPr>
            <w:r w:rsidRPr="002A4F0C">
              <w:rPr>
                <w:rFonts w:ascii="Arial" w:hAnsi="Arial"/>
                <w:szCs w:val="22"/>
              </w:rPr>
              <w:t>McDiarmid MA, Engelhardt S, Oliver M, et al (2006). Biological monitoring and surveillance results of Gulf War I veterans exposed to depleted uranium. Int Arch Occup Environ Health, 79: 11-21.</w:t>
            </w:r>
          </w:p>
        </w:tc>
      </w:tr>
      <w:tr w:rsidR="002A4F0C" w:rsidRPr="002A4F0C" w14:paraId="359361E2" w14:textId="77777777" w:rsidTr="002A4F0C">
        <w:trPr>
          <w:cantSplit/>
        </w:trPr>
        <w:tc>
          <w:tcPr>
            <w:tcW w:w="1575" w:type="dxa"/>
            <w:shd w:val="clear" w:color="auto" w:fill="auto"/>
            <w:noWrap/>
            <w:vAlign w:val="center"/>
          </w:tcPr>
          <w:p w14:paraId="6C0C1ABB"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69842</w:t>
            </w:r>
          </w:p>
        </w:tc>
        <w:tc>
          <w:tcPr>
            <w:tcW w:w="7938" w:type="dxa"/>
            <w:shd w:val="clear" w:color="auto" w:fill="auto"/>
            <w:vAlign w:val="bottom"/>
          </w:tcPr>
          <w:p w14:paraId="276A56DF" w14:textId="77777777" w:rsidR="002A4F0C" w:rsidRPr="002A4F0C" w:rsidRDefault="002A4F0C" w:rsidP="002A4F0C">
            <w:pPr>
              <w:spacing w:line="240" w:lineRule="auto"/>
              <w:rPr>
                <w:rFonts w:ascii="Arial" w:hAnsi="Arial"/>
                <w:szCs w:val="22"/>
              </w:rPr>
            </w:pPr>
            <w:r w:rsidRPr="002A4F0C">
              <w:rPr>
                <w:rFonts w:ascii="Arial" w:hAnsi="Arial"/>
                <w:szCs w:val="22"/>
              </w:rPr>
              <w:t>May LM, Heller J, Kalinsky V, et al (2004). Military deployment human exposure assessment: urine total and isotopic uranium sampling results. J Toxicol Environ Health A, 67: 697-714.</w:t>
            </w:r>
          </w:p>
        </w:tc>
      </w:tr>
      <w:tr w:rsidR="002A4F0C" w:rsidRPr="002A4F0C" w14:paraId="06CD40B8" w14:textId="77777777" w:rsidTr="002A4F0C">
        <w:trPr>
          <w:cantSplit/>
        </w:trPr>
        <w:tc>
          <w:tcPr>
            <w:tcW w:w="1575" w:type="dxa"/>
            <w:shd w:val="clear" w:color="auto" w:fill="auto"/>
            <w:noWrap/>
            <w:vAlign w:val="center"/>
          </w:tcPr>
          <w:p w14:paraId="721EEFC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69855</w:t>
            </w:r>
          </w:p>
        </w:tc>
        <w:tc>
          <w:tcPr>
            <w:tcW w:w="7938" w:type="dxa"/>
            <w:shd w:val="clear" w:color="auto" w:fill="auto"/>
            <w:vAlign w:val="bottom"/>
          </w:tcPr>
          <w:p w14:paraId="27E13C26" w14:textId="77777777" w:rsidR="002A4F0C" w:rsidRPr="002A4F0C" w:rsidRDefault="002A4F0C" w:rsidP="002A4F0C">
            <w:pPr>
              <w:spacing w:line="240" w:lineRule="auto"/>
              <w:rPr>
                <w:rFonts w:ascii="Arial" w:hAnsi="Arial"/>
                <w:szCs w:val="22"/>
              </w:rPr>
            </w:pPr>
            <w:r w:rsidRPr="002A4F0C">
              <w:rPr>
                <w:rFonts w:ascii="Arial" w:hAnsi="Arial"/>
                <w:szCs w:val="22"/>
              </w:rPr>
              <w:t>Badaro R, Jones TC, Cavelho EM, et al (1986). New perspectives on a subclinical form of visceral leishmaniasis. J Infect Dis, 154(6): 1003-11.</w:t>
            </w:r>
          </w:p>
        </w:tc>
      </w:tr>
      <w:tr w:rsidR="002A4F0C" w:rsidRPr="002A4F0C" w14:paraId="6C6FFBC6" w14:textId="77777777" w:rsidTr="002A4F0C">
        <w:trPr>
          <w:cantSplit/>
        </w:trPr>
        <w:tc>
          <w:tcPr>
            <w:tcW w:w="1575" w:type="dxa"/>
            <w:shd w:val="clear" w:color="auto" w:fill="auto"/>
            <w:noWrap/>
            <w:vAlign w:val="center"/>
          </w:tcPr>
          <w:p w14:paraId="0B388E31"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69868</w:t>
            </w:r>
          </w:p>
        </w:tc>
        <w:tc>
          <w:tcPr>
            <w:tcW w:w="7938" w:type="dxa"/>
            <w:shd w:val="clear" w:color="auto" w:fill="auto"/>
            <w:vAlign w:val="bottom"/>
          </w:tcPr>
          <w:p w14:paraId="13B39BE2" w14:textId="77777777" w:rsidR="002A4F0C" w:rsidRPr="002A4F0C" w:rsidRDefault="002A4F0C" w:rsidP="002A4F0C">
            <w:pPr>
              <w:spacing w:line="240" w:lineRule="auto"/>
              <w:rPr>
                <w:rFonts w:ascii="Arial" w:hAnsi="Arial"/>
                <w:szCs w:val="22"/>
              </w:rPr>
            </w:pPr>
            <w:r w:rsidRPr="002A4F0C">
              <w:rPr>
                <w:rFonts w:ascii="Arial" w:hAnsi="Arial"/>
                <w:szCs w:val="22"/>
              </w:rPr>
              <w:t>Witteveen AB, Bramsen I, Twisk WR, et al (2007). Psychological distress of rescue workers eight and one-half years after professional involvement in the Amsterdam air disaster. J Nerv Ment Dis, 195(1): 31-40.</w:t>
            </w:r>
          </w:p>
        </w:tc>
      </w:tr>
      <w:tr w:rsidR="002A4F0C" w:rsidRPr="002A4F0C" w14:paraId="1304D7F8" w14:textId="77777777" w:rsidTr="002A4F0C">
        <w:trPr>
          <w:cantSplit/>
        </w:trPr>
        <w:tc>
          <w:tcPr>
            <w:tcW w:w="1575" w:type="dxa"/>
            <w:shd w:val="clear" w:color="auto" w:fill="auto"/>
            <w:noWrap/>
            <w:vAlign w:val="center"/>
          </w:tcPr>
          <w:p w14:paraId="1F1AD07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69871</w:t>
            </w:r>
          </w:p>
        </w:tc>
        <w:tc>
          <w:tcPr>
            <w:tcW w:w="7938" w:type="dxa"/>
            <w:shd w:val="clear" w:color="auto" w:fill="auto"/>
            <w:vAlign w:val="bottom"/>
          </w:tcPr>
          <w:p w14:paraId="62BD4B76" w14:textId="77777777" w:rsidR="002A4F0C" w:rsidRPr="002A4F0C" w:rsidRDefault="002A4F0C" w:rsidP="002A4F0C">
            <w:pPr>
              <w:spacing w:line="240" w:lineRule="auto"/>
              <w:rPr>
                <w:rFonts w:ascii="Arial" w:hAnsi="Arial"/>
                <w:szCs w:val="22"/>
              </w:rPr>
            </w:pPr>
            <w:r w:rsidRPr="002A4F0C">
              <w:rPr>
                <w:rFonts w:ascii="Arial" w:hAnsi="Arial"/>
                <w:szCs w:val="22"/>
              </w:rPr>
              <w:t>Davis LE, Eisen SA, Murphy FM, et al (2004). Clinical and laboratory assessment of distal peripheral nerves in Gulf war veterans and spouses. Neurology, 63: 1070-7.</w:t>
            </w:r>
          </w:p>
        </w:tc>
      </w:tr>
      <w:tr w:rsidR="002A4F0C" w:rsidRPr="002A4F0C" w14:paraId="53298622" w14:textId="77777777" w:rsidTr="002A4F0C">
        <w:trPr>
          <w:cantSplit/>
        </w:trPr>
        <w:tc>
          <w:tcPr>
            <w:tcW w:w="1575" w:type="dxa"/>
            <w:shd w:val="clear" w:color="auto" w:fill="auto"/>
            <w:noWrap/>
            <w:vAlign w:val="center"/>
          </w:tcPr>
          <w:p w14:paraId="3BDE005D"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69872</w:t>
            </w:r>
          </w:p>
        </w:tc>
        <w:tc>
          <w:tcPr>
            <w:tcW w:w="7938" w:type="dxa"/>
            <w:shd w:val="clear" w:color="auto" w:fill="auto"/>
            <w:vAlign w:val="bottom"/>
          </w:tcPr>
          <w:p w14:paraId="4EC0BD43" w14:textId="77777777" w:rsidR="002A4F0C" w:rsidRPr="002A4F0C" w:rsidRDefault="002A4F0C" w:rsidP="002A4F0C">
            <w:pPr>
              <w:spacing w:line="240" w:lineRule="auto"/>
              <w:rPr>
                <w:rFonts w:ascii="Arial" w:hAnsi="Arial"/>
                <w:szCs w:val="22"/>
              </w:rPr>
            </w:pPr>
            <w:r w:rsidRPr="002A4F0C">
              <w:rPr>
                <w:rFonts w:ascii="Arial" w:hAnsi="Arial"/>
                <w:szCs w:val="22"/>
              </w:rPr>
              <w:t>Duffy FH, Burchfiel JL, Bartels PH, et al (1979). Long-term effects of an organophosphate upon the human electroencephalogram. Toxicol Appl Pharmacol, 47: 161-76.</w:t>
            </w:r>
          </w:p>
        </w:tc>
      </w:tr>
      <w:tr w:rsidR="002A4F0C" w:rsidRPr="002A4F0C" w14:paraId="3B2D7A84" w14:textId="77777777" w:rsidTr="002A4F0C">
        <w:trPr>
          <w:cantSplit/>
        </w:trPr>
        <w:tc>
          <w:tcPr>
            <w:tcW w:w="1575" w:type="dxa"/>
            <w:shd w:val="clear" w:color="auto" w:fill="auto"/>
            <w:noWrap/>
            <w:vAlign w:val="center"/>
          </w:tcPr>
          <w:p w14:paraId="7B0BBB89"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69875</w:t>
            </w:r>
          </w:p>
        </w:tc>
        <w:tc>
          <w:tcPr>
            <w:tcW w:w="7938" w:type="dxa"/>
            <w:shd w:val="clear" w:color="auto" w:fill="auto"/>
            <w:vAlign w:val="bottom"/>
          </w:tcPr>
          <w:p w14:paraId="0C267A46" w14:textId="77777777" w:rsidR="002A4F0C" w:rsidRPr="002A4F0C" w:rsidRDefault="002A4F0C" w:rsidP="002A4F0C">
            <w:pPr>
              <w:spacing w:line="240" w:lineRule="auto"/>
              <w:rPr>
                <w:rFonts w:ascii="Arial" w:hAnsi="Arial"/>
                <w:szCs w:val="22"/>
              </w:rPr>
            </w:pPr>
            <w:r w:rsidRPr="002A4F0C">
              <w:rPr>
                <w:rFonts w:ascii="Arial" w:hAnsi="Arial"/>
                <w:szCs w:val="22"/>
              </w:rPr>
              <w:t>Pizarro J, Silver RC, Prause J (2006). Physical and mental health costs of traumatic war experiences among Civil War veterans. Arch Gen Psychiatry, 63: 193-200.</w:t>
            </w:r>
          </w:p>
        </w:tc>
      </w:tr>
      <w:tr w:rsidR="002A4F0C" w:rsidRPr="002A4F0C" w14:paraId="602AF36B" w14:textId="77777777" w:rsidTr="002A4F0C">
        <w:trPr>
          <w:cantSplit/>
        </w:trPr>
        <w:tc>
          <w:tcPr>
            <w:tcW w:w="1575" w:type="dxa"/>
            <w:shd w:val="clear" w:color="auto" w:fill="auto"/>
            <w:noWrap/>
            <w:vAlign w:val="center"/>
          </w:tcPr>
          <w:p w14:paraId="5AC1DE70"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69876</w:t>
            </w:r>
          </w:p>
        </w:tc>
        <w:tc>
          <w:tcPr>
            <w:tcW w:w="7938" w:type="dxa"/>
            <w:shd w:val="clear" w:color="auto" w:fill="auto"/>
            <w:vAlign w:val="bottom"/>
          </w:tcPr>
          <w:p w14:paraId="5A7F4946" w14:textId="77777777" w:rsidR="002A4F0C" w:rsidRPr="002A4F0C" w:rsidRDefault="002A4F0C" w:rsidP="002A4F0C">
            <w:pPr>
              <w:spacing w:line="240" w:lineRule="auto"/>
              <w:rPr>
                <w:rFonts w:ascii="Arial" w:hAnsi="Arial"/>
                <w:szCs w:val="22"/>
              </w:rPr>
            </w:pPr>
            <w:r w:rsidRPr="002A4F0C">
              <w:rPr>
                <w:rFonts w:ascii="Arial" w:hAnsi="Arial"/>
                <w:szCs w:val="22"/>
              </w:rPr>
              <w:t>Okhuysen PC, Jiang ZD, Carlin L, et al (2004). Post-diarrhea chronic intestinal symptoms and irritable bowel syndrome in North American travelers to Mexico. Am J Gastroenterol, 99: 1774-8.</w:t>
            </w:r>
          </w:p>
        </w:tc>
      </w:tr>
      <w:tr w:rsidR="002A4F0C" w:rsidRPr="002A4F0C" w14:paraId="77153FC0" w14:textId="77777777" w:rsidTr="002A4F0C">
        <w:trPr>
          <w:cantSplit/>
        </w:trPr>
        <w:tc>
          <w:tcPr>
            <w:tcW w:w="1575" w:type="dxa"/>
            <w:shd w:val="clear" w:color="auto" w:fill="auto"/>
            <w:noWrap/>
            <w:vAlign w:val="center"/>
          </w:tcPr>
          <w:p w14:paraId="6AC94CC6" w14:textId="77777777" w:rsidR="002A4F0C" w:rsidRPr="002A4F0C" w:rsidRDefault="002A4F0C" w:rsidP="002A4F0C">
            <w:pPr>
              <w:spacing w:line="240" w:lineRule="auto"/>
              <w:jc w:val="center"/>
              <w:rPr>
                <w:rFonts w:ascii="Arial" w:hAnsi="Arial"/>
                <w:szCs w:val="22"/>
              </w:rPr>
            </w:pPr>
            <w:r w:rsidRPr="002A4F0C">
              <w:rPr>
                <w:rFonts w:ascii="Arial" w:hAnsi="Arial"/>
                <w:szCs w:val="22"/>
              </w:rPr>
              <w:t>69878</w:t>
            </w:r>
          </w:p>
        </w:tc>
        <w:tc>
          <w:tcPr>
            <w:tcW w:w="7938" w:type="dxa"/>
            <w:shd w:val="clear" w:color="auto" w:fill="auto"/>
            <w:vAlign w:val="bottom"/>
          </w:tcPr>
          <w:p w14:paraId="47934044" w14:textId="77777777" w:rsidR="002A4F0C" w:rsidRPr="002A4F0C" w:rsidRDefault="002A4F0C" w:rsidP="002A4F0C">
            <w:pPr>
              <w:spacing w:line="240" w:lineRule="auto"/>
              <w:rPr>
                <w:rFonts w:ascii="Arial" w:hAnsi="Arial"/>
                <w:szCs w:val="22"/>
              </w:rPr>
            </w:pPr>
            <w:r w:rsidRPr="002A4F0C">
              <w:rPr>
                <w:rFonts w:ascii="Arial" w:hAnsi="Arial"/>
                <w:szCs w:val="22"/>
              </w:rPr>
              <w:t>Nakajima T, Ohta S, Fukushima Y, et al (1999). Sequelae of sarin toxicity at one and three years after exposure in Matsumoto, Japan. J Epidemiol, 9: 337-43.</w:t>
            </w:r>
          </w:p>
        </w:tc>
      </w:tr>
      <w:tr w:rsidR="002A4F0C" w:rsidRPr="002A4F0C" w14:paraId="657DEADB" w14:textId="77777777" w:rsidTr="002A4F0C">
        <w:trPr>
          <w:cantSplit/>
        </w:trPr>
        <w:tc>
          <w:tcPr>
            <w:tcW w:w="1575" w:type="dxa"/>
            <w:shd w:val="clear" w:color="auto" w:fill="auto"/>
            <w:noWrap/>
            <w:vAlign w:val="center"/>
          </w:tcPr>
          <w:p w14:paraId="053B9ACB"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69916</w:t>
            </w:r>
          </w:p>
        </w:tc>
        <w:tc>
          <w:tcPr>
            <w:tcW w:w="7938" w:type="dxa"/>
            <w:shd w:val="clear" w:color="auto" w:fill="auto"/>
            <w:vAlign w:val="bottom"/>
          </w:tcPr>
          <w:p w14:paraId="5AAE22E7" w14:textId="77777777" w:rsidR="002A4F0C" w:rsidRPr="002A4F0C" w:rsidRDefault="002A4F0C" w:rsidP="002A4F0C">
            <w:pPr>
              <w:spacing w:line="240" w:lineRule="auto"/>
              <w:rPr>
                <w:rFonts w:ascii="Arial" w:hAnsi="Arial"/>
                <w:szCs w:val="22"/>
              </w:rPr>
            </w:pPr>
            <w:r w:rsidRPr="002A4F0C">
              <w:rPr>
                <w:rFonts w:ascii="Arial" w:hAnsi="Arial"/>
                <w:szCs w:val="22"/>
              </w:rPr>
              <w:t>Lippi G, Targher G, Franchini M (2010). Vaccination, squalene and anti-squalene antibodies: Facts or fiction. Eur J Int Med, 21(2): 70-73.</w:t>
            </w:r>
          </w:p>
        </w:tc>
      </w:tr>
      <w:tr w:rsidR="002A4F0C" w:rsidRPr="002A4F0C" w14:paraId="6944D850" w14:textId="77777777" w:rsidTr="002A4F0C">
        <w:trPr>
          <w:cantSplit/>
        </w:trPr>
        <w:tc>
          <w:tcPr>
            <w:tcW w:w="1575" w:type="dxa"/>
            <w:shd w:val="clear" w:color="auto" w:fill="auto"/>
            <w:noWrap/>
            <w:vAlign w:val="center"/>
          </w:tcPr>
          <w:p w14:paraId="2AA7C5D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69920</w:t>
            </w:r>
          </w:p>
        </w:tc>
        <w:tc>
          <w:tcPr>
            <w:tcW w:w="7938" w:type="dxa"/>
            <w:shd w:val="clear" w:color="auto" w:fill="auto"/>
            <w:vAlign w:val="bottom"/>
          </w:tcPr>
          <w:p w14:paraId="015D0992" w14:textId="77777777" w:rsidR="002A4F0C" w:rsidRPr="002A4F0C" w:rsidRDefault="002A4F0C" w:rsidP="002A4F0C">
            <w:pPr>
              <w:spacing w:line="240" w:lineRule="auto"/>
              <w:rPr>
                <w:rFonts w:ascii="Arial" w:hAnsi="Arial"/>
                <w:szCs w:val="22"/>
              </w:rPr>
            </w:pPr>
            <w:r w:rsidRPr="002A4F0C">
              <w:rPr>
                <w:rFonts w:ascii="Arial" w:hAnsi="Arial"/>
                <w:szCs w:val="22"/>
              </w:rPr>
              <w:t>Ryan MA, Smith TC, Sevick CJ, et al (2008). Birth defects among infants born to women who received anthrax vaccine in pregnancy. Am J Epidemiol, 168(4): 434-42.</w:t>
            </w:r>
          </w:p>
        </w:tc>
      </w:tr>
      <w:tr w:rsidR="002A4F0C" w:rsidRPr="002A4F0C" w14:paraId="73336425" w14:textId="77777777" w:rsidTr="002A4F0C">
        <w:trPr>
          <w:cantSplit/>
        </w:trPr>
        <w:tc>
          <w:tcPr>
            <w:tcW w:w="1575" w:type="dxa"/>
            <w:shd w:val="clear" w:color="auto" w:fill="auto"/>
            <w:noWrap/>
            <w:vAlign w:val="center"/>
          </w:tcPr>
          <w:p w14:paraId="112B70B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69921</w:t>
            </w:r>
          </w:p>
        </w:tc>
        <w:tc>
          <w:tcPr>
            <w:tcW w:w="7938" w:type="dxa"/>
            <w:shd w:val="clear" w:color="auto" w:fill="auto"/>
            <w:vAlign w:val="bottom"/>
          </w:tcPr>
          <w:p w14:paraId="4A8F36BA" w14:textId="77777777" w:rsidR="002A4F0C" w:rsidRPr="002A4F0C" w:rsidRDefault="002A4F0C" w:rsidP="002A4F0C">
            <w:pPr>
              <w:spacing w:line="240" w:lineRule="auto"/>
              <w:rPr>
                <w:rFonts w:ascii="Arial" w:hAnsi="Arial"/>
                <w:szCs w:val="22"/>
              </w:rPr>
            </w:pPr>
            <w:r w:rsidRPr="002A4F0C">
              <w:rPr>
                <w:rFonts w:ascii="Arial" w:hAnsi="Arial"/>
                <w:szCs w:val="22"/>
              </w:rPr>
              <w:t>Smith TC, Gray GC, Weir JC, et al (2003). Gulf War veterans and Iraqi nerve agents at Khamisiyah: postwar hospitalization data revisited. Am J Epidemiol, 158: 457-67.</w:t>
            </w:r>
          </w:p>
        </w:tc>
      </w:tr>
      <w:tr w:rsidR="002A4F0C" w:rsidRPr="002A4F0C" w14:paraId="5AB03B1F" w14:textId="77777777" w:rsidTr="002A4F0C">
        <w:trPr>
          <w:cantSplit/>
        </w:trPr>
        <w:tc>
          <w:tcPr>
            <w:tcW w:w="1575" w:type="dxa"/>
            <w:shd w:val="clear" w:color="auto" w:fill="auto"/>
            <w:noWrap/>
            <w:vAlign w:val="center"/>
          </w:tcPr>
          <w:p w14:paraId="1595D2D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69922</w:t>
            </w:r>
          </w:p>
        </w:tc>
        <w:tc>
          <w:tcPr>
            <w:tcW w:w="7938" w:type="dxa"/>
            <w:shd w:val="clear" w:color="auto" w:fill="auto"/>
            <w:vAlign w:val="bottom"/>
          </w:tcPr>
          <w:p w14:paraId="2FC604BB" w14:textId="77777777" w:rsidR="002A4F0C" w:rsidRPr="002A4F0C" w:rsidRDefault="002A4F0C" w:rsidP="002A4F0C">
            <w:pPr>
              <w:spacing w:line="240" w:lineRule="auto"/>
              <w:rPr>
                <w:rFonts w:ascii="Arial" w:hAnsi="Arial"/>
                <w:szCs w:val="22"/>
              </w:rPr>
            </w:pPr>
            <w:r w:rsidRPr="002A4F0C">
              <w:rPr>
                <w:rFonts w:ascii="Arial" w:hAnsi="Arial"/>
                <w:szCs w:val="22"/>
              </w:rPr>
              <w:t>Sostek MB, Jackson S, Linevsky JK, et al (1996). High prevalence of chronic gastrointestinal symptoms in a National Guard Unit of Persian Gulf veterans. Am J Gastroenterol, 91(12): 2494-7.</w:t>
            </w:r>
          </w:p>
        </w:tc>
      </w:tr>
      <w:tr w:rsidR="002A4F0C" w:rsidRPr="002A4F0C" w14:paraId="74307BC1" w14:textId="77777777" w:rsidTr="002A4F0C">
        <w:trPr>
          <w:cantSplit/>
        </w:trPr>
        <w:tc>
          <w:tcPr>
            <w:tcW w:w="1575" w:type="dxa"/>
            <w:shd w:val="clear" w:color="auto" w:fill="auto"/>
            <w:noWrap/>
            <w:vAlign w:val="center"/>
          </w:tcPr>
          <w:p w14:paraId="35D8EF27"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69923</w:t>
            </w:r>
          </w:p>
        </w:tc>
        <w:tc>
          <w:tcPr>
            <w:tcW w:w="7938" w:type="dxa"/>
            <w:shd w:val="clear" w:color="auto" w:fill="auto"/>
            <w:vAlign w:val="bottom"/>
          </w:tcPr>
          <w:p w14:paraId="5E5B6B4E" w14:textId="77777777" w:rsidR="002A4F0C" w:rsidRPr="002A4F0C" w:rsidRDefault="002A4F0C" w:rsidP="002A4F0C">
            <w:pPr>
              <w:spacing w:line="240" w:lineRule="auto"/>
              <w:rPr>
                <w:rFonts w:ascii="Arial" w:hAnsi="Arial"/>
                <w:szCs w:val="22"/>
              </w:rPr>
            </w:pPr>
            <w:r w:rsidRPr="002A4F0C">
              <w:rPr>
                <w:rFonts w:ascii="Arial" w:hAnsi="Arial"/>
                <w:szCs w:val="22"/>
              </w:rPr>
              <w:t>Specht CS, Lewin-Smith MR, Kalasinsky VF, et al (2000). The surgical pathology and cytopathology of US Persian Gulf War military veterans. Arch Path Lab Med, 124: 1299-301.</w:t>
            </w:r>
          </w:p>
        </w:tc>
      </w:tr>
      <w:tr w:rsidR="002A4F0C" w:rsidRPr="002A4F0C" w14:paraId="6B54E382" w14:textId="77777777" w:rsidTr="002A4F0C">
        <w:trPr>
          <w:cantSplit/>
        </w:trPr>
        <w:tc>
          <w:tcPr>
            <w:tcW w:w="1575" w:type="dxa"/>
            <w:shd w:val="clear" w:color="auto" w:fill="auto"/>
            <w:noWrap/>
            <w:vAlign w:val="center"/>
          </w:tcPr>
          <w:p w14:paraId="030894F3"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69924</w:t>
            </w:r>
          </w:p>
        </w:tc>
        <w:tc>
          <w:tcPr>
            <w:tcW w:w="7938" w:type="dxa"/>
            <w:shd w:val="clear" w:color="auto" w:fill="auto"/>
            <w:vAlign w:val="bottom"/>
          </w:tcPr>
          <w:p w14:paraId="7B46EF3D" w14:textId="77777777" w:rsidR="002A4F0C" w:rsidRPr="002A4F0C" w:rsidRDefault="002A4F0C" w:rsidP="002A4F0C">
            <w:pPr>
              <w:spacing w:line="240" w:lineRule="auto"/>
              <w:rPr>
                <w:rFonts w:ascii="Arial" w:hAnsi="Arial"/>
                <w:szCs w:val="22"/>
              </w:rPr>
            </w:pPr>
            <w:r w:rsidRPr="002A4F0C">
              <w:rPr>
                <w:rFonts w:ascii="Arial" w:hAnsi="Arial"/>
                <w:szCs w:val="22"/>
              </w:rPr>
              <w:t>Squibb KS, McDiarmid MA (2006). Depleted uranium exposure and health effects in Gulf War veterans. Phil Trans R Soc B, 361: 639-48.</w:t>
            </w:r>
          </w:p>
        </w:tc>
      </w:tr>
      <w:tr w:rsidR="002A4F0C" w:rsidRPr="002A4F0C" w14:paraId="5078F8E1" w14:textId="77777777" w:rsidTr="002A4F0C">
        <w:trPr>
          <w:cantSplit/>
        </w:trPr>
        <w:tc>
          <w:tcPr>
            <w:tcW w:w="1575" w:type="dxa"/>
            <w:shd w:val="clear" w:color="auto" w:fill="auto"/>
            <w:noWrap/>
            <w:vAlign w:val="center"/>
          </w:tcPr>
          <w:p w14:paraId="32A8D5C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69925</w:t>
            </w:r>
          </w:p>
        </w:tc>
        <w:tc>
          <w:tcPr>
            <w:tcW w:w="7938" w:type="dxa"/>
            <w:shd w:val="clear" w:color="auto" w:fill="auto"/>
            <w:vAlign w:val="bottom"/>
          </w:tcPr>
          <w:p w14:paraId="121F291D" w14:textId="77777777" w:rsidR="002A4F0C" w:rsidRPr="002A4F0C" w:rsidRDefault="002A4F0C" w:rsidP="002A4F0C">
            <w:pPr>
              <w:spacing w:line="240" w:lineRule="auto"/>
              <w:rPr>
                <w:rFonts w:ascii="Arial" w:hAnsi="Arial"/>
                <w:szCs w:val="22"/>
              </w:rPr>
            </w:pPr>
            <w:r w:rsidRPr="002A4F0C">
              <w:rPr>
                <w:rFonts w:ascii="Arial" w:hAnsi="Arial"/>
                <w:szCs w:val="22"/>
              </w:rPr>
              <w:t>Storm HH, Jorgensen HO, Kejs AM, et al (2006). Depleted uranium and cancer in Danish Balkan veterans deployed 1992-2001. Eur J Cancer, 42: 2355-8.</w:t>
            </w:r>
          </w:p>
        </w:tc>
      </w:tr>
      <w:tr w:rsidR="002A4F0C" w:rsidRPr="002A4F0C" w14:paraId="089A2DF4" w14:textId="77777777" w:rsidTr="002A4F0C">
        <w:trPr>
          <w:cantSplit/>
        </w:trPr>
        <w:tc>
          <w:tcPr>
            <w:tcW w:w="1575" w:type="dxa"/>
            <w:shd w:val="clear" w:color="auto" w:fill="auto"/>
            <w:noWrap/>
            <w:vAlign w:val="center"/>
          </w:tcPr>
          <w:p w14:paraId="4BF0A42F"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69926</w:t>
            </w:r>
          </w:p>
        </w:tc>
        <w:tc>
          <w:tcPr>
            <w:tcW w:w="7938" w:type="dxa"/>
            <w:shd w:val="clear" w:color="auto" w:fill="auto"/>
            <w:vAlign w:val="bottom"/>
          </w:tcPr>
          <w:p w14:paraId="69D76DBF" w14:textId="77777777" w:rsidR="002A4F0C" w:rsidRPr="002A4F0C" w:rsidRDefault="002A4F0C" w:rsidP="002A4F0C">
            <w:pPr>
              <w:spacing w:line="240" w:lineRule="auto"/>
              <w:rPr>
                <w:rFonts w:ascii="Arial" w:hAnsi="Arial"/>
                <w:szCs w:val="22"/>
              </w:rPr>
            </w:pPr>
            <w:r w:rsidRPr="002A4F0C">
              <w:rPr>
                <w:rFonts w:ascii="Arial" w:hAnsi="Arial"/>
                <w:szCs w:val="22"/>
              </w:rPr>
              <w:t>Vasterling JJ, Schumm J, Proctor SP, et al (2008). Posttraumatic stress disorder and health functioning in a non-treatment-seeking sample of Iraq war veterans: a prospective analysis. J Rehabil Res Dev, 45(3): 347-58.</w:t>
            </w:r>
          </w:p>
        </w:tc>
      </w:tr>
      <w:tr w:rsidR="002A4F0C" w:rsidRPr="002A4F0C" w14:paraId="6186D1C1" w14:textId="77777777" w:rsidTr="002A4F0C">
        <w:trPr>
          <w:cantSplit/>
        </w:trPr>
        <w:tc>
          <w:tcPr>
            <w:tcW w:w="1575" w:type="dxa"/>
            <w:shd w:val="clear" w:color="auto" w:fill="auto"/>
            <w:noWrap/>
            <w:vAlign w:val="center"/>
          </w:tcPr>
          <w:p w14:paraId="1DE19CE5"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69967</w:t>
            </w:r>
          </w:p>
        </w:tc>
        <w:tc>
          <w:tcPr>
            <w:tcW w:w="7938" w:type="dxa"/>
            <w:shd w:val="clear" w:color="auto" w:fill="auto"/>
            <w:vAlign w:val="bottom"/>
          </w:tcPr>
          <w:p w14:paraId="734CB9F5" w14:textId="77777777" w:rsidR="002A4F0C" w:rsidRPr="002A4F0C" w:rsidRDefault="002A4F0C" w:rsidP="002A4F0C">
            <w:pPr>
              <w:spacing w:line="240" w:lineRule="auto"/>
              <w:rPr>
                <w:rFonts w:ascii="Arial" w:hAnsi="Arial"/>
                <w:szCs w:val="22"/>
              </w:rPr>
            </w:pPr>
            <w:r w:rsidRPr="002A4F0C">
              <w:rPr>
                <w:rFonts w:ascii="Arial" w:hAnsi="Arial"/>
                <w:szCs w:val="22"/>
              </w:rPr>
              <w:t>Yokoyama K, Araki S, Murata K, et al (1998). Chronic neurobehavioral and central and autonomic nervous system effects of Tokyo subway sarin poisoning. J Physiol, 92: 317-23.</w:t>
            </w:r>
          </w:p>
        </w:tc>
      </w:tr>
      <w:tr w:rsidR="002A4F0C" w:rsidRPr="002A4F0C" w14:paraId="225A7CD8" w14:textId="77777777" w:rsidTr="002A4F0C">
        <w:trPr>
          <w:cantSplit/>
        </w:trPr>
        <w:tc>
          <w:tcPr>
            <w:tcW w:w="1575" w:type="dxa"/>
            <w:shd w:val="clear" w:color="auto" w:fill="auto"/>
            <w:noWrap/>
            <w:vAlign w:val="center"/>
          </w:tcPr>
          <w:p w14:paraId="0C29CCBB" w14:textId="77777777" w:rsidR="002A4F0C" w:rsidRPr="002A4F0C" w:rsidRDefault="002A4F0C" w:rsidP="002A4F0C">
            <w:pPr>
              <w:spacing w:line="240" w:lineRule="auto"/>
              <w:jc w:val="center"/>
              <w:rPr>
                <w:rFonts w:ascii="Arial" w:hAnsi="Arial"/>
                <w:szCs w:val="22"/>
              </w:rPr>
            </w:pPr>
            <w:r w:rsidRPr="002A4F0C">
              <w:rPr>
                <w:rFonts w:ascii="Arial" w:hAnsi="Arial"/>
                <w:szCs w:val="22"/>
              </w:rPr>
              <w:t>69968</w:t>
            </w:r>
          </w:p>
        </w:tc>
        <w:tc>
          <w:tcPr>
            <w:tcW w:w="7938" w:type="dxa"/>
            <w:shd w:val="clear" w:color="auto" w:fill="auto"/>
            <w:vAlign w:val="bottom"/>
          </w:tcPr>
          <w:p w14:paraId="3A9FDFD3" w14:textId="77777777" w:rsidR="002A4F0C" w:rsidRPr="002A4F0C" w:rsidRDefault="002A4F0C" w:rsidP="002A4F0C">
            <w:pPr>
              <w:spacing w:line="240" w:lineRule="auto"/>
              <w:rPr>
                <w:rFonts w:ascii="Arial" w:hAnsi="Arial"/>
                <w:szCs w:val="22"/>
              </w:rPr>
            </w:pPr>
            <w:r w:rsidRPr="002A4F0C">
              <w:rPr>
                <w:rFonts w:ascii="Arial" w:hAnsi="Arial"/>
                <w:szCs w:val="22"/>
              </w:rPr>
              <w:t>Yokoyama K, Araki S, Nishikitani M, et al (2002). Computerized posturography with sway frequency analysis: application in occupational and environmental health. Ind Health, 40: 14-22.</w:t>
            </w:r>
          </w:p>
        </w:tc>
      </w:tr>
      <w:tr w:rsidR="002A4F0C" w:rsidRPr="002A4F0C" w14:paraId="1EA3B8B7" w14:textId="77777777" w:rsidTr="002A4F0C">
        <w:trPr>
          <w:cantSplit/>
        </w:trPr>
        <w:tc>
          <w:tcPr>
            <w:tcW w:w="1575" w:type="dxa"/>
            <w:shd w:val="clear" w:color="auto" w:fill="auto"/>
            <w:noWrap/>
            <w:vAlign w:val="center"/>
          </w:tcPr>
          <w:p w14:paraId="0474201F" w14:textId="77777777" w:rsidR="002A4F0C" w:rsidRPr="002A4F0C" w:rsidRDefault="002A4F0C" w:rsidP="002A4F0C">
            <w:pPr>
              <w:spacing w:line="240" w:lineRule="auto"/>
              <w:jc w:val="center"/>
              <w:rPr>
                <w:rFonts w:ascii="Arial" w:hAnsi="Arial"/>
                <w:szCs w:val="22"/>
              </w:rPr>
            </w:pPr>
            <w:r w:rsidRPr="002A4F0C">
              <w:rPr>
                <w:rFonts w:ascii="Arial" w:hAnsi="Arial"/>
                <w:szCs w:val="22"/>
              </w:rPr>
              <w:t>70426</w:t>
            </w:r>
          </w:p>
        </w:tc>
        <w:tc>
          <w:tcPr>
            <w:tcW w:w="7938" w:type="dxa"/>
            <w:shd w:val="clear" w:color="auto" w:fill="auto"/>
            <w:vAlign w:val="bottom"/>
          </w:tcPr>
          <w:p w14:paraId="7600FAD5" w14:textId="77777777" w:rsidR="002A4F0C" w:rsidRPr="002A4F0C" w:rsidRDefault="002A4F0C" w:rsidP="002A4F0C">
            <w:pPr>
              <w:spacing w:line="240" w:lineRule="auto"/>
              <w:rPr>
                <w:rFonts w:ascii="Arial" w:hAnsi="Arial"/>
                <w:szCs w:val="22"/>
              </w:rPr>
            </w:pPr>
            <w:r w:rsidRPr="002A4F0C">
              <w:rPr>
                <w:rFonts w:ascii="Arial" w:hAnsi="Arial"/>
                <w:szCs w:val="22"/>
              </w:rPr>
              <w:t>Bakhmutsky MV, Squibb K, McDiarmid M, et al (2013). Long-term exposure to depleted uranium in Gulf-War veterans does not induce chromosome aberrations in peripheral blood lymphocytes. Mutat Res, 757(2): 132-9.</w:t>
            </w:r>
          </w:p>
        </w:tc>
      </w:tr>
      <w:tr w:rsidR="002A4F0C" w:rsidRPr="002A4F0C" w14:paraId="1F77CE1D" w14:textId="77777777" w:rsidTr="002A4F0C">
        <w:trPr>
          <w:cantSplit/>
        </w:trPr>
        <w:tc>
          <w:tcPr>
            <w:tcW w:w="1575" w:type="dxa"/>
            <w:shd w:val="clear" w:color="auto" w:fill="auto"/>
            <w:noWrap/>
            <w:vAlign w:val="center"/>
          </w:tcPr>
          <w:p w14:paraId="09F1F75C" w14:textId="77777777" w:rsidR="002A4F0C" w:rsidRPr="002A4F0C" w:rsidRDefault="002A4F0C" w:rsidP="002A4F0C">
            <w:pPr>
              <w:spacing w:line="240" w:lineRule="auto"/>
              <w:jc w:val="center"/>
              <w:rPr>
                <w:rFonts w:ascii="Arial" w:hAnsi="Arial"/>
                <w:szCs w:val="22"/>
              </w:rPr>
            </w:pPr>
            <w:r w:rsidRPr="002A4F0C">
              <w:rPr>
                <w:rFonts w:ascii="Arial" w:hAnsi="Arial"/>
                <w:szCs w:val="22"/>
              </w:rPr>
              <w:t>70433</w:t>
            </w:r>
          </w:p>
        </w:tc>
        <w:tc>
          <w:tcPr>
            <w:tcW w:w="7938" w:type="dxa"/>
            <w:shd w:val="clear" w:color="auto" w:fill="auto"/>
            <w:vAlign w:val="bottom"/>
          </w:tcPr>
          <w:p w14:paraId="22AB44B6" w14:textId="77777777" w:rsidR="002A4F0C" w:rsidRPr="002A4F0C" w:rsidRDefault="002A4F0C" w:rsidP="002A4F0C">
            <w:pPr>
              <w:spacing w:line="240" w:lineRule="auto"/>
              <w:rPr>
                <w:rFonts w:ascii="Arial" w:hAnsi="Arial"/>
                <w:szCs w:val="22"/>
              </w:rPr>
            </w:pPr>
            <w:r w:rsidRPr="002A4F0C">
              <w:rPr>
                <w:rFonts w:ascii="Arial" w:hAnsi="Arial"/>
                <w:szCs w:val="22"/>
              </w:rPr>
              <w:t>Chang JC (2013). Comments on a recent article on meteorological and intelligence evidence of long-distance transit of chemical weapons fallout from bombing early in the 1991 Persian Gulf War. Neuro Epidemiol, 41: 183-4.</w:t>
            </w:r>
          </w:p>
        </w:tc>
      </w:tr>
      <w:tr w:rsidR="002A4F0C" w:rsidRPr="002A4F0C" w14:paraId="3ECA5792" w14:textId="77777777" w:rsidTr="002A4F0C">
        <w:trPr>
          <w:cantSplit/>
        </w:trPr>
        <w:tc>
          <w:tcPr>
            <w:tcW w:w="1575" w:type="dxa"/>
            <w:shd w:val="clear" w:color="auto" w:fill="auto"/>
            <w:noWrap/>
            <w:vAlign w:val="center"/>
          </w:tcPr>
          <w:p w14:paraId="522AF9C3" w14:textId="77777777" w:rsidR="002A4F0C" w:rsidRPr="002A4F0C" w:rsidRDefault="002A4F0C" w:rsidP="002A4F0C">
            <w:pPr>
              <w:spacing w:line="240" w:lineRule="auto"/>
              <w:jc w:val="center"/>
              <w:rPr>
                <w:rFonts w:ascii="Arial" w:hAnsi="Arial"/>
                <w:szCs w:val="22"/>
              </w:rPr>
            </w:pPr>
            <w:r w:rsidRPr="002A4F0C">
              <w:rPr>
                <w:rFonts w:ascii="Arial" w:hAnsi="Arial"/>
                <w:szCs w:val="22"/>
              </w:rPr>
              <w:t>70434</w:t>
            </w:r>
          </w:p>
        </w:tc>
        <w:tc>
          <w:tcPr>
            <w:tcW w:w="7938" w:type="dxa"/>
            <w:shd w:val="clear" w:color="auto" w:fill="auto"/>
            <w:vAlign w:val="bottom"/>
          </w:tcPr>
          <w:p w14:paraId="55BC95C4" w14:textId="77777777" w:rsidR="002A4F0C" w:rsidRPr="002A4F0C" w:rsidRDefault="002A4F0C" w:rsidP="002A4F0C">
            <w:pPr>
              <w:spacing w:line="240" w:lineRule="auto"/>
              <w:rPr>
                <w:rFonts w:ascii="Arial" w:hAnsi="Arial"/>
                <w:szCs w:val="22"/>
              </w:rPr>
            </w:pPr>
            <w:r w:rsidRPr="002A4F0C">
              <w:rPr>
                <w:rFonts w:ascii="Arial" w:hAnsi="Arial"/>
                <w:szCs w:val="22"/>
              </w:rPr>
              <w:t>Rayhan RU, Ravindran MK, Baraniuk J (2013). Migraine in gulf war illness and chronic fatigue syndrome: prevalence, potential mechanisms, and evaluation. Frontiers in Physiology, 4: 181.</w:t>
            </w:r>
          </w:p>
        </w:tc>
      </w:tr>
      <w:tr w:rsidR="002A4F0C" w:rsidRPr="002A4F0C" w14:paraId="74B43F1F" w14:textId="77777777" w:rsidTr="002A4F0C">
        <w:trPr>
          <w:cantSplit/>
        </w:trPr>
        <w:tc>
          <w:tcPr>
            <w:tcW w:w="1575" w:type="dxa"/>
            <w:shd w:val="clear" w:color="auto" w:fill="auto"/>
            <w:noWrap/>
            <w:vAlign w:val="center"/>
          </w:tcPr>
          <w:p w14:paraId="738E4DEF" w14:textId="77777777" w:rsidR="002A4F0C" w:rsidRPr="002A4F0C" w:rsidRDefault="002A4F0C" w:rsidP="002A4F0C">
            <w:pPr>
              <w:spacing w:line="240" w:lineRule="auto"/>
              <w:jc w:val="center"/>
              <w:rPr>
                <w:rFonts w:ascii="Arial" w:hAnsi="Arial"/>
                <w:szCs w:val="22"/>
              </w:rPr>
            </w:pPr>
            <w:r w:rsidRPr="002A4F0C">
              <w:rPr>
                <w:rFonts w:ascii="Arial" w:hAnsi="Arial"/>
                <w:szCs w:val="22"/>
              </w:rPr>
              <w:t>70435</w:t>
            </w:r>
          </w:p>
        </w:tc>
        <w:tc>
          <w:tcPr>
            <w:tcW w:w="7938" w:type="dxa"/>
            <w:shd w:val="clear" w:color="auto" w:fill="auto"/>
            <w:vAlign w:val="bottom"/>
          </w:tcPr>
          <w:p w14:paraId="3550B81F" w14:textId="77777777" w:rsidR="002A4F0C" w:rsidRPr="002A4F0C" w:rsidRDefault="002A4F0C" w:rsidP="002A4F0C">
            <w:pPr>
              <w:spacing w:line="240" w:lineRule="auto"/>
              <w:rPr>
                <w:rFonts w:ascii="Arial" w:hAnsi="Arial"/>
                <w:szCs w:val="22"/>
              </w:rPr>
            </w:pPr>
            <w:r w:rsidRPr="002A4F0C">
              <w:rPr>
                <w:rFonts w:ascii="Arial" w:hAnsi="Arial"/>
                <w:szCs w:val="22"/>
              </w:rPr>
              <w:t>Rayhan RU, Stevens BW, Raksit MP, et al (2013). Exercise challenge in gulf war illness reveals two subgroups with altered brain structure and function. PLoS One, 8(6): Epub e63903.</w:t>
            </w:r>
          </w:p>
        </w:tc>
      </w:tr>
      <w:tr w:rsidR="002A4F0C" w:rsidRPr="002A4F0C" w14:paraId="64CEBDF6" w14:textId="77777777" w:rsidTr="002A4F0C">
        <w:trPr>
          <w:cantSplit/>
        </w:trPr>
        <w:tc>
          <w:tcPr>
            <w:tcW w:w="1575" w:type="dxa"/>
            <w:shd w:val="clear" w:color="auto" w:fill="auto"/>
            <w:noWrap/>
            <w:vAlign w:val="center"/>
          </w:tcPr>
          <w:p w14:paraId="41E67B80" w14:textId="77777777" w:rsidR="002A4F0C" w:rsidRPr="002A4F0C" w:rsidRDefault="002A4F0C" w:rsidP="002A4F0C">
            <w:pPr>
              <w:spacing w:line="240" w:lineRule="auto"/>
              <w:jc w:val="center"/>
              <w:rPr>
                <w:rFonts w:ascii="Arial" w:hAnsi="Arial"/>
                <w:szCs w:val="22"/>
              </w:rPr>
            </w:pPr>
            <w:r w:rsidRPr="002A4F0C">
              <w:rPr>
                <w:rFonts w:ascii="Arial" w:hAnsi="Arial"/>
                <w:szCs w:val="22"/>
              </w:rPr>
              <w:t>70436</w:t>
            </w:r>
          </w:p>
        </w:tc>
        <w:tc>
          <w:tcPr>
            <w:tcW w:w="7938" w:type="dxa"/>
            <w:shd w:val="clear" w:color="auto" w:fill="auto"/>
            <w:vAlign w:val="bottom"/>
          </w:tcPr>
          <w:p w14:paraId="421CC56D" w14:textId="77777777" w:rsidR="002A4F0C" w:rsidRPr="002A4F0C" w:rsidRDefault="002A4F0C" w:rsidP="002A4F0C">
            <w:pPr>
              <w:spacing w:line="240" w:lineRule="auto"/>
              <w:rPr>
                <w:rFonts w:ascii="Arial" w:hAnsi="Arial"/>
                <w:szCs w:val="22"/>
              </w:rPr>
            </w:pPr>
            <w:r w:rsidRPr="002A4F0C">
              <w:rPr>
                <w:rFonts w:ascii="Arial" w:hAnsi="Arial"/>
                <w:szCs w:val="22"/>
              </w:rPr>
              <w:t>Ojo JO, Abdullah L, Evans J, et al (2013). Exposure to an organophosphate pesticide, individually or in combination with other Gulf War agents, impairs synaptic integrity and neuronal differentiation, and is accompanied by subtle microvascular injury in a mouse model of Gulf War agent exposure. Japanese Society of Neuropathy, : Epub ahead of print.</w:t>
            </w:r>
          </w:p>
        </w:tc>
      </w:tr>
      <w:tr w:rsidR="002A4F0C" w:rsidRPr="002A4F0C" w14:paraId="44082719" w14:textId="77777777" w:rsidTr="002A4F0C">
        <w:trPr>
          <w:cantSplit/>
        </w:trPr>
        <w:tc>
          <w:tcPr>
            <w:tcW w:w="1575" w:type="dxa"/>
            <w:shd w:val="clear" w:color="auto" w:fill="auto"/>
            <w:noWrap/>
            <w:vAlign w:val="center"/>
          </w:tcPr>
          <w:p w14:paraId="6A5A7EA0" w14:textId="77777777" w:rsidR="002A4F0C" w:rsidRPr="002A4F0C" w:rsidRDefault="002A4F0C" w:rsidP="002A4F0C">
            <w:pPr>
              <w:spacing w:line="240" w:lineRule="auto"/>
              <w:jc w:val="center"/>
              <w:rPr>
                <w:rFonts w:ascii="Arial" w:hAnsi="Arial"/>
                <w:szCs w:val="22"/>
              </w:rPr>
            </w:pPr>
            <w:r w:rsidRPr="002A4F0C">
              <w:rPr>
                <w:rFonts w:ascii="Arial" w:hAnsi="Arial"/>
                <w:szCs w:val="22"/>
              </w:rPr>
              <w:t>70437</w:t>
            </w:r>
          </w:p>
        </w:tc>
        <w:tc>
          <w:tcPr>
            <w:tcW w:w="7938" w:type="dxa"/>
            <w:shd w:val="clear" w:color="auto" w:fill="auto"/>
            <w:vAlign w:val="bottom"/>
          </w:tcPr>
          <w:p w14:paraId="2CB8AE6C" w14:textId="77777777" w:rsidR="002A4F0C" w:rsidRPr="002A4F0C" w:rsidRDefault="002A4F0C" w:rsidP="002A4F0C">
            <w:pPr>
              <w:spacing w:line="240" w:lineRule="auto"/>
              <w:rPr>
                <w:rFonts w:ascii="Arial" w:hAnsi="Arial"/>
                <w:szCs w:val="22"/>
              </w:rPr>
            </w:pPr>
            <w:r w:rsidRPr="002A4F0C">
              <w:rPr>
                <w:rFonts w:ascii="Arial" w:hAnsi="Arial"/>
                <w:szCs w:val="22"/>
              </w:rPr>
              <w:t>Hines SE, Gucer P, Kligerman S, et al (2013). Pulmonary health effects in Gulf War I service members exposed to depleted uranium. JOEM, 55(8): 937-944.</w:t>
            </w:r>
          </w:p>
        </w:tc>
      </w:tr>
      <w:tr w:rsidR="002A4F0C" w:rsidRPr="002A4F0C" w14:paraId="5CE20E16" w14:textId="77777777" w:rsidTr="002A4F0C">
        <w:trPr>
          <w:cantSplit/>
        </w:trPr>
        <w:tc>
          <w:tcPr>
            <w:tcW w:w="1575" w:type="dxa"/>
            <w:shd w:val="clear" w:color="auto" w:fill="auto"/>
            <w:noWrap/>
            <w:vAlign w:val="center"/>
          </w:tcPr>
          <w:p w14:paraId="07D0B6F6" w14:textId="77777777" w:rsidR="002A4F0C" w:rsidRPr="002A4F0C" w:rsidRDefault="002A4F0C" w:rsidP="002A4F0C">
            <w:pPr>
              <w:spacing w:line="240" w:lineRule="auto"/>
              <w:jc w:val="center"/>
              <w:rPr>
                <w:rFonts w:ascii="Arial" w:hAnsi="Arial"/>
                <w:szCs w:val="22"/>
              </w:rPr>
            </w:pPr>
            <w:r w:rsidRPr="002A4F0C">
              <w:rPr>
                <w:rFonts w:ascii="Arial" w:hAnsi="Arial"/>
                <w:szCs w:val="22"/>
              </w:rPr>
              <w:t>70438</w:t>
            </w:r>
          </w:p>
        </w:tc>
        <w:tc>
          <w:tcPr>
            <w:tcW w:w="7938" w:type="dxa"/>
            <w:shd w:val="clear" w:color="auto" w:fill="auto"/>
            <w:vAlign w:val="bottom"/>
          </w:tcPr>
          <w:p w14:paraId="6D07BCC7" w14:textId="77777777" w:rsidR="002A4F0C" w:rsidRPr="002A4F0C" w:rsidRDefault="002A4F0C" w:rsidP="002A4F0C">
            <w:pPr>
              <w:spacing w:line="240" w:lineRule="auto"/>
              <w:rPr>
                <w:rFonts w:ascii="Arial" w:hAnsi="Arial"/>
                <w:szCs w:val="22"/>
              </w:rPr>
            </w:pPr>
            <w:r w:rsidRPr="002A4F0C">
              <w:rPr>
                <w:rFonts w:ascii="Arial" w:hAnsi="Arial"/>
                <w:szCs w:val="22"/>
              </w:rPr>
              <w:t>Johnson GJ, Leis LA, Slater BC, et al (2013). Elevated platelet count, C-reactive protein and thromboxane analog-induced platelet aggregation in patients with Gulf War veterans’ illnesses: evidence of a chronic inflammatory state? Blood Coagul Fibrinolysis, 24: 736-41.</w:t>
            </w:r>
          </w:p>
        </w:tc>
      </w:tr>
      <w:tr w:rsidR="002A4F0C" w:rsidRPr="002A4F0C" w14:paraId="12CF6FAE" w14:textId="77777777" w:rsidTr="002A4F0C">
        <w:trPr>
          <w:cantSplit/>
        </w:trPr>
        <w:tc>
          <w:tcPr>
            <w:tcW w:w="1575" w:type="dxa"/>
            <w:shd w:val="clear" w:color="auto" w:fill="auto"/>
            <w:noWrap/>
            <w:vAlign w:val="center"/>
          </w:tcPr>
          <w:p w14:paraId="67433C21" w14:textId="77777777" w:rsidR="002A4F0C" w:rsidRPr="002A4F0C" w:rsidRDefault="002A4F0C" w:rsidP="002A4F0C">
            <w:pPr>
              <w:spacing w:line="240" w:lineRule="auto"/>
              <w:jc w:val="center"/>
              <w:rPr>
                <w:rFonts w:ascii="Arial" w:hAnsi="Arial"/>
                <w:szCs w:val="22"/>
              </w:rPr>
            </w:pPr>
            <w:r w:rsidRPr="002A4F0C">
              <w:rPr>
                <w:rFonts w:ascii="Arial" w:hAnsi="Arial"/>
                <w:szCs w:val="22"/>
              </w:rPr>
              <w:t>70439</w:t>
            </w:r>
          </w:p>
        </w:tc>
        <w:tc>
          <w:tcPr>
            <w:tcW w:w="7938" w:type="dxa"/>
            <w:shd w:val="clear" w:color="auto" w:fill="auto"/>
            <w:vAlign w:val="bottom"/>
          </w:tcPr>
          <w:p w14:paraId="1966AB89" w14:textId="77777777" w:rsidR="002A4F0C" w:rsidRPr="002A4F0C" w:rsidRDefault="002A4F0C" w:rsidP="002A4F0C">
            <w:pPr>
              <w:spacing w:line="240" w:lineRule="auto"/>
              <w:rPr>
                <w:rFonts w:ascii="Arial" w:hAnsi="Arial"/>
                <w:szCs w:val="22"/>
              </w:rPr>
            </w:pPr>
            <w:r w:rsidRPr="002A4F0C">
              <w:rPr>
                <w:rFonts w:ascii="Arial" w:hAnsi="Arial"/>
                <w:szCs w:val="22"/>
              </w:rPr>
              <w:t>Nutter TJ, Cooper BY (2013). Persistent Na+ and K+ channel dysfunctions after chronic exposure to insecticides and pyridostigmine bromide. NeuroToxicol, 39: 72-83.</w:t>
            </w:r>
          </w:p>
        </w:tc>
      </w:tr>
      <w:tr w:rsidR="002A4F0C" w:rsidRPr="002A4F0C" w14:paraId="37E9D0D3" w14:textId="77777777" w:rsidTr="002A4F0C">
        <w:trPr>
          <w:cantSplit/>
        </w:trPr>
        <w:tc>
          <w:tcPr>
            <w:tcW w:w="1575" w:type="dxa"/>
            <w:shd w:val="clear" w:color="auto" w:fill="auto"/>
            <w:noWrap/>
            <w:vAlign w:val="center"/>
          </w:tcPr>
          <w:p w14:paraId="3AFC0F92" w14:textId="77777777" w:rsidR="002A4F0C" w:rsidRPr="002A4F0C" w:rsidRDefault="002A4F0C" w:rsidP="002A4F0C">
            <w:pPr>
              <w:spacing w:line="240" w:lineRule="auto"/>
              <w:jc w:val="center"/>
              <w:rPr>
                <w:rFonts w:ascii="Arial" w:hAnsi="Arial"/>
                <w:szCs w:val="22"/>
              </w:rPr>
            </w:pPr>
            <w:r w:rsidRPr="002A4F0C">
              <w:rPr>
                <w:rFonts w:ascii="Arial" w:hAnsi="Arial"/>
                <w:szCs w:val="22"/>
              </w:rPr>
              <w:t>70440</w:t>
            </w:r>
          </w:p>
        </w:tc>
        <w:tc>
          <w:tcPr>
            <w:tcW w:w="7938" w:type="dxa"/>
            <w:shd w:val="clear" w:color="auto" w:fill="auto"/>
            <w:vAlign w:val="bottom"/>
          </w:tcPr>
          <w:p w14:paraId="72EE3811" w14:textId="77777777" w:rsidR="002A4F0C" w:rsidRPr="002A4F0C" w:rsidRDefault="002A4F0C" w:rsidP="002A4F0C">
            <w:pPr>
              <w:spacing w:line="240" w:lineRule="auto"/>
              <w:rPr>
                <w:rFonts w:ascii="Arial" w:hAnsi="Arial"/>
                <w:szCs w:val="22"/>
              </w:rPr>
            </w:pPr>
            <w:r w:rsidRPr="002A4F0C">
              <w:rPr>
                <w:rFonts w:ascii="Arial" w:hAnsi="Arial"/>
                <w:szCs w:val="22"/>
              </w:rPr>
              <w:t>Moss JI (2013). Gulf War illnesses are autoimmune illnesses caused by increased activity of the p38/MAPK pathway in CD4+ immune system cells, which was caused by nerve agent prophylaxis and adrenergic load. Medical Hypotheses, 81: 1002-3.</w:t>
            </w:r>
          </w:p>
        </w:tc>
      </w:tr>
      <w:tr w:rsidR="002A4F0C" w:rsidRPr="002A4F0C" w14:paraId="6FDC885A" w14:textId="77777777" w:rsidTr="002A4F0C">
        <w:trPr>
          <w:cantSplit/>
        </w:trPr>
        <w:tc>
          <w:tcPr>
            <w:tcW w:w="1575" w:type="dxa"/>
            <w:shd w:val="clear" w:color="auto" w:fill="auto"/>
            <w:noWrap/>
            <w:vAlign w:val="center"/>
          </w:tcPr>
          <w:p w14:paraId="1FFCF0D1"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70813</w:t>
            </w:r>
          </w:p>
        </w:tc>
        <w:tc>
          <w:tcPr>
            <w:tcW w:w="7938" w:type="dxa"/>
            <w:shd w:val="clear" w:color="auto" w:fill="auto"/>
            <w:vAlign w:val="bottom"/>
          </w:tcPr>
          <w:p w14:paraId="45AF4450" w14:textId="77777777" w:rsidR="002A4F0C" w:rsidRPr="002A4F0C" w:rsidRDefault="002A4F0C" w:rsidP="002A4F0C">
            <w:pPr>
              <w:spacing w:line="240" w:lineRule="auto"/>
              <w:rPr>
                <w:rFonts w:ascii="Arial" w:hAnsi="Arial"/>
                <w:szCs w:val="22"/>
              </w:rPr>
            </w:pPr>
            <w:r w:rsidRPr="002A4F0C">
              <w:rPr>
                <w:rFonts w:ascii="Arial" w:hAnsi="Arial"/>
                <w:szCs w:val="22"/>
              </w:rPr>
              <w:t>Venables KM, Brooks C, Linsell L, et al (2009). Mortality in British military participants in human experimental research into chemical warfare agents at Porton Down: cohort study. BMJ, 338: b613.</w:t>
            </w:r>
          </w:p>
        </w:tc>
      </w:tr>
      <w:tr w:rsidR="002A4F0C" w:rsidRPr="002A4F0C" w14:paraId="3242C34B" w14:textId="77777777" w:rsidTr="002A4F0C">
        <w:trPr>
          <w:cantSplit/>
        </w:trPr>
        <w:tc>
          <w:tcPr>
            <w:tcW w:w="1575" w:type="dxa"/>
            <w:shd w:val="clear" w:color="auto" w:fill="auto"/>
            <w:noWrap/>
            <w:vAlign w:val="center"/>
          </w:tcPr>
          <w:p w14:paraId="7A67D5FC"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70814</w:t>
            </w:r>
          </w:p>
        </w:tc>
        <w:tc>
          <w:tcPr>
            <w:tcW w:w="7938" w:type="dxa"/>
            <w:shd w:val="clear" w:color="auto" w:fill="auto"/>
            <w:vAlign w:val="bottom"/>
          </w:tcPr>
          <w:p w14:paraId="7C8916F6" w14:textId="77777777" w:rsidR="002A4F0C" w:rsidRPr="002A4F0C" w:rsidRDefault="002A4F0C" w:rsidP="002A4F0C">
            <w:pPr>
              <w:spacing w:line="240" w:lineRule="auto"/>
              <w:rPr>
                <w:rFonts w:ascii="Arial" w:hAnsi="Arial"/>
                <w:szCs w:val="22"/>
              </w:rPr>
            </w:pPr>
            <w:r w:rsidRPr="002A4F0C">
              <w:rPr>
                <w:rFonts w:ascii="Arial" w:hAnsi="Arial"/>
                <w:szCs w:val="22"/>
              </w:rPr>
              <w:t>Allender S, Maconochie N, Keegan T, et al (2006). Symptoms, ill-health and quality of life in a support group of Porton Down veterans. Occup Med, 6(56): 329-37.</w:t>
            </w:r>
          </w:p>
        </w:tc>
      </w:tr>
      <w:tr w:rsidR="002A4F0C" w:rsidRPr="002A4F0C" w14:paraId="200C7DA6" w14:textId="77777777" w:rsidTr="002A4F0C">
        <w:trPr>
          <w:cantSplit/>
        </w:trPr>
        <w:tc>
          <w:tcPr>
            <w:tcW w:w="1575" w:type="dxa"/>
            <w:shd w:val="clear" w:color="auto" w:fill="auto"/>
            <w:noWrap/>
            <w:vAlign w:val="center"/>
          </w:tcPr>
          <w:p w14:paraId="464AEBB0"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70838</w:t>
            </w:r>
          </w:p>
        </w:tc>
        <w:tc>
          <w:tcPr>
            <w:tcW w:w="7938" w:type="dxa"/>
            <w:shd w:val="clear" w:color="auto" w:fill="auto"/>
            <w:vAlign w:val="bottom"/>
          </w:tcPr>
          <w:p w14:paraId="434097CD" w14:textId="77777777" w:rsidR="002A4F0C" w:rsidRPr="002A4F0C" w:rsidRDefault="002A4F0C" w:rsidP="002A4F0C">
            <w:pPr>
              <w:spacing w:line="240" w:lineRule="auto"/>
              <w:rPr>
                <w:rFonts w:ascii="Arial" w:hAnsi="Arial"/>
                <w:szCs w:val="22"/>
              </w:rPr>
            </w:pPr>
            <w:r w:rsidRPr="002A4F0C">
              <w:rPr>
                <w:rFonts w:ascii="Arial" w:hAnsi="Arial"/>
                <w:szCs w:val="22"/>
              </w:rPr>
              <w:t>Centers for Disease Control (2012). Chronic fatigue syndrome, causes. .  Retrieved 14 May 2013, from http://www.cdc.gov/cfs/causes/index.html</w:t>
            </w:r>
          </w:p>
        </w:tc>
      </w:tr>
      <w:tr w:rsidR="002A4F0C" w:rsidRPr="002A4F0C" w14:paraId="53BE2A5D" w14:textId="77777777" w:rsidTr="002A4F0C">
        <w:trPr>
          <w:cantSplit/>
        </w:trPr>
        <w:tc>
          <w:tcPr>
            <w:tcW w:w="1575" w:type="dxa"/>
            <w:shd w:val="clear" w:color="auto" w:fill="auto"/>
            <w:noWrap/>
            <w:vAlign w:val="center"/>
          </w:tcPr>
          <w:p w14:paraId="1A3D0B8B"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70839</w:t>
            </w:r>
          </w:p>
        </w:tc>
        <w:tc>
          <w:tcPr>
            <w:tcW w:w="7938" w:type="dxa"/>
            <w:shd w:val="clear" w:color="auto" w:fill="auto"/>
            <w:vAlign w:val="bottom"/>
          </w:tcPr>
          <w:p w14:paraId="32F09CDA" w14:textId="77777777" w:rsidR="002A4F0C" w:rsidRPr="002A4F0C" w:rsidRDefault="002A4F0C" w:rsidP="002A4F0C">
            <w:pPr>
              <w:spacing w:line="240" w:lineRule="auto"/>
              <w:rPr>
                <w:rFonts w:ascii="Arial" w:hAnsi="Arial"/>
                <w:szCs w:val="22"/>
              </w:rPr>
            </w:pPr>
            <w:r w:rsidRPr="002A4F0C">
              <w:rPr>
                <w:rFonts w:ascii="Arial" w:hAnsi="Arial"/>
                <w:szCs w:val="22"/>
              </w:rPr>
              <w:t>Carpenter LM, Linsell L, Brooks C, et al (2009). Cancer morbidity in British military veterans included in chemical warfare agent experiments at Porton Down: cohort study.  338 (b655).  Retrieved 7 February 2014, from www.bmj.com</w:t>
            </w:r>
          </w:p>
        </w:tc>
      </w:tr>
      <w:tr w:rsidR="002A4F0C" w:rsidRPr="002A4F0C" w14:paraId="401656BB" w14:textId="77777777" w:rsidTr="002A4F0C">
        <w:trPr>
          <w:cantSplit/>
        </w:trPr>
        <w:tc>
          <w:tcPr>
            <w:tcW w:w="1575" w:type="dxa"/>
            <w:shd w:val="clear" w:color="auto" w:fill="auto"/>
            <w:noWrap/>
            <w:vAlign w:val="center"/>
          </w:tcPr>
          <w:p w14:paraId="416C2374"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70840</w:t>
            </w:r>
          </w:p>
        </w:tc>
        <w:tc>
          <w:tcPr>
            <w:tcW w:w="7938" w:type="dxa"/>
            <w:shd w:val="clear" w:color="auto" w:fill="auto"/>
            <w:vAlign w:val="bottom"/>
          </w:tcPr>
          <w:p w14:paraId="6C98E1AB" w14:textId="77777777" w:rsidR="002A4F0C" w:rsidRPr="002A4F0C" w:rsidRDefault="002A4F0C" w:rsidP="002A4F0C">
            <w:pPr>
              <w:spacing w:line="240" w:lineRule="auto"/>
              <w:rPr>
                <w:rFonts w:ascii="Arial" w:hAnsi="Arial"/>
                <w:szCs w:val="22"/>
              </w:rPr>
            </w:pPr>
            <w:r w:rsidRPr="002A4F0C">
              <w:rPr>
                <w:rFonts w:ascii="Arial" w:hAnsi="Arial"/>
                <w:szCs w:val="22"/>
              </w:rPr>
              <w:t>Sadock B, Sadock V, Ruiz P (2009). Classification in Psychiatry. Psychiatric Classification. Kaplan and Sadock's Comprehensive Textbook of Psychiatry, 9th Edition, Chapter 9, Section 9.1: 1108-51. Lippincott, Williams and Wilkins, Philadelphia USA.</w:t>
            </w:r>
          </w:p>
        </w:tc>
      </w:tr>
      <w:tr w:rsidR="002A4F0C" w:rsidRPr="002A4F0C" w14:paraId="2AF9BE45" w14:textId="77777777" w:rsidTr="002A4F0C">
        <w:trPr>
          <w:cantSplit/>
        </w:trPr>
        <w:tc>
          <w:tcPr>
            <w:tcW w:w="1575" w:type="dxa"/>
            <w:shd w:val="clear" w:color="auto" w:fill="auto"/>
            <w:noWrap/>
            <w:vAlign w:val="center"/>
          </w:tcPr>
          <w:p w14:paraId="340A1648"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70841</w:t>
            </w:r>
          </w:p>
        </w:tc>
        <w:tc>
          <w:tcPr>
            <w:tcW w:w="7938" w:type="dxa"/>
            <w:shd w:val="clear" w:color="auto" w:fill="auto"/>
            <w:vAlign w:val="bottom"/>
          </w:tcPr>
          <w:p w14:paraId="0205938A" w14:textId="77777777" w:rsidR="002A4F0C" w:rsidRPr="002A4F0C" w:rsidRDefault="002A4F0C" w:rsidP="002A4F0C">
            <w:pPr>
              <w:spacing w:line="240" w:lineRule="auto"/>
              <w:rPr>
                <w:rFonts w:ascii="Arial" w:hAnsi="Arial"/>
                <w:szCs w:val="22"/>
              </w:rPr>
            </w:pPr>
            <w:r w:rsidRPr="002A4F0C">
              <w:rPr>
                <w:rFonts w:ascii="Arial" w:hAnsi="Arial"/>
                <w:szCs w:val="22"/>
              </w:rPr>
              <w:t>Narrow W, Rubio-Stipeck M (2009). Quantitative and experimental methods in psychiatry. B Sadock, V Sadock, P Ruiz (Eds). Kaplan and Sadock's Comprehensive Textbook of Psychiatry, 9th Edition, Chapter 5: 762. Lippcott, Williams and Wilkins, Philadelphia, USA.</w:t>
            </w:r>
          </w:p>
        </w:tc>
      </w:tr>
      <w:tr w:rsidR="002A4F0C" w:rsidRPr="002A4F0C" w14:paraId="36AB42F7" w14:textId="77777777" w:rsidTr="002A4F0C">
        <w:trPr>
          <w:cantSplit/>
        </w:trPr>
        <w:tc>
          <w:tcPr>
            <w:tcW w:w="1575" w:type="dxa"/>
            <w:shd w:val="clear" w:color="auto" w:fill="auto"/>
            <w:noWrap/>
            <w:vAlign w:val="center"/>
          </w:tcPr>
          <w:p w14:paraId="4A052C31"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70842</w:t>
            </w:r>
          </w:p>
        </w:tc>
        <w:tc>
          <w:tcPr>
            <w:tcW w:w="7938" w:type="dxa"/>
            <w:shd w:val="clear" w:color="auto" w:fill="auto"/>
            <w:vAlign w:val="bottom"/>
          </w:tcPr>
          <w:p w14:paraId="437D3D73" w14:textId="77777777" w:rsidR="002A4F0C" w:rsidRPr="002A4F0C" w:rsidRDefault="002A4F0C" w:rsidP="002A4F0C">
            <w:pPr>
              <w:spacing w:line="240" w:lineRule="auto"/>
              <w:rPr>
                <w:rFonts w:ascii="Arial" w:hAnsi="Arial"/>
                <w:szCs w:val="22"/>
              </w:rPr>
            </w:pPr>
            <w:r w:rsidRPr="002A4F0C">
              <w:rPr>
                <w:rFonts w:ascii="Arial" w:hAnsi="Arial"/>
                <w:szCs w:val="22"/>
              </w:rPr>
              <w:t>Zimmerman M, Spitzer R (2009). Psychiatric classification. Kaplan and Sadock's Comprehensive Textbook of Psychiatry, 9th Edition, Chapter 9, Section 9.1: 1108-12. Lippincott, Williams and Wilkins, Philadelphia, USA.</w:t>
            </w:r>
          </w:p>
        </w:tc>
      </w:tr>
      <w:tr w:rsidR="002A4F0C" w:rsidRPr="002A4F0C" w14:paraId="73F51072" w14:textId="77777777" w:rsidTr="002A4F0C">
        <w:trPr>
          <w:cantSplit/>
        </w:trPr>
        <w:tc>
          <w:tcPr>
            <w:tcW w:w="1575" w:type="dxa"/>
            <w:shd w:val="clear" w:color="auto" w:fill="auto"/>
            <w:noWrap/>
            <w:vAlign w:val="center"/>
          </w:tcPr>
          <w:p w14:paraId="6334BD91"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70844</w:t>
            </w:r>
          </w:p>
        </w:tc>
        <w:tc>
          <w:tcPr>
            <w:tcW w:w="7938" w:type="dxa"/>
            <w:shd w:val="clear" w:color="auto" w:fill="auto"/>
            <w:vAlign w:val="bottom"/>
          </w:tcPr>
          <w:p w14:paraId="79595A95" w14:textId="77777777" w:rsidR="002A4F0C" w:rsidRPr="002A4F0C" w:rsidRDefault="002A4F0C" w:rsidP="002A4F0C">
            <w:pPr>
              <w:spacing w:line="240" w:lineRule="auto"/>
              <w:rPr>
                <w:rFonts w:ascii="Arial" w:hAnsi="Arial"/>
                <w:szCs w:val="22"/>
              </w:rPr>
            </w:pPr>
            <w:r w:rsidRPr="002A4F0C">
              <w:rPr>
                <w:rFonts w:ascii="Arial" w:hAnsi="Arial"/>
                <w:szCs w:val="22"/>
              </w:rPr>
              <w:t>American Psychiatric Association (2013). Diagnostic and Statistical Manual of Mental Disorders, 5th Edition,: 21. American Psychiatric Association.</w:t>
            </w:r>
          </w:p>
        </w:tc>
      </w:tr>
      <w:tr w:rsidR="002A4F0C" w:rsidRPr="002A4F0C" w14:paraId="54C5C249" w14:textId="77777777" w:rsidTr="002A4F0C">
        <w:trPr>
          <w:cantSplit/>
        </w:trPr>
        <w:tc>
          <w:tcPr>
            <w:tcW w:w="1575" w:type="dxa"/>
            <w:shd w:val="clear" w:color="auto" w:fill="auto"/>
            <w:noWrap/>
            <w:vAlign w:val="center"/>
          </w:tcPr>
          <w:p w14:paraId="1B84CB3F"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70845</w:t>
            </w:r>
          </w:p>
        </w:tc>
        <w:tc>
          <w:tcPr>
            <w:tcW w:w="7938" w:type="dxa"/>
            <w:shd w:val="clear" w:color="auto" w:fill="auto"/>
            <w:vAlign w:val="bottom"/>
          </w:tcPr>
          <w:p w14:paraId="5075DDAB" w14:textId="77777777" w:rsidR="002A4F0C" w:rsidRPr="002A4F0C" w:rsidRDefault="002A4F0C" w:rsidP="002A4F0C">
            <w:pPr>
              <w:spacing w:line="240" w:lineRule="auto"/>
              <w:rPr>
                <w:rFonts w:ascii="Arial" w:hAnsi="Arial"/>
                <w:szCs w:val="22"/>
              </w:rPr>
            </w:pPr>
            <w:r w:rsidRPr="002A4F0C">
              <w:rPr>
                <w:rFonts w:ascii="Arial" w:hAnsi="Arial"/>
                <w:szCs w:val="22"/>
              </w:rPr>
              <w:t>American Psychiatric Association (2013). Diagnostic and Statistical Manual of Mental Disorders, 5th Edition,: 20. American Psychiatric Association.</w:t>
            </w:r>
          </w:p>
        </w:tc>
      </w:tr>
      <w:tr w:rsidR="002A4F0C" w:rsidRPr="002A4F0C" w14:paraId="196D6895" w14:textId="77777777" w:rsidTr="002A4F0C">
        <w:trPr>
          <w:cantSplit/>
        </w:trPr>
        <w:tc>
          <w:tcPr>
            <w:tcW w:w="1575" w:type="dxa"/>
            <w:shd w:val="clear" w:color="auto" w:fill="auto"/>
            <w:noWrap/>
            <w:vAlign w:val="center"/>
          </w:tcPr>
          <w:p w14:paraId="41BB4A34"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70852</w:t>
            </w:r>
          </w:p>
        </w:tc>
        <w:tc>
          <w:tcPr>
            <w:tcW w:w="7938" w:type="dxa"/>
            <w:shd w:val="clear" w:color="auto" w:fill="auto"/>
            <w:vAlign w:val="bottom"/>
          </w:tcPr>
          <w:p w14:paraId="491A8502" w14:textId="77777777" w:rsidR="002A4F0C" w:rsidRPr="002A4F0C" w:rsidRDefault="002A4F0C" w:rsidP="002A4F0C">
            <w:pPr>
              <w:spacing w:line="240" w:lineRule="auto"/>
              <w:rPr>
                <w:rFonts w:ascii="Arial" w:hAnsi="Arial"/>
                <w:szCs w:val="22"/>
              </w:rPr>
            </w:pPr>
            <w:r w:rsidRPr="002A4F0C">
              <w:rPr>
                <w:rFonts w:ascii="Arial" w:hAnsi="Arial"/>
                <w:szCs w:val="22"/>
              </w:rPr>
              <w:t>American Psychiatric Association (2013). Diagnostic and Statistical Manual of Mental Disorders, 5th Edition,: 309-15. American Psychiatric Association.</w:t>
            </w:r>
          </w:p>
        </w:tc>
      </w:tr>
      <w:tr w:rsidR="002A4F0C" w:rsidRPr="002A4F0C" w14:paraId="1F9E30E2" w14:textId="77777777" w:rsidTr="002A4F0C">
        <w:trPr>
          <w:cantSplit/>
        </w:trPr>
        <w:tc>
          <w:tcPr>
            <w:tcW w:w="1575" w:type="dxa"/>
            <w:shd w:val="clear" w:color="auto" w:fill="auto"/>
            <w:noWrap/>
            <w:vAlign w:val="center"/>
          </w:tcPr>
          <w:p w14:paraId="1551E137"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70854</w:t>
            </w:r>
          </w:p>
        </w:tc>
        <w:tc>
          <w:tcPr>
            <w:tcW w:w="7938" w:type="dxa"/>
            <w:shd w:val="clear" w:color="auto" w:fill="auto"/>
            <w:vAlign w:val="bottom"/>
          </w:tcPr>
          <w:p w14:paraId="0139C098" w14:textId="77777777" w:rsidR="002A4F0C" w:rsidRPr="002A4F0C" w:rsidRDefault="002A4F0C" w:rsidP="002A4F0C">
            <w:pPr>
              <w:spacing w:line="240" w:lineRule="auto"/>
              <w:rPr>
                <w:rFonts w:ascii="Arial" w:hAnsi="Arial"/>
                <w:szCs w:val="22"/>
              </w:rPr>
            </w:pPr>
            <w:r w:rsidRPr="002A4F0C">
              <w:rPr>
                <w:rFonts w:ascii="Arial" w:hAnsi="Arial"/>
                <w:szCs w:val="22"/>
              </w:rPr>
              <w:t>American Psychiatric Association (2013). Diagnostic and Statistical Manual of Mental Disorders, 5th Edition,: 12. American Psychiatric Association.</w:t>
            </w:r>
          </w:p>
        </w:tc>
      </w:tr>
      <w:tr w:rsidR="002A4F0C" w:rsidRPr="002A4F0C" w14:paraId="1C81A2AA" w14:textId="77777777" w:rsidTr="002A4F0C">
        <w:trPr>
          <w:cantSplit/>
        </w:trPr>
        <w:tc>
          <w:tcPr>
            <w:tcW w:w="1575" w:type="dxa"/>
            <w:shd w:val="clear" w:color="auto" w:fill="auto"/>
            <w:noWrap/>
            <w:vAlign w:val="center"/>
          </w:tcPr>
          <w:p w14:paraId="12C60148"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70866</w:t>
            </w:r>
          </w:p>
        </w:tc>
        <w:tc>
          <w:tcPr>
            <w:tcW w:w="7938" w:type="dxa"/>
            <w:shd w:val="clear" w:color="auto" w:fill="auto"/>
            <w:vAlign w:val="bottom"/>
          </w:tcPr>
          <w:p w14:paraId="512BE875" w14:textId="77777777" w:rsidR="002A4F0C" w:rsidRPr="002A4F0C" w:rsidRDefault="002A4F0C" w:rsidP="002A4F0C">
            <w:pPr>
              <w:spacing w:line="240" w:lineRule="auto"/>
              <w:rPr>
                <w:rFonts w:ascii="Arial" w:hAnsi="Arial"/>
                <w:szCs w:val="22"/>
              </w:rPr>
            </w:pPr>
            <w:r w:rsidRPr="002A4F0C">
              <w:rPr>
                <w:rFonts w:ascii="Arial" w:hAnsi="Arial"/>
                <w:szCs w:val="22"/>
              </w:rPr>
              <w:t>Barker KK (2011). Listening to Lyrica: contested illnesses and pharmaceutical determinism. Soc Sci Med, 73(6): 833-42.</w:t>
            </w:r>
          </w:p>
        </w:tc>
      </w:tr>
      <w:tr w:rsidR="002A4F0C" w:rsidRPr="002A4F0C" w14:paraId="5D67677B" w14:textId="77777777" w:rsidTr="002A4F0C">
        <w:trPr>
          <w:cantSplit/>
        </w:trPr>
        <w:tc>
          <w:tcPr>
            <w:tcW w:w="1575" w:type="dxa"/>
            <w:shd w:val="clear" w:color="auto" w:fill="auto"/>
            <w:noWrap/>
            <w:vAlign w:val="center"/>
          </w:tcPr>
          <w:p w14:paraId="344A20EF"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70867</w:t>
            </w:r>
          </w:p>
        </w:tc>
        <w:tc>
          <w:tcPr>
            <w:tcW w:w="7938" w:type="dxa"/>
            <w:shd w:val="clear" w:color="auto" w:fill="auto"/>
            <w:vAlign w:val="bottom"/>
          </w:tcPr>
          <w:p w14:paraId="1ADE4E1D" w14:textId="77777777" w:rsidR="002A4F0C" w:rsidRPr="002A4F0C" w:rsidRDefault="002A4F0C" w:rsidP="002A4F0C">
            <w:pPr>
              <w:spacing w:line="240" w:lineRule="auto"/>
              <w:rPr>
                <w:rFonts w:ascii="Arial" w:hAnsi="Arial"/>
                <w:szCs w:val="22"/>
              </w:rPr>
            </w:pPr>
            <w:r w:rsidRPr="002A4F0C">
              <w:rPr>
                <w:rFonts w:ascii="Arial" w:hAnsi="Arial"/>
                <w:szCs w:val="22"/>
              </w:rPr>
              <w:t>Lupton GM, Najman JM (Eds) (1989). Australian readings. Sociology of Health and Illness, . MacMillan, Melbourne.</w:t>
            </w:r>
          </w:p>
        </w:tc>
      </w:tr>
      <w:tr w:rsidR="002A4F0C" w:rsidRPr="002A4F0C" w14:paraId="4B005C76" w14:textId="77777777" w:rsidTr="002A4F0C">
        <w:trPr>
          <w:cantSplit/>
        </w:trPr>
        <w:tc>
          <w:tcPr>
            <w:tcW w:w="1575" w:type="dxa"/>
            <w:shd w:val="clear" w:color="auto" w:fill="auto"/>
            <w:noWrap/>
            <w:vAlign w:val="center"/>
          </w:tcPr>
          <w:p w14:paraId="62F9B552"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70868</w:t>
            </w:r>
          </w:p>
        </w:tc>
        <w:tc>
          <w:tcPr>
            <w:tcW w:w="7938" w:type="dxa"/>
            <w:shd w:val="clear" w:color="auto" w:fill="auto"/>
            <w:vAlign w:val="bottom"/>
          </w:tcPr>
          <w:p w14:paraId="20ADEA40" w14:textId="77777777" w:rsidR="002A4F0C" w:rsidRPr="002A4F0C" w:rsidRDefault="002A4F0C" w:rsidP="002A4F0C">
            <w:pPr>
              <w:spacing w:line="240" w:lineRule="auto"/>
              <w:rPr>
                <w:rFonts w:ascii="Arial" w:hAnsi="Arial"/>
                <w:szCs w:val="22"/>
              </w:rPr>
            </w:pPr>
            <w:r w:rsidRPr="002A4F0C">
              <w:rPr>
                <w:rFonts w:ascii="Arial" w:hAnsi="Arial"/>
                <w:szCs w:val="22"/>
              </w:rPr>
              <w:t>Ryan D (2013). Memorandum - a legal summary of the RMA’s approach to what is a disease, injury or death. .  Retrieved 7 February 2014, from www.rma.gov.au/foi/what.htm</w:t>
            </w:r>
          </w:p>
        </w:tc>
      </w:tr>
      <w:tr w:rsidR="002A4F0C" w:rsidRPr="002A4F0C" w14:paraId="3307D5D1" w14:textId="77777777" w:rsidTr="002A4F0C">
        <w:trPr>
          <w:cantSplit/>
        </w:trPr>
        <w:tc>
          <w:tcPr>
            <w:tcW w:w="1575" w:type="dxa"/>
            <w:shd w:val="clear" w:color="auto" w:fill="auto"/>
            <w:noWrap/>
            <w:vAlign w:val="center"/>
          </w:tcPr>
          <w:p w14:paraId="67E7F215"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70869</w:t>
            </w:r>
          </w:p>
        </w:tc>
        <w:tc>
          <w:tcPr>
            <w:tcW w:w="7938" w:type="dxa"/>
            <w:shd w:val="clear" w:color="auto" w:fill="auto"/>
            <w:vAlign w:val="bottom"/>
          </w:tcPr>
          <w:p w14:paraId="483EF9F4" w14:textId="77777777" w:rsidR="002A4F0C" w:rsidRPr="002A4F0C" w:rsidRDefault="002A4F0C" w:rsidP="002A4F0C">
            <w:pPr>
              <w:spacing w:line="240" w:lineRule="auto"/>
              <w:rPr>
                <w:rFonts w:ascii="Arial" w:hAnsi="Arial"/>
                <w:szCs w:val="22"/>
              </w:rPr>
            </w:pPr>
            <w:r w:rsidRPr="002A4F0C">
              <w:rPr>
                <w:rFonts w:ascii="Arial" w:hAnsi="Arial"/>
                <w:szCs w:val="22"/>
              </w:rPr>
              <w:t>National Casemix and Classification Centre (2013). Tabular List. The International Statistical Classification of Diseases and Related Health Problems, 8th Edition, 10th Revision. Australian Health Services Research Institute, University of Wollongong, Sydney.</w:t>
            </w:r>
          </w:p>
        </w:tc>
      </w:tr>
      <w:tr w:rsidR="002A4F0C" w:rsidRPr="002A4F0C" w14:paraId="48D946D8" w14:textId="77777777" w:rsidTr="002A4F0C">
        <w:trPr>
          <w:cantSplit/>
        </w:trPr>
        <w:tc>
          <w:tcPr>
            <w:tcW w:w="1575" w:type="dxa"/>
            <w:shd w:val="clear" w:color="auto" w:fill="auto"/>
            <w:noWrap/>
            <w:vAlign w:val="center"/>
          </w:tcPr>
          <w:p w14:paraId="4EA2740A"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70870</w:t>
            </w:r>
          </w:p>
        </w:tc>
        <w:tc>
          <w:tcPr>
            <w:tcW w:w="7938" w:type="dxa"/>
            <w:shd w:val="clear" w:color="auto" w:fill="auto"/>
            <w:vAlign w:val="bottom"/>
          </w:tcPr>
          <w:p w14:paraId="494A778D" w14:textId="77777777" w:rsidR="002A4F0C" w:rsidRPr="002A4F0C" w:rsidRDefault="002A4F0C" w:rsidP="002A4F0C">
            <w:pPr>
              <w:spacing w:line="240" w:lineRule="auto"/>
              <w:rPr>
                <w:rFonts w:ascii="Arial" w:hAnsi="Arial"/>
                <w:szCs w:val="22"/>
              </w:rPr>
            </w:pPr>
            <w:r w:rsidRPr="002A4F0C">
              <w:rPr>
                <w:rFonts w:ascii="Arial" w:hAnsi="Arial"/>
                <w:szCs w:val="22"/>
              </w:rPr>
              <w:t>Joellenbeck LM, Zwanzinger LL, Durch JS, et al (2002). The  Anthrax Vaccine. Is It Safe? Does It Work?, : 118-79. National Academies Press - Washington, DC.</w:t>
            </w:r>
          </w:p>
        </w:tc>
      </w:tr>
      <w:tr w:rsidR="002A4F0C" w:rsidRPr="002A4F0C" w14:paraId="269DF756" w14:textId="77777777" w:rsidTr="002A4F0C">
        <w:trPr>
          <w:cantSplit/>
        </w:trPr>
        <w:tc>
          <w:tcPr>
            <w:tcW w:w="1575" w:type="dxa"/>
            <w:shd w:val="clear" w:color="auto" w:fill="auto"/>
            <w:noWrap/>
            <w:vAlign w:val="center"/>
          </w:tcPr>
          <w:p w14:paraId="527FB884"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70871</w:t>
            </w:r>
          </w:p>
        </w:tc>
        <w:tc>
          <w:tcPr>
            <w:tcW w:w="7938" w:type="dxa"/>
            <w:shd w:val="clear" w:color="auto" w:fill="auto"/>
            <w:vAlign w:val="bottom"/>
          </w:tcPr>
          <w:p w14:paraId="08D676F3" w14:textId="77777777" w:rsidR="002A4F0C" w:rsidRPr="002A4F0C" w:rsidRDefault="002A4F0C" w:rsidP="002A4F0C">
            <w:pPr>
              <w:spacing w:line="240" w:lineRule="auto"/>
              <w:rPr>
                <w:rFonts w:ascii="Arial" w:hAnsi="Arial"/>
                <w:szCs w:val="22"/>
              </w:rPr>
            </w:pPr>
            <w:r w:rsidRPr="002A4F0C">
              <w:rPr>
                <w:rFonts w:ascii="Arial" w:hAnsi="Arial"/>
                <w:szCs w:val="22"/>
              </w:rPr>
              <w:t>Davy C, Dobson A, Lawrence-Wood E, et al (2012). Prospective Study Report - Introduction to physical health. The Middle East Area of Operations (MEAO) Health Study,  Vol 1, Section 3, Chapter 10: 169-186. Centre for Military and Veterans Health, Adelaide, Australia.</w:t>
            </w:r>
          </w:p>
        </w:tc>
      </w:tr>
      <w:tr w:rsidR="002A4F0C" w:rsidRPr="002A4F0C" w14:paraId="4D6E7268" w14:textId="77777777" w:rsidTr="002A4F0C">
        <w:trPr>
          <w:cantSplit/>
        </w:trPr>
        <w:tc>
          <w:tcPr>
            <w:tcW w:w="1575" w:type="dxa"/>
            <w:shd w:val="clear" w:color="auto" w:fill="auto"/>
            <w:noWrap/>
            <w:vAlign w:val="center"/>
          </w:tcPr>
          <w:p w14:paraId="1526546B"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70872</w:t>
            </w:r>
          </w:p>
        </w:tc>
        <w:tc>
          <w:tcPr>
            <w:tcW w:w="7938" w:type="dxa"/>
            <w:shd w:val="clear" w:color="auto" w:fill="auto"/>
            <w:vAlign w:val="bottom"/>
          </w:tcPr>
          <w:p w14:paraId="7A814CDB" w14:textId="77777777" w:rsidR="002A4F0C" w:rsidRPr="002A4F0C" w:rsidRDefault="002A4F0C" w:rsidP="002A4F0C">
            <w:pPr>
              <w:spacing w:line="240" w:lineRule="auto"/>
              <w:rPr>
                <w:rFonts w:ascii="Arial" w:hAnsi="Arial"/>
                <w:szCs w:val="22"/>
              </w:rPr>
            </w:pPr>
            <w:r w:rsidRPr="002A4F0C">
              <w:rPr>
                <w:rFonts w:ascii="Arial" w:hAnsi="Arial"/>
                <w:szCs w:val="22"/>
              </w:rPr>
              <w:t>Dobson A, Treloar S, Zheng W, et al (2012). Census Study Report. Chapter 9 - Patterns of somatic symptoms and conditions. The Middle East Area of Operations (MEAO) Health Study,  Vol 1: 165-175. Centre for Military and Veterans Health, Brisbane, Australia.</w:t>
            </w:r>
          </w:p>
        </w:tc>
      </w:tr>
      <w:tr w:rsidR="002A4F0C" w:rsidRPr="002A4F0C" w14:paraId="75908EDE" w14:textId="77777777" w:rsidTr="002A4F0C">
        <w:trPr>
          <w:cantSplit/>
        </w:trPr>
        <w:tc>
          <w:tcPr>
            <w:tcW w:w="1575" w:type="dxa"/>
            <w:shd w:val="clear" w:color="auto" w:fill="auto"/>
            <w:noWrap/>
            <w:vAlign w:val="center"/>
          </w:tcPr>
          <w:p w14:paraId="2127DB92"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70873</w:t>
            </w:r>
          </w:p>
        </w:tc>
        <w:tc>
          <w:tcPr>
            <w:tcW w:w="7938" w:type="dxa"/>
            <w:shd w:val="clear" w:color="auto" w:fill="auto"/>
            <w:vAlign w:val="bottom"/>
          </w:tcPr>
          <w:p w14:paraId="111F3713" w14:textId="77777777" w:rsidR="002A4F0C" w:rsidRPr="002A4F0C" w:rsidRDefault="002A4F0C" w:rsidP="002A4F0C">
            <w:pPr>
              <w:spacing w:line="240" w:lineRule="auto"/>
              <w:rPr>
                <w:rFonts w:ascii="Arial" w:hAnsi="Arial"/>
                <w:szCs w:val="22"/>
              </w:rPr>
            </w:pPr>
            <w:r w:rsidRPr="002A4F0C">
              <w:rPr>
                <w:rFonts w:ascii="Arial" w:hAnsi="Arial"/>
                <w:szCs w:val="22"/>
              </w:rPr>
              <w:t>D'Este et al (2004). Study of health outcomes in aircraft maintenance personnel. Report on the General Health and Medical Study.  Vol 5: 162-67.  Retrieved 27 June 2013, from http://www.defence.gov.au/health/research/shoamp/i-SHOAMP.htm</w:t>
            </w:r>
          </w:p>
        </w:tc>
      </w:tr>
      <w:tr w:rsidR="002A4F0C" w:rsidRPr="002A4F0C" w14:paraId="768BBC82" w14:textId="77777777" w:rsidTr="002A4F0C">
        <w:trPr>
          <w:cantSplit/>
        </w:trPr>
        <w:tc>
          <w:tcPr>
            <w:tcW w:w="1575" w:type="dxa"/>
            <w:shd w:val="clear" w:color="auto" w:fill="auto"/>
            <w:noWrap/>
            <w:vAlign w:val="center"/>
          </w:tcPr>
          <w:p w14:paraId="45C5D8FA"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70874</w:t>
            </w:r>
          </w:p>
        </w:tc>
        <w:tc>
          <w:tcPr>
            <w:tcW w:w="7938" w:type="dxa"/>
            <w:shd w:val="clear" w:color="auto" w:fill="auto"/>
            <w:vAlign w:val="bottom"/>
          </w:tcPr>
          <w:p w14:paraId="5221D240" w14:textId="77777777" w:rsidR="002A4F0C" w:rsidRPr="002A4F0C" w:rsidRDefault="002A4F0C" w:rsidP="002A4F0C">
            <w:pPr>
              <w:spacing w:line="240" w:lineRule="auto"/>
              <w:rPr>
                <w:rFonts w:ascii="Arial" w:hAnsi="Arial"/>
                <w:szCs w:val="22"/>
              </w:rPr>
            </w:pPr>
            <w:r w:rsidRPr="002A4F0C">
              <w:rPr>
                <w:rFonts w:ascii="Arial" w:hAnsi="Arial"/>
                <w:szCs w:val="22"/>
              </w:rPr>
              <w:t>Institute of Medicine (2007). Infectious diseases. Gulf War &amp; Health,  5: 78-84, 12--34, 190-93. National Academies Press - Washington, DC.</w:t>
            </w:r>
          </w:p>
        </w:tc>
      </w:tr>
      <w:tr w:rsidR="002A4F0C" w:rsidRPr="002A4F0C" w14:paraId="57B3AEC5" w14:textId="77777777" w:rsidTr="002A4F0C">
        <w:trPr>
          <w:cantSplit/>
        </w:trPr>
        <w:tc>
          <w:tcPr>
            <w:tcW w:w="1575" w:type="dxa"/>
            <w:shd w:val="clear" w:color="auto" w:fill="auto"/>
            <w:noWrap/>
            <w:vAlign w:val="center"/>
          </w:tcPr>
          <w:p w14:paraId="69CBD091"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70875</w:t>
            </w:r>
          </w:p>
        </w:tc>
        <w:tc>
          <w:tcPr>
            <w:tcW w:w="7938" w:type="dxa"/>
            <w:shd w:val="clear" w:color="auto" w:fill="auto"/>
            <w:vAlign w:val="bottom"/>
          </w:tcPr>
          <w:p w14:paraId="4B0D48EE" w14:textId="77777777" w:rsidR="002A4F0C" w:rsidRPr="002A4F0C" w:rsidRDefault="002A4F0C" w:rsidP="002A4F0C">
            <w:pPr>
              <w:spacing w:line="240" w:lineRule="auto"/>
              <w:rPr>
                <w:rFonts w:ascii="Arial" w:hAnsi="Arial"/>
                <w:szCs w:val="22"/>
              </w:rPr>
            </w:pPr>
            <w:r w:rsidRPr="002A4F0C">
              <w:rPr>
                <w:rFonts w:ascii="Arial" w:hAnsi="Arial"/>
                <w:szCs w:val="22"/>
              </w:rPr>
              <w:t>Lee H, Jones E (Eds) (2007). War and Health: Lessons from the Gulf War, : 47-48. John Wiley &amp; Sons, Ltd.</w:t>
            </w:r>
          </w:p>
        </w:tc>
      </w:tr>
      <w:tr w:rsidR="002A4F0C" w:rsidRPr="002A4F0C" w14:paraId="779917CB" w14:textId="77777777" w:rsidTr="002A4F0C">
        <w:trPr>
          <w:cantSplit/>
        </w:trPr>
        <w:tc>
          <w:tcPr>
            <w:tcW w:w="1575" w:type="dxa"/>
            <w:shd w:val="clear" w:color="auto" w:fill="auto"/>
            <w:noWrap/>
            <w:vAlign w:val="center"/>
          </w:tcPr>
          <w:p w14:paraId="2344B361"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70876</w:t>
            </w:r>
          </w:p>
        </w:tc>
        <w:tc>
          <w:tcPr>
            <w:tcW w:w="7938" w:type="dxa"/>
            <w:shd w:val="clear" w:color="auto" w:fill="auto"/>
            <w:vAlign w:val="bottom"/>
          </w:tcPr>
          <w:p w14:paraId="1DA254BA" w14:textId="77777777" w:rsidR="002A4F0C" w:rsidRPr="002A4F0C" w:rsidRDefault="002A4F0C" w:rsidP="002A4F0C">
            <w:pPr>
              <w:spacing w:line="240" w:lineRule="auto"/>
              <w:rPr>
                <w:rFonts w:ascii="Arial" w:hAnsi="Arial"/>
                <w:szCs w:val="22"/>
              </w:rPr>
            </w:pPr>
            <w:r w:rsidRPr="002A4F0C">
              <w:rPr>
                <w:rFonts w:ascii="Arial" w:hAnsi="Arial"/>
                <w:szCs w:val="22"/>
              </w:rPr>
              <w:t>National Collaborating Centre for Primary Card (2007). NICE clinical guideline 53 - chronic fatigue syndrome / myalgic encephalomyelitis: quick reference guide. .  Retrieved 10 February 2014, from http://nice.org.uk/nicemedia/live/11824/36190/36190.pdf</w:t>
            </w:r>
          </w:p>
        </w:tc>
      </w:tr>
      <w:tr w:rsidR="002A4F0C" w:rsidRPr="002A4F0C" w14:paraId="760B30DC" w14:textId="77777777" w:rsidTr="002A4F0C">
        <w:trPr>
          <w:cantSplit/>
        </w:trPr>
        <w:tc>
          <w:tcPr>
            <w:tcW w:w="1575" w:type="dxa"/>
            <w:shd w:val="clear" w:color="auto" w:fill="auto"/>
            <w:noWrap/>
            <w:vAlign w:val="center"/>
          </w:tcPr>
          <w:p w14:paraId="4732B7BD"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70877</w:t>
            </w:r>
          </w:p>
        </w:tc>
        <w:tc>
          <w:tcPr>
            <w:tcW w:w="7938" w:type="dxa"/>
            <w:shd w:val="clear" w:color="auto" w:fill="auto"/>
            <w:vAlign w:val="bottom"/>
          </w:tcPr>
          <w:p w14:paraId="7FBFA433" w14:textId="77777777" w:rsidR="002A4F0C" w:rsidRPr="002A4F0C" w:rsidRDefault="002A4F0C" w:rsidP="002A4F0C">
            <w:pPr>
              <w:spacing w:line="240" w:lineRule="auto"/>
              <w:rPr>
                <w:rFonts w:ascii="Arial" w:hAnsi="Arial"/>
                <w:szCs w:val="22"/>
              </w:rPr>
            </w:pPr>
            <w:r w:rsidRPr="002A4F0C">
              <w:rPr>
                <w:rFonts w:ascii="Arial" w:hAnsi="Arial"/>
                <w:szCs w:val="22"/>
              </w:rPr>
              <w:t>Veterans Affairs Canada (2012). Rehabilitation services and vocational assistance - eligibility. .  Retrieved 29 July 2013, from http://www.veterans.gc.ca/eng/department/policy/document/1211#anchor26109</w:t>
            </w:r>
          </w:p>
        </w:tc>
      </w:tr>
      <w:tr w:rsidR="002A4F0C" w:rsidRPr="002A4F0C" w14:paraId="711B3D9D" w14:textId="77777777" w:rsidTr="002A4F0C">
        <w:trPr>
          <w:cantSplit/>
        </w:trPr>
        <w:tc>
          <w:tcPr>
            <w:tcW w:w="1575" w:type="dxa"/>
            <w:shd w:val="clear" w:color="auto" w:fill="auto"/>
            <w:noWrap/>
            <w:vAlign w:val="center"/>
          </w:tcPr>
          <w:p w14:paraId="265E5D56"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70878</w:t>
            </w:r>
          </w:p>
        </w:tc>
        <w:tc>
          <w:tcPr>
            <w:tcW w:w="7938" w:type="dxa"/>
            <w:shd w:val="clear" w:color="auto" w:fill="auto"/>
            <w:vAlign w:val="bottom"/>
          </w:tcPr>
          <w:p w14:paraId="0D2F7800" w14:textId="77777777" w:rsidR="002A4F0C" w:rsidRPr="002A4F0C" w:rsidRDefault="002A4F0C" w:rsidP="002A4F0C">
            <w:pPr>
              <w:spacing w:line="240" w:lineRule="auto"/>
              <w:rPr>
                <w:rFonts w:ascii="Arial" w:hAnsi="Arial"/>
                <w:szCs w:val="22"/>
              </w:rPr>
            </w:pPr>
            <w:r w:rsidRPr="002A4F0C">
              <w:rPr>
                <w:rFonts w:ascii="Arial" w:hAnsi="Arial"/>
                <w:szCs w:val="22"/>
              </w:rPr>
              <w:t>Veterans Affairs Canada (2013). Policies. .  Retrieved 10 February 2014, from http://www.veterans.gc.ca/eng/department/policy</w:t>
            </w:r>
          </w:p>
        </w:tc>
      </w:tr>
      <w:tr w:rsidR="002A4F0C" w:rsidRPr="002A4F0C" w14:paraId="6A17EF57" w14:textId="77777777" w:rsidTr="002A4F0C">
        <w:trPr>
          <w:cantSplit/>
        </w:trPr>
        <w:tc>
          <w:tcPr>
            <w:tcW w:w="1575" w:type="dxa"/>
            <w:shd w:val="clear" w:color="auto" w:fill="auto"/>
            <w:noWrap/>
            <w:vAlign w:val="center"/>
          </w:tcPr>
          <w:p w14:paraId="3D1790EB" w14:textId="77777777" w:rsidR="002A4F0C" w:rsidRPr="002A4F0C" w:rsidRDefault="002A4F0C" w:rsidP="002A4F0C">
            <w:pPr>
              <w:spacing w:line="240" w:lineRule="auto"/>
              <w:jc w:val="center"/>
              <w:rPr>
                <w:rFonts w:ascii="Arial" w:hAnsi="Arial"/>
                <w:szCs w:val="22"/>
              </w:rPr>
            </w:pPr>
            <w:r w:rsidRPr="002A4F0C">
              <w:rPr>
                <w:rFonts w:ascii="Arial" w:hAnsi="Arial"/>
                <w:szCs w:val="22"/>
              </w:rPr>
              <w:t>70890</w:t>
            </w:r>
          </w:p>
        </w:tc>
        <w:tc>
          <w:tcPr>
            <w:tcW w:w="7938" w:type="dxa"/>
            <w:shd w:val="clear" w:color="auto" w:fill="auto"/>
            <w:vAlign w:val="bottom"/>
          </w:tcPr>
          <w:p w14:paraId="4C1F5BF7" w14:textId="77777777" w:rsidR="002A4F0C" w:rsidRPr="002A4F0C" w:rsidRDefault="002A4F0C" w:rsidP="002A4F0C">
            <w:pPr>
              <w:spacing w:line="240" w:lineRule="auto"/>
              <w:rPr>
                <w:rFonts w:ascii="Arial" w:hAnsi="Arial"/>
                <w:szCs w:val="22"/>
              </w:rPr>
            </w:pPr>
            <w:r w:rsidRPr="002A4F0C">
              <w:rPr>
                <w:rFonts w:ascii="Arial" w:hAnsi="Arial"/>
                <w:szCs w:val="22"/>
              </w:rPr>
              <w:t>Staines DR (2005). Does dysregulation of key epigenetic and biochemical pathways occur in postulated vasoactive neuropeptide autoimmune disorders? Med Hypotheses, 65(6): 1154-60.</w:t>
            </w:r>
          </w:p>
        </w:tc>
      </w:tr>
      <w:tr w:rsidR="002A4F0C" w:rsidRPr="002A4F0C" w14:paraId="67D481F4" w14:textId="77777777" w:rsidTr="002A4F0C">
        <w:trPr>
          <w:cantSplit/>
        </w:trPr>
        <w:tc>
          <w:tcPr>
            <w:tcW w:w="1575" w:type="dxa"/>
            <w:shd w:val="clear" w:color="auto" w:fill="auto"/>
            <w:noWrap/>
            <w:vAlign w:val="center"/>
          </w:tcPr>
          <w:p w14:paraId="3345C9ED" w14:textId="77777777" w:rsidR="002A4F0C" w:rsidRPr="002A4F0C" w:rsidRDefault="002A4F0C" w:rsidP="002A4F0C">
            <w:pPr>
              <w:spacing w:line="240" w:lineRule="auto"/>
              <w:jc w:val="center"/>
              <w:rPr>
                <w:rFonts w:ascii="Arial" w:hAnsi="Arial"/>
                <w:szCs w:val="22"/>
              </w:rPr>
            </w:pPr>
            <w:r w:rsidRPr="002A4F0C">
              <w:rPr>
                <w:rFonts w:ascii="Arial" w:hAnsi="Arial"/>
                <w:szCs w:val="22"/>
              </w:rPr>
              <w:t>70928</w:t>
            </w:r>
          </w:p>
        </w:tc>
        <w:tc>
          <w:tcPr>
            <w:tcW w:w="7938" w:type="dxa"/>
            <w:shd w:val="clear" w:color="auto" w:fill="auto"/>
            <w:vAlign w:val="bottom"/>
          </w:tcPr>
          <w:p w14:paraId="17606377" w14:textId="77777777" w:rsidR="002A4F0C" w:rsidRPr="002A4F0C" w:rsidRDefault="002A4F0C" w:rsidP="002A4F0C">
            <w:pPr>
              <w:spacing w:line="240" w:lineRule="auto"/>
              <w:rPr>
                <w:rFonts w:ascii="Arial" w:hAnsi="Arial"/>
                <w:szCs w:val="22"/>
              </w:rPr>
            </w:pPr>
            <w:r w:rsidRPr="002A4F0C">
              <w:rPr>
                <w:rFonts w:ascii="Arial" w:hAnsi="Arial"/>
                <w:szCs w:val="22"/>
              </w:rPr>
              <w:t>Martin NJ, Richards EE, Kirkpatrick JS (2011). Exposure science in U.S. military operations: a review. Mil Med, 176(7 Suppl): 77-83.</w:t>
            </w:r>
          </w:p>
        </w:tc>
      </w:tr>
      <w:tr w:rsidR="002A4F0C" w:rsidRPr="002A4F0C" w14:paraId="02398839" w14:textId="77777777" w:rsidTr="002A4F0C">
        <w:trPr>
          <w:cantSplit/>
        </w:trPr>
        <w:tc>
          <w:tcPr>
            <w:tcW w:w="1575" w:type="dxa"/>
            <w:shd w:val="clear" w:color="auto" w:fill="auto"/>
            <w:noWrap/>
            <w:vAlign w:val="center"/>
          </w:tcPr>
          <w:p w14:paraId="5E8A508B" w14:textId="77777777" w:rsidR="002A4F0C" w:rsidRPr="002A4F0C" w:rsidRDefault="002A4F0C" w:rsidP="002A4F0C">
            <w:pPr>
              <w:spacing w:line="240" w:lineRule="auto"/>
              <w:jc w:val="center"/>
              <w:rPr>
                <w:rFonts w:ascii="Arial" w:hAnsi="Arial"/>
                <w:szCs w:val="22"/>
              </w:rPr>
            </w:pPr>
            <w:r w:rsidRPr="002A4F0C">
              <w:rPr>
                <w:rFonts w:ascii="Arial" w:hAnsi="Arial"/>
                <w:szCs w:val="22"/>
              </w:rPr>
              <w:t>71222</w:t>
            </w:r>
          </w:p>
        </w:tc>
        <w:tc>
          <w:tcPr>
            <w:tcW w:w="7938" w:type="dxa"/>
            <w:shd w:val="clear" w:color="auto" w:fill="auto"/>
            <w:vAlign w:val="bottom"/>
          </w:tcPr>
          <w:p w14:paraId="7B40DBB4" w14:textId="77777777" w:rsidR="002A4F0C" w:rsidRPr="002A4F0C" w:rsidRDefault="002A4F0C" w:rsidP="002A4F0C">
            <w:pPr>
              <w:spacing w:line="240" w:lineRule="auto"/>
              <w:rPr>
                <w:rFonts w:ascii="Arial" w:hAnsi="Arial"/>
                <w:szCs w:val="22"/>
              </w:rPr>
            </w:pPr>
            <w:r w:rsidRPr="002A4F0C">
              <w:rPr>
                <w:rFonts w:ascii="Arial" w:hAnsi="Arial"/>
                <w:szCs w:val="22"/>
              </w:rPr>
              <w:t>National Academies Press (2014). Chronic multisymptom illness in Gulf War veterans: case definitions reexamined, . National Academies Press - Washington, DC.</w:t>
            </w:r>
          </w:p>
        </w:tc>
      </w:tr>
    </w:tbl>
    <w:p w14:paraId="742BA1AF" w14:textId="77777777" w:rsidR="002A4F0C" w:rsidRPr="002A4F0C" w:rsidRDefault="002A4F0C" w:rsidP="002A4F0C">
      <w:pPr>
        <w:jc w:val="center"/>
        <w:rPr>
          <w:rFonts w:ascii="Arial" w:hAnsi="Arial"/>
          <w:szCs w:val="22"/>
        </w:rPr>
      </w:pPr>
    </w:p>
    <w:p w14:paraId="555B006A" w14:textId="39DFE376" w:rsidR="002A4F0C" w:rsidRPr="002A4F0C" w:rsidRDefault="002A4F0C" w:rsidP="002A4F0C">
      <w:pPr>
        <w:spacing w:line="240" w:lineRule="auto"/>
        <w:ind w:left="720" w:hanging="720"/>
        <w:rPr>
          <w:rFonts w:ascii="Times New Roman" w:hAnsi="Times New Roman" w:cs="Times New Roman"/>
          <w:b/>
          <w:sz w:val="23"/>
          <w:szCs w:val="23"/>
        </w:rPr>
      </w:pPr>
      <w:r w:rsidRPr="002A4F0C">
        <w:rPr>
          <w:rFonts w:ascii="Times New Roman" w:hAnsi="Times New Roman" w:cs="Times New Roman"/>
          <w:szCs w:val="20"/>
        </w:rPr>
        <w:br w:type="page"/>
      </w:r>
      <w:r w:rsidR="00A96378">
        <w:rPr>
          <w:noProof/>
        </w:rPr>
        <w:drawing>
          <wp:anchor distT="0" distB="0" distL="114300" distR="114300" simplePos="0" relativeHeight="251661312" behindDoc="0" locked="0" layoutInCell="1" allowOverlap="1" wp14:anchorId="2E6E8759" wp14:editId="619C07B0">
            <wp:simplePos x="0" y="0"/>
            <wp:positionH relativeFrom="column">
              <wp:posOffset>1395730</wp:posOffset>
            </wp:positionH>
            <wp:positionV relativeFrom="paragraph">
              <wp:posOffset>-52070</wp:posOffset>
            </wp:positionV>
            <wp:extent cx="3067050" cy="942975"/>
            <wp:effectExtent l="0" t="0" r="0" b="9525"/>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F0C">
        <w:rPr>
          <w:rFonts w:ascii="Times New Roman" w:hAnsi="Times New Roman" w:cs="Times New Roman"/>
          <w:b/>
          <w:sz w:val="23"/>
          <w:szCs w:val="23"/>
        </w:rPr>
        <w:t xml:space="preserve"> Appendix A</w:t>
      </w:r>
    </w:p>
    <w:p w14:paraId="1F2BBE86" w14:textId="77777777" w:rsidR="002A4F0C" w:rsidRPr="002A4F0C" w:rsidRDefault="002A4F0C" w:rsidP="002A4F0C">
      <w:pPr>
        <w:spacing w:line="240" w:lineRule="auto"/>
        <w:ind w:left="720" w:hanging="720"/>
        <w:jc w:val="center"/>
        <w:rPr>
          <w:rFonts w:ascii="Times New Roman" w:hAnsi="Times New Roman" w:cs="Times New Roman"/>
          <w:b/>
          <w:sz w:val="23"/>
          <w:szCs w:val="23"/>
        </w:rPr>
      </w:pPr>
    </w:p>
    <w:p w14:paraId="6C38D040" w14:textId="77777777" w:rsidR="002A4F0C" w:rsidRPr="002A4F0C" w:rsidRDefault="002A4F0C" w:rsidP="002A4F0C">
      <w:pPr>
        <w:spacing w:line="240" w:lineRule="auto"/>
        <w:ind w:left="720" w:hanging="720"/>
        <w:jc w:val="center"/>
        <w:rPr>
          <w:rFonts w:ascii="Times New Roman" w:hAnsi="Times New Roman" w:cs="Times New Roman"/>
          <w:b/>
          <w:sz w:val="25"/>
          <w:szCs w:val="25"/>
        </w:rPr>
      </w:pPr>
      <w:r w:rsidRPr="002A4F0C">
        <w:rPr>
          <w:rFonts w:ascii="Times New Roman" w:hAnsi="Times New Roman" w:cs="Times New Roman"/>
          <w:b/>
          <w:sz w:val="25"/>
          <w:szCs w:val="25"/>
        </w:rPr>
        <w:t xml:space="preserve">Information received in relation to investigation 304-04 concerning </w:t>
      </w:r>
    </w:p>
    <w:p w14:paraId="5A9A2295" w14:textId="77777777" w:rsidR="002A4F0C" w:rsidRPr="002A4F0C" w:rsidRDefault="002A4F0C" w:rsidP="002A4F0C">
      <w:pPr>
        <w:spacing w:line="240" w:lineRule="auto"/>
        <w:ind w:left="720" w:hanging="720"/>
        <w:jc w:val="center"/>
        <w:rPr>
          <w:rFonts w:ascii="Times New Roman" w:hAnsi="Times New Roman" w:cs="Times New Roman"/>
          <w:b/>
          <w:sz w:val="25"/>
          <w:szCs w:val="25"/>
        </w:rPr>
      </w:pPr>
      <w:r w:rsidRPr="002A4F0C">
        <w:rPr>
          <w:rFonts w:ascii="Times New Roman" w:hAnsi="Times New Roman" w:cs="Times New Roman"/>
          <w:b/>
          <w:sz w:val="25"/>
          <w:szCs w:val="25"/>
        </w:rPr>
        <w:t>Gulf War syndrome (chronic multisymptom illness) as at 9 April 2014</w:t>
      </w:r>
    </w:p>
    <w:p w14:paraId="662D875E" w14:textId="77777777" w:rsidR="002A4F0C" w:rsidRPr="002A4F0C" w:rsidRDefault="002A4F0C" w:rsidP="002A4F0C">
      <w:pPr>
        <w:spacing w:line="240" w:lineRule="auto"/>
        <w:jc w:val="both"/>
        <w:rPr>
          <w:rFonts w:ascii="Times New Roman" w:hAnsi="Times New Roman" w:cs="Times New Roman"/>
          <w:b/>
          <w:sz w:val="20"/>
          <w:szCs w:val="20"/>
        </w:rPr>
      </w:pPr>
    </w:p>
    <w:p w14:paraId="7BAF07CC" w14:textId="77777777" w:rsidR="002A4F0C" w:rsidRPr="002A4F0C" w:rsidRDefault="002A4F0C" w:rsidP="0029151C">
      <w:r w:rsidRPr="002A4F0C">
        <w:t>1.</w:t>
      </w:r>
      <w:r w:rsidRPr="002A4F0C">
        <w:tab/>
        <w:t>Submissions</w:t>
      </w:r>
    </w:p>
    <w:p w14:paraId="04CB1779" w14:textId="77777777" w:rsidR="002A4F0C" w:rsidRPr="002A4F0C" w:rsidRDefault="002A4F0C" w:rsidP="0014753E">
      <w:pPr>
        <w:numPr>
          <w:ilvl w:val="1"/>
          <w:numId w:val="33"/>
        </w:numPr>
        <w:spacing w:line="240" w:lineRule="auto"/>
        <w:jc w:val="both"/>
        <w:rPr>
          <w:sz w:val="23"/>
          <w:szCs w:val="23"/>
        </w:rPr>
      </w:pPr>
      <w:bookmarkStart w:id="10" w:name="OLE_LINK1"/>
      <w:bookmarkStart w:id="11" w:name="OLE_LINK2"/>
      <w:r w:rsidRPr="002A4F0C">
        <w:rPr>
          <w:sz w:val="23"/>
          <w:szCs w:val="23"/>
          <w:highlight w:val="black"/>
        </w:rPr>
        <w:t xml:space="preserve">xxxxxxxxxxxxxxxxxxxxxxxxxxxxxxxxxxxxxxxxxxxxxxxxxxxxxxxxxxx </w:t>
      </w:r>
      <w:r w:rsidRPr="002A4F0C">
        <w:rPr>
          <w:sz w:val="23"/>
          <w:szCs w:val="23"/>
        </w:rPr>
        <w:t>23 February 1998 (1412212R);</w:t>
      </w:r>
    </w:p>
    <w:p w14:paraId="7E5021E5"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xxxxxxxxxxxxxxxxxxxx</w:t>
      </w:r>
      <w:r w:rsidRPr="002A4F0C">
        <w:rPr>
          <w:sz w:val="23"/>
          <w:szCs w:val="23"/>
        </w:rPr>
        <w:t>, 9 July 1999 (1412218R);</w:t>
      </w:r>
    </w:p>
    <w:p w14:paraId="63313D15"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xxxxxxxxxxxxxxxxxxxx, xxxxxxxxxxxxxxxxxxxx xxxxxxxxxxxxxxxxxxxx</w:t>
      </w:r>
      <w:r w:rsidRPr="002A4F0C">
        <w:rPr>
          <w:sz w:val="23"/>
          <w:szCs w:val="23"/>
        </w:rPr>
        <w:t>,</w:t>
      </w:r>
      <w:r w:rsidRPr="002A4F0C">
        <w:rPr>
          <w:sz w:val="23"/>
          <w:szCs w:val="23"/>
          <w:highlight w:val="black"/>
        </w:rPr>
        <w:t xml:space="preserve"> xxxxxxxxxxxxxxxxxxxx</w:t>
      </w:r>
      <w:r w:rsidRPr="002A4F0C">
        <w:rPr>
          <w:sz w:val="23"/>
          <w:szCs w:val="23"/>
        </w:rPr>
        <w:t xml:space="preserve"> 21 July 1999 (request for investigation)) (1412213R);</w:t>
      </w:r>
    </w:p>
    <w:p w14:paraId="7301483C"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xxxxxxxxxxxxxxxxxxxxxxxxxxxxxxxxxxxxxxxx</w:t>
      </w:r>
      <w:r w:rsidRPr="002A4F0C">
        <w:rPr>
          <w:sz w:val="23"/>
          <w:szCs w:val="23"/>
        </w:rPr>
        <w:t>, ‘Submission of the health concerns, exposures and supporting evidence linking veterans’ chronic ill health with service in the Persian Gulf’, undated (May 2000?) (1412215R);</w:t>
      </w:r>
    </w:p>
    <w:p w14:paraId="133D1E6F"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 xml:space="preserve">xxxxxxxxxxxxxxxxxxxx xxxxxxxxxxxxxxxxxxxxxxxxxxxxxxxxxxxxxxxx, </w:t>
      </w:r>
      <w:r w:rsidRPr="002A4F0C">
        <w:rPr>
          <w:sz w:val="23"/>
          <w:szCs w:val="23"/>
        </w:rPr>
        <w:t>6 May 2000 (1412217R);</w:t>
      </w:r>
    </w:p>
    <w:p w14:paraId="2AC54CE3" w14:textId="77777777" w:rsidR="002A4F0C" w:rsidRPr="002A4F0C" w:rsidRDefault="002A4F0C" w:rsidP="0014753E">
      <w:pPr>
        <w:numPr>
          <w:ilvl w:val="1"/>
          <w:numId w:val="33"/>
        </w:numPr>
        <w:spacing w:line="240" w:lineRule="auto"/>
        <w:jc w:val="both"/>
        <w:rPr>
          <w:sz w:val="23"/>
          <w:szCs w:val="23"/>
        </w:rPr>
      </w:pPr>
      <w:bookmarkStart w:id="12" w:name="OLE_LINK8"/>
      <w:bookmarkStart w:id="13" w:name="OLE_LINK9"/>
      <w:r w:rsidRPr="002A4F0C">
        <w:rPr>
          <w:sz w:val="23"/>
          <w:szCs w:val="23"/>
          <w:highlight w:val="black"/>
        </w:rPr>
        <w:t>xxxxxxxxxxxxxxxxxxxx, xxxxxxxxxxxxxxxxxxxxxxxxxxxxxxxxxxxxxxxxxxxxxxxxxxxxxxxxxxxx</w:t>
      </w:r>
      <w:r w:rsidRPr="002A4F0C">
        <w:rPr>
          <w:sz w:val="23"/>
          <w:szCs w:val="23"/>
        </w:rPr>
        <w:t>1 November 2000 (1412216R);</w:t>
      </w:r>
    </w:p>
    <w:p w14:paraId="6E235BA8" w14:textId="77777777" w:rsidR="002A4F0C" w:rsidRPr="002A4F0C" w:rsidRDefault="002A4F0C" w:rsidP="0014753E">
      <w:pPr>
        <w:numPr>
          <w:ilvl w:val="1"/>
          <w:numId w:val="33"/>
        </w:numPr>
        <w:spacing w:line="240" w:lineRule="auto"/>
        <w:jc w:val="both"/>
        <w:rPr>
          <w:sz w:val="23"/>
          <w:szCs w:val="23"/>
        </w:rPr>
      </w:pPr>
      <w:r w:rsidRPr="002A4F0C">
        <w:rPr>
          <w:sz w:val="23"/>
          <w:szCs w:val="23"/>
        </w:rPr>
        <w:t>RMA medical researcher report - January 2001 attendance at Gulf War illnesses conference - Washington DC - February 2001 (1410894R);</w:t>
      </w:r>
    </w:p>
    <w:p w14:paraId="5D8028E7" w14:textId="77777777" w:rsidR="002A4F0C" w:rsidRPr="002A4F0C" w:rsidRDefault="002A4F0C" w:rsidP="0014753E">
      <w:pPr>
        <w:numPr>
          <w:ilvl w:val="1"/>
          <w:numId w:val="33"/>
        </w:numPr>
        <w:spacing w:line="240" w:lineRule="auto"/>
        <w:jc w:val="both"/>
        <w:rPr>
          <w:sz w:val="23"/>
          <w:szCs w:val="23"/>
        </w:rPr>
      </w:pPr>
      <w:r w:rsidRPr="002A4F0C">
        <w:rPr>
          <w:sz w:val="23"/>
          <w:szCs w:val="23"/>
        </w:rPr>
        <w:t>RMA medical researcher file note, May 2003 (1412214R);</w:t>
      </w:r>
    </w:p>
    <w:p w14:paraId="18ADFCEA" w14:textId="77777777" w:rsidR="002A4F0C" w:rsidRPr="002A4F0C" w:rsidRDefault="002A4F0C" w:rsidP="0014753E">
      <w:pPr>
        <w:numPr>
          <w:ilvl w:val="1"/>
          <w:numId w:val="33"/>
        </w:numPr>
        <w:spacing w:line="240" w:lineRule="auto"/>
        <w:jc w:val="both"/>
        <w:rPr>
          <w:sz w:val="23"/>
          <w:szCs w:val="23"/>
        </w:rPr>
      </w:pPr>
      <w:r w:rsidRPr="002A4F0C">
        <w:rPr>
          <w:sz w:val="23"/>
          <w:szCs w:val="23"/>
        </w:rPr>
        <w:t>RMA medical researcher briefing paper ‘Investigation concerning “Gulf War syndrome”’, 23 June 2003 (13105828R);</w:t>
      </w:r>
    </w:p>
    <w:p w14:paraId="65CC4C10" w14:textId="77777777" w:rsidR="002A4F0C" w:rsidRPr="002A4F0C" w:rsidRDefault="002A4F0C" w:rsidP="0014753E">
      <w:pPr>
        <w:numPr>
          <w:ilvl w:val="1"/>
          <w:numId w:val="33"/>
        </w:numPr>
        <w:spacing w:line="240" w:lineRule="auto"/>
        <w:jc w:val="both"/>
        <w:rPr>
          <w:sz w:val="24"/>
        </w:rPr>
      </w:pPr>
      <w:r w:rsidRPr="002A4F0C">
        <w:rPr>
          <w:sz w:val="23"/>
          <w:szCs w:val="23"/>
          <w:highlight w:val="black"/>
        </w:rPr>
        <w:t>xxxxxxxxxxxxxxxxxxxx</w:t>
      </w:r>
      <w:r w:rsidRPr="002A4F0C">
        <w:rPr>
          <w:sz w:val="24"/>
          <w:highlight w:val="black"/>
        </w:rPr>
        <w:t>,</w:t>
      </w:r>
      <w:r w:rsidRPr="002A4F0C">
        <w:rPr>
          <w:sz w:val="23"/>
          <w:szCs w:val="23"/>
          <w:highlight w:val="black"/>
        </w:rPr>
        <w:t>xxxxxxxxxxxxxxxxxxxx</w:t>
      </w:r>
      <w:r w:rsidRPr="002A4F0C">
        <w:rPr>
          <w:sz w:val="24"/>
          <w:highlight w:val="black"/>
        </w:rPr>
        <w:t>,</w:t>
      </w:r>
      <w:r w:rsidRPr="002A4F0C">
        <w:rPr>
          <w:sz w:val="23"/>
          <w:szCs w:val="23"/>
          <w:highlight w:val="black"/>
        </w:rPr>
        <w:t>xxxxxxxxxxxxxxxxxxxxxxxxxxxxxxxxx</w:t>
      </w:r>
      <w:r w:rsidRPr="002A4F0C">
        <w:rPr>
          <w:sz w:val="24"/>
        </w:rPr>
        <w:t xml:space="preserve">20 November 2008, request for an Investigation/Review of the decision not to make a Statement of Principles concerning Gulf War syndrome (includes details of original RMA decision 2003 and a recent US Department of Veterans Affairs Research Advisory Committee on Gulf War Veterans' Illnesses paper) (1412221R); </w:t>
      </w:r>
    </w:p>
    <w:p w14:paraId="698EDE59" w14:textId="77777777" w:rsidR="002A4F0C" w:rsidRPr="002A4F0C" w:rsidRDefault="002A4F0C" w:rsidP="0014753E">
      <w:pPr>
        <w:numPr>
          <w:ilvl w:val="1"/>
          <w:numId w:val="33"/>
        </w:numPr>
        <w:spacing w:line="240" w:lineRule="auto"/>
        <w:rPr>
          <w:sz w:val="24"/>
        </w:rPr>
      </w:pPr>
      <w:r w:rsidRPr="002A4F0C">
        <w:rPr>
          <w:sz w:val="23"/>
          <w:szCs w:val="23"/>
          <w:highlight w:val="black"/>
        </w:rPr>
        <w:t>xxxxxxxxxxxxxxxxxxxxxxxx</w:t>
      </w:r>
      <w:r w:rsidRPr="002A4F0C">
        <w:rPr>
          <w:sz w:val="24"/>
        </w:rPr>
        <w:t xml:space="preserve">17 January 2009, request for investigation on behalf of </w:t>
      </w:r>
      <w:r w:rsidRPr="002A4F0C">
        <w:rPr>
          <w:sz w:val="23"/>
          <w:szCs w:val="23"/>
          <w:highlight w:val="black"/>
        </w:rPr>
        <w:t>xxxxxxxxxxxxxxxxxxxx</w:t>
      </w:r>
      <w:r w:rsidRPr="002A4F0C">
        <w:rPr>
          <w:sz w:val="24"/>
        </w:rPr>
        <w:t xml:space="preserve"> (1412225R);</w:t>
      </w:r>
    </w:p>
    <w:p w14:paraId="28F4E2B0" w14:textId="77777777" w:rsidR="002A4F0C" w:rsidRPr="002A4F0C" w:rsidRDefault="002A4F0C" w:rsidP="0014753E">
      <w:pPr>
        <w:numPr>
          <w:ilvl w:val="1"/>
          <w:numId w:val="33"/>
        </w:numPr>
        <w:spacing w:line="240" w:lineRule="auto"/>
        <w:jc w:val="both"/>
        <w:rPr>
          <w:sz w:val="24"/>
        </w:rPr>
      </w:pPr>
      <w:r w:rsidRPr="002A4F0C">
        <w:rPr>
          <w:sz w:val="23"/>
          <w:szCs w:val="23"/>
          <w:highlight w:val="black"/>
        </w:rPr>
        <w:t>xxxxxxxxxxxxxx</w:t>
      </w:r>
      <w:r w:rsidRPr="002A4F0C">
        <w:rPr>
          <w:sz w:val="23"/>
          <w:szCs w:val="23"/>
        </w:rPr>
        <w:t xml:space="preserve"> </w:t>
      </w:r>
      <w:r w:rsidRPr="002A4F0C">
        <w:rPr>
          <w:sz w:val="24"/>
        </w:rPr>
        <w:t>27 January 2009, request for investigation (1412227R);</w:t>
      </w:r>
    </w:p>
    <w:p w14:paraId="55A9320F" w14:textId="77777777" w:rsidR="002A4F0C" w:rsidRPr="002A4F0C" w:rsidRDefault="002A4F0C" w:rsidP="0014753E">
      <w:pPr>
        <w:numPr>
          <w:ilvl w:val="1"/>
          <w:numId w:val="33"/>
        </w:numPr>
        <w:spacing w:line="240" w:lineRule="auto"/>
        <w:jc w:val="both"/>
        <w:rPr>
          <w:sz w:val="24"/>
        </w:rPr>
      </w:pPr>
      <w:r w:rsidRPr="002A4F0C">
        <w:rPr>
          <w:sz w:val="23"/>
          <w:szCs w:val="23"/>
          <w:highlight w:val="black"/>
        </w:rPr>
        <w:t>xxxxxxxxxxxxxxxxxxxx</w:t>
      </w:r>
      <w:r w:rsidRPr="002A4F0C">
        <w:rPr>
          <w:sz w:val="23"/>
          <w:szCs w:val="23"/>
        </w:rPr>
        <w:t xml:space="preserve"> </w:t>
      </w:r>
      <w:r w:rsidRPr="002A4F0C">
        <w:rPr>
          <w:sz w:val="24"/>
        </w:rPr>
        <w:t>email, 27 May 2009 (1412222R);</w:t>
      </w:r>
    </w:p>
    <w:p w14:paraId="56F24529" w14:textId="77777777" w:rsidR="002A4F0C" w:rsidRPr="002A4F0C" w:rsidRDefault="002A4F0C" w:rsidP="0014753E">
      <w:pPr>
        <w:numPr>
          <w:ilvl w:val="1"/>
          <w:numId w:val="33"/>
        </w:numPr>
        <w:spacing w:line="240" w:lineRule="auto"/>
        <w:jc w:val="both"/>
        <w:rPr>
          <w:sz w:val="24"/>
        </w:rPr>
      </w:pPr>
      <w:r w:rsidRPr="002A4F0C">
        <w:rPr>
          <w:sz w:val="23"/>
          <w:szCs w:val="23"/>
          <w:highlight w:val="black"/>
        </w:rPr>
        <w:t>xxxxxxxxxxxxx</w:t>
      </w:r>
      <w:r w:rsidRPr="002A4F0C">
        <w:rPr>
          <w:sz w:val="23"/>
          <w:szCs w:val="23"/>
        </w:rPr>
        <w:t xml:space="preserve"> </w:t>
      </w:r>
      <w:r w:rsidRPr="002A4F0C">
        <w:rPr>
          <w:sz w:val="24"/>
        </w:rPr>
        <w:t>submission, 27 May 2009 (1412228R);</w:t>
      </w:r>
    </w:p>
    <w:p w14:paraId="27541C53" w14:textId="77777777" w:rsidR="002A4F0C" w:rsidRPr="002A4F0C" w:rsidRDefault="002A4F0C" w:rsidP="0014753E">
      <w:pPr>
        <w:numPr>
          <w:ilvl w:val="1"/>
          <w:numId w:val="33"/>
        </w:numPr>
        <w:spacing w:line="240" w:lineRule="auto"/>
        <w:jc w:val="both"/>
        <w:rPr>
          <w:sz w:val="24"/>
        </w:rPr>
      </w:pPr>
      <w:r w:rsidRPr="002A4F0C">
        <w:rPr>
          <w:sz w:val="24"/>
        </w:rPr>
        <w:t>Allergy and Environmental Sensitivity and Research Association Inc (AESSRA), submission, received 29 May 2009. The submission provided an abstract of an article on multiple chemical sensitivity, a summary of a book authored by Pall (2007) which has a chapter on Gulf War syndrome (including a list of the 58 references cited in this chapter), and a new, soon-to-be-published review on multiple chemical sensitivity by the same author (1412224R). [The chapter on Gulf War syndrome was obtained for further review, but the material on multiple chemical sensitivity was not obtained as it has only indirect relevance to this investigation.]</w:t>
      </w:r>
    </w:p>
    <w:p w14:paraId="60CF5B3E" w14:textId="77777777" w:rsidR="002A4F0C" w:rsidRPr="002A4F0C" w:rsidRDefault="002A4F0C" w:rsidP="0014753E">
      <w:pPr>
        <w:numPr>
          <w:ilvl w:val="1"/>
          <w:numId w:val="33"/>
        </w:numPr>
        <w:spacing w:line="240" w:lineRule="auto"/>
        <w:rPr>
          <w:sz w:val="24"/>
        </w:rPr>
      </w:pPr>
      <w:r w:rsidRPr="002A4F0C">
        <w:rPr>
          <w:sz w:val="23"/>
          <w:szCs w:val="23"/>
          <w:highlight w:val="black"/>
        </w:rPr>
        <w:t>xxxxxxxxxxxxxxxxxxxx</w:t>
      </w:r>
      <w:r w:rsidRPr="002A4F0C">
        <w:rPr>
          <w:sz w:val="24"/>
          <w:highlight w:val="black"/>
        </w:rPr>
        <w:t>,</w:t>
      </w:r>
      <w:r w:rsidRPr="002A4F0C">
        <w:rPr>
          <w:sz w:val="23"/>
          <w:szCs w:val="23"/>
          <w:highlight w:val="black"/>
        </w:rPr>
        <w:t>xxxxxxxxxxxxxxxxxxxxxxxxxxxxxxxxxxxxxxxxxxxx</w:t>
      </w:r>
      <w:r w:rsidRPr="002A4F0C">
        <w:rPr>
          <w:sz w:val="24"/>
          <w:highlight w:val="black"/>
        </w:rPr>
        <w:t xml:space="preserve">, </w:t>
      </w:r>
      <w:r w:rsidRPr="002A4F0C">
        <w:rPr>
          <w:sz w:val="24"/>
        </w:rPr>
        <w:t>28 May 2009, submission citing Binns Report that there is sufficient evidence to determine Statements of Principles related to exposure to pyridostigmine bromide, the health effects of vaccines given to ADF members, and, particularly, the health effects of receiving multiple vaccines (1412226R).</w:t>
      </w:r>
    </w:p>
    <w:p w14:paraId="0DEC311E" w14:textId="77777777" w:rsidR="002A4F0C" w:rsidRPr="002A4F0C" w:rsidRDefault="002A4F0C" w:rsidP="0014753E">
      <w:pPr>
        <w:numPr>
          <w:ilvl w:val="1"/>
          <w:numId w:val="33"/>
        </w:numPr>
        <w:spacing w:line="240" w:lineRule="auto"/>
        <w:jc w:val="both"/>
        <w:rPr>
          <w:sz w:val="24"/>
        </w:rPr>
      </w:pPr>
      <w:r w:rsidRPr="002A4F0C">
        <w:rPr>
          <w:sz w:val="23"/>
          <w:szCs w:val="23"/>
          <w:highlight w:val="black"/>
        </w:rPr>
        <w:t>xxxxxxxxxxxxxxxxxxxxxxxxxxxxxxxxx</w:t>
      </w:r>
      <w:r w:rsidRPr="002A4F0C">
        <w:rPr>
          <w:sz w:val="24"/>
        </w:rPr>
        <w:t>, 23 June 2009, letter detailing exposure to multiple inoculations and pyridostigmine bromide tablets (one tablet three times a day for several days). Includes letter from GP, who has diagnosed him with an unexplained allergic type reaction, and a detailed chronological listing of his allergic episodes over the last 6 years (1412223R).</w:t>
      </w:r>
    </w:p>
    <w:p w14:paraId="39250C56" w14:textId="77777777" w:rsidR="002A4F0C" w:rsidRPr="002A4F0C" w:rsidRDefault="002A4F0C" w:rsidP="0014753E">
      <w:pPr>
        <w:numPr>
          <w:ilvl w:val="1"/>
          <w:numId w:val="33"/>
        </w:numPr>
        <w:spacing w:line="240" w:lineRule="auto"/>
        <w:jc w:val="both"/>
        <w:rPr>
          <w:sz w:val="23"/>
          <w:szCs w:val="23"/>
        </w:rPr>
      </w:pPr>
      <w:r w:rsidRPr="002A4F0C">
        <w:rPr>
          <w:sz w:val="23"/>
          <w:szCs w:val="23"/>
        </w:rPr>
        <w:t>RMA medical researcher briefing paper ‘Gulf War syndrome’, June 2010 (13105908R);</w:t>
      </w:r>
    </w:p>
    <w:p w14:paraId="5D57212C"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xxxxxxxxxxxxxxxxxxxxxxxxxxxxxxxxxxxxx</w:t>
      </w:r>
      <w:r w:rsidRPr="002A4F0C">
        <w:rPr>
          <w:sz w:val="23"/>
          <w:szCs w:val="23"/>
        </w:rPr>
        <w:t xml:space="preserve"> 7 February 2012 (request for investigation) (1412219R);</w:t>
      </w:r>
    </w:p>
    <w:p w14:paraId="72A07E55"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 xml:space="preserve">xxxxxxxxxxxxxxxxxxxxxxxxxxxxxxxxxxxxxxxxxxx </w:t>
      </w:r>
      <w:r w:rsidRPr="002A4F0C">
        <w:rPr>
          <w:sz w:val="23"/>
          <w:szCs w:val="23"/>
        </w:rPr>
        <w:t>3 May 2012 (request for an investigation concerning ‘toxic effect of a specified substance ICD code T65.8, toxic substance concerned pyridostigmine bromide’) (1412229R);</w:t>
      </w:r>
    </w:p>
    <w:p w14:paraId="121B6B8F"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 xml:space="preserve">xxxxxxxxxxxxxxxxxxxxxxxxxxxxxxxxxxxxxxxxxxx xxxxxxxxxxxx, </w:t>
      </w:r>
      <w:r w:rsidRPr="002A4F0C">
        <w:rPr>
          <w:sz w:val="23"/>
          <w:szCs w:val="23"/>
        </w:rPr>
        <w:t>3 August 2012 – letter seeking review of RMA decision of 15 June 2012 not to undertake an investigation concerning ‘toxic effect of a specified substance ICD code T65.8, toxic substance concerned pyridostigmine bromide’ (1412230R);</w:t>
      </w:r>
    </w:p>
    <w:p w14:paraId="40F9F6FC" w14:textId="77777777" w:rsidR="002A4F0C" w:rsidRPr="002A4F0C" w:rsidRDefault="002A4F0C" w:rsidP="0014753E">
      <w:pPr>
        <w:numPr>
          <w:ilvl w:val="1"/>
          <w:numId w:val="33"/>
        </w:numPr>
        <w:spacing w:line="240" w:lineRule="auto"/>
        <w:jc w:val="both"/>
        <w:rPr>
          <w:sz w:val="23"/>
          <w:szCs w:val="23"/>
        </w:rPr>
      </w:pPr>
      <w:r w:rsidRPr="002A4F0C">
        <w:rPr>
          <w:sz w:val="23"/>
          <w:szCs w:val="23"/>
        </w:rPr>
        <w:t>RMA medical researcher discussion paper ‘Toxic effects of pyridostigmine bromide’, June 2012 (1398457R);</w:t>
      </w:r>
    </w:p>
    <w:p w14:paraId="5084F790"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xxxxxxxxxxxx</w:t>
      </w:r>
      <w:r w:rsidRPr="002A4F0C">
        <w:rPr>
          <w:sz w:val="23"/>
          <w:szCs w:val="23"/>
        </w:rPr>
        <w:t>, submission (email), 25 March 2013 (13631R)</w:t>
      </w:r>
    </w:p>
    <w:p w14:paraId="181A3D3C"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xxxxxxxxxxxx, xxxxxxxxxxxxxxxxxxxxxxxx</w:t>
      </w:r>
      <w:r w:rsidRPr="002A4F0C">
        <w:rPr>
          <w:sz w:val="23"/>
          <w:szCs w:val="23"/>
        </w:rPr>
        <w:t>, letter and submission, 3 April 2013 (13632R);</w:t>
      </w:r>
    </w:p>
    <w:p w14:paraId="41ABEC2E"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 xml:space="preserve">xxxxxxxxxxxxxxxxxxxxxxx, </w:t>
      </w:r>
      <w:r w:rsidRPr="002A4F0C">
        <w:rPr>
          <w:sz w:val="23"/>
          <w:szCs w:val="23"/>
        </w:rPr>
        <w:t>submission, 4 April 2013 (13634R);</w:t>
      </w:r>
    </w:p>
    <w:p w14:paraId="7B908230"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xxxxxxxxxxxxxxxxxxxxxxx,</w:t>
      </w:r>
      <w:r w:rsidRPr="002A4F0C">
        <w:rPr>
          <w:sz w:val="23"/>
          <w:szCs w:val="23"/>
        </w:rPr>
        <w:t xml:space="preserve"> submission, 5 April 2013 (13375R);</w:t>
      </w:r>
    </w:p>
    <w:p w14:paraId="71DF77B3"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xxxxxxxxxxx</w:t>
      </w:r>
      <w:r w:rsidRPr="002A4F0C">
        <w:rPr>
          <w:sz w:val="23"/>
          <w:szCs w:val="23"/>
        </w:rPr>
        <w:t xml:space="preserve"> submission (email), 18 June 2013 (1351853R);</w:t>
      </w:r>
    </w:p>
    <w:p w14:paraId="25000F6E"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w:t>
      </w:r>
      <w:r w:rsidRPr="002A4F0C">
        <w:rPr>
          <w:sz w:val="23"/>
          <w:szCs w:val="23"/>
        </w:rPr>
        <w:t>, submission (email), 20 July 2013 (1362111R);</w:t>
      </w:r>
    </w:p>
    <w:p w14:paraId="0E5CBD1D" w14:textId="77777777" w:rsidR="002A4F0C" w:rsidRPr="002A4F0C" w:rsidRDefault="002A4F0C" w:rsidP="0014753E">
      <w:pPr>
        <w:numPr>
          <w:ilvl w:val="1"/>
          <w:numId w:val="33"/>
        </w:numPr>
        <w:spacing w:line="240" w:lineRule="auto"/>
        <w:jc w:val="both"/>
        <w:rPr>
          <w:sz w:val="23"/>
          <w:szCs w:val="23"/>
        </w:rPr>
      </w:pPr>
      <w:r w:rsidRPr="002A4F0C">
        <w:rPr>
          <w:sz w:val="23"/>
          <w:szCs w:val="23"/>
        </w:rPr>
        <w:t>RMA medical researcher powerpoint presentation ‘Functional syndromes</w:t>
      </w:r>
      <w:r w:rsidRPr="002A4F0C">
        <w:rPr>
          <w:sz w:val="23"/>
          <w:szCs w:val="23"/>
        </w:rPr>
        <w:br/>
        <w:t>Nosology and definitions’, October 2013 (13100104R);</w:t>
      </w:r>
    </w:p>
    <w:p w14:paraId="16CFC652" w14:textId="77777777" w:rsidR="002A4F0C" w:rsidRPr="002A4F0C" w:rsidRDefault="002A4F0C" w:rsidP="0014753E">
      <w:pPr>
        <w:numPr>
          <w:ilvl w:val="1"/>
          <w:numId w:val="33"/>
        </w:numPr>
        <w:spacing w:line="240" w:lineRule="auto"/>
        <w:jc w:val="both"/>
        <w:rPr>
          <w:sz w:val="23"/>
          <w:szCs w:val="23"/>
        </w:rPr>
      </w:pPr>
      <w:r w:rsidRPr="002A4F0C">
        <w:rPr>
          <w:sz w:val="23"/>
          <w:szCs w:val="23"/>
        </w:rPr>
        <w:t>RMA medical researcher discussion paper ‘Disease classification and medically unexplained symptoms’, December 2013 (1385274R);</w:t>
      </w:r>
    </w:p>
    <w:p w14:paraId="3BF807E3" w14:textId="77777777" w:rsidR="002A4F0C" w:rsidRPr="002A4F0C" w:rsidRDefault="002A4F0C" w:rsidP="0014753E">
      <w:pPr>
        <w:numPr>
          <w:ilvl w:val="1"/>
          <w:numId w:val="33"/>
        </w:numPr>
        <w:spacing w:line="240" w:lineRule="auto"/>
        <w:jc w:val="both"/>
        <w:rPr>
          <w:sz w:val="23"/>
          <w:szCs w:val="23"/>
        </w:rPr>
      </w:pPr>
      <w:r w:rsidRPr="002A4F0C">
        <w:rPr>
          <w:sz w:val="23"/>
          <w:szCs w:val="23"/>
        </w:rPr>
        <w:t>RMA medical researcher discussion paper (excel spreadsheet) ‘Categorisation and review of articles in the Binns Report’, February 2014 (143750R);</w:t>
      </w:r>
    </w:p>
    <w:p w14:paraId="35536FF9" w14:textId="77777777" w:rsidR="002A4F0C" w:rsidRPr="002A4F0C" w:rsidRDefault="002A4F0C" w:rsidP="0014753E">
      <w:pPr>
        <w:numPr>
          <w:ilvl w:val="1"/>
          <w:numId w:val="33"/>
        </w:numPr>
        <w:spacing w:line="240" w:lineRule="auto"/>
        <w:jc w:val="both"/>
        <w:rPr>
          <w:sz w:val="23"/>
          <w:szCs w:val="23"/>
        </w:rPr>
      </w:pPr>
      <w:r w:rsidRPr="002A4F0C">
        <w:rPr>
          <w:sz w:val="23"/>
          <w:szCs w:val="23"/>
        </w:rPr>
        <w:t>RMA medical researcher discussion paper ‘Comparison of SOPs and Proposed SOPs for functional disorders’, March 2014 (147630R);</w:t>
      </w:r>
    </w:p>
    <w:p w14:paraId="5CFB7B7F"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w:t>
      </w:r>
      <w:r w:rsidRPr="002A4F0C">
        <w:rPr>
          <w:sz w:val="23"/>
          <w:szCs w:val="23"/>
        </w:rPr>
        <w:t>, submission (email), 13 March 2014 (148063R);</w:t>
      </w:r>
    </w:p>
    <w:p w14:paraId="36BDA163" w14:textId="77777777" w:rsidR="002A4F0C" w:rsidRPr="002A4F0C" w:rsidRDefault="002A4F0C" w:rsidP="0014753E">
      <w:pPr>
        <w:numPr>
          <w:ilvl w:val="1"/>
          <w:numId w:val="33"/>
        </w:numPr>
        <w:spacing w:line="240" w:lineRule="auto"/>
        <w:jc w:val="both"/>
        <w:rPr>
          <w:sz w:val="23"/>
          <w:szCs w:val="23"/>
        </w:rPr>
      </w:pPr>
      <w:r w:rsidRPr="002A4F0C">
        <w:rPr>
          <w:sz w:val="23"/>
          <w:szCs w:val="23"/>
          <w:highlight w:val="black"/>
        </w:rPr>
        <w:t>xxxxxxxxxxxx, xxxxxxxxxxxxxxxxxxxxxxxx</w:t>
      </w:r>
      <w:r w:rsidRPr="002A4F0C">
        <w:rPr>
          <w:sz w:val="23"/>
          <w:szCs w:val="23"/>
        </w:rPr>
        <w:t>, submission, 7 April 2014 (149572R);</w:t>
      </w:r>
    </w:p>
    <w:p w14:paraId="23E51C2C" w14:textId="77777777" w:rsidR="002A4F0C" w:rsidRPr="002A4F0C" w:rsidRDefault="002A4F0C" w:rsidP="002A4F0C">
      <w:pPr>
        <w:jc w:val="both"/>
        <w:rPr>
          <w:sz w:val="23"/>
          <w:szCs w:val="23"/>
        </w:rPr>
      </w:pPr>
    </w:p>
    <w:bookmarkEnd w:id="10"/>
    <w:bookmarkEnd w:id="11"/>
    <w:bookmarkEnd w:id="12"/>
    <w:bookmarkEnd w:id="13"/>
    <w:p w14:paraId="27768938" w14:textId="77777777" w:rsidR="002A4F0C" w:rsidRPr="002A4F0C" w:rsidRDefault="002A4F0C" w:rsidP="00BD2C65">
      <w:r w:rsidRPr="002A4F0C">
        <w:t>2.</w:t>
      </w:r>
      <w:r w:rsidRPr="002A4F0C">
        <w:tab/>
        <w:t>Other information</w:t>
      </w:r>
    </w:p>
    <w:p w14:paraId="097AFCE4" w14:textId="77777777" w:rsidR="002A4F0C" w:rsidRPr="002A4F0C" w:rsidRDefault="002A4F0C" w:rsidP="0014753E">
      <w:pPr>
        <w:numPr>
          <w:ilvl w:val="1"/>
          <w:numId w:val="34"/>
        </w:numPr>
        <w:spacing w:line="240" w:lineRule="auto"/>
        <w:ind w:left="709" w:hanging="709"/>
        <w:jc w:val="both"/>
        <w:rPr>
          <w:sz w:val="23"/>
          <w:szCs w:val="23"/>
        </w:rPr>
      </w:pPr>
      <w:r w:rsidRPr="002A4F0C">
        <w:rPr>
          <w:sz w:val="23"/>
          <w:szCs w:val="23"/>
        </w:rPr>
        <w:t>Repatriation Medical Authority, Statement re investigation into Gulf War syndrome, 18 August 2003 (13106214R).</w:t>
      </w:r>
    </w:p>
    <w:p w14:paraId="4E447E9C" w14:textId="77777777" w:rsidR="002A4F0C" w:rsidRPr="002A4F0C" w:rsidRDefault="002A4F0C" w:rsidP="0014753E">
      <w:pPr>
        <w:numPr>
          <w:ilvl w:val="1"/>
          <w:numId w:val="34"/>
        </w:numPr>
        <w:spacing w:line="240" w:lineRule="auto"/>
        <w:ind w:left="709" w:hanging="709"/>
        <w:jc w:val="both"/>
        <w:rPr>
          <w:sz w:val="23"/>
          <w:szCs w:val="23"/>
        </w:rPr>
      </w:pPr>
      <w:r w:rsidRPr="002A4F0C">
        <w:rPr>
          <w:sz w:val="23"/>
          <w:szCs w:val="23"/>
        </w:rPr>
        <w:t xml:space="preserve">Email correspondence </w:t>
      </w:r>
      <w:r w:rsidRPr="002A4F0C">
        <w:rPr>
          <w:sz w:val="23"/>
          <w:szCs w:val="23"/>
          <w:highlight w:val="black"/>
        </w:rPr>
        <w:t>xxxxxxxxxxxx, xxxxxxxxxxxxxxxxxxxxxxxx</w:t>
      </w:r>
      <w:r w:rsidRPr="002A4F0C">
        <w:rPr>
          <w:sz w:val="23"/>
          <w:szCs w:val="23"/>
        </w:rPr>
        <w:t xml:space="preserve">, dated 16 &amp; 17 July 2009, to </w:t>
      </w:r>
      <w:r w:rsidRPr="002A4F0C">
        <w:rPr>
          <w:sz w:val="23"/>
          <w:szCs w:val="23"/>
          <w:highlight w:val="black"/>
        </w:rPr>
        <w:t>xxxxxxxxxx</w:t>
      </w:r>
      <w:r w:rsidRPr="002A4F0C">
        <w:rPr>
          <w:sz w:val="23"/>
          <w:szCs w:val="23"/>
        </w:rPr>
        <w:t xml:space="preserve">, outlining the IOM Review process and </w:t>
      </w:r>
      <w:r w:rsidRPr="002A4F0C">
        <w:rPr>
          <w:sz w:val="23"/>
          <w:szCs w:val="23"/>
          <w:highlight w:val="black"/>
        </w:rPr>
        <w:t>xxxxxxxxxx</w:t>
      </w:r>
      <w:r w:rsidRPr="002A4F0C">
        <w:rPr>
          <w:sz w:val="23"/>
          <w:szCs w:val="23"/>
        </w:rPr>
        <w:t xml:space="preserve"> response dated 17 July 2009 (</w:t>
      </w:r>
      <w:r w:rsidRPr="002A4F0C">
        <w:rPr>
          <w:sz w:val="23"/>
          <w:szCs w:val="23"/>
          <w:highlight w:val="black"/>
        </w:rPr>
        <w:t xml:space="preserve">xxxxxxxxxx xxxxxxxxxx xxxxxxxxxx, </w:t>
      </w:r>
      <w:r w:rsidRPr="002A4F0C">
        <w:rPr>
          <w:sz w:val="23"/>
          <w:szCs w:val="23"/>
        </w:rPr>
        <w:t>dated 23 January, 2009</w:t>
      </w:r>
      <w:r w:rsidRPr="002A4F0C">
        <w:rPr>
          <w:sz w:val="23"/>
          <w:szCs w:val="23"/>
          <w:highlight w:val="black"/>
        </w:rPr>
        <w:t>)</w:t>
      </w:r>
      <w:r w:rsidRPr="002A4F0C">
        <w:rPr>
          <w:sz w:val="23"/>
          <w:szCs w:val="23"/>
        </w:rPr>
        <w:t xml:space="preserve"> (1412220R);</w:t>
      </w:r>
    </w:p>
    <w:p w14:paraId="34BA00F6" w14:textId="77777777" w:rsidR="002A4F0C" w:rsidRPr="002A4F0C" w:rsidRDefault="002A4F0C" w:rsidP="0014753E">
      <w:pPr>
        <w:numPr>
          <w:ilvl w:val="1"/>
          <w:numId w:val="34"/>
        </w:numPr>
        <w:spacing w:line="240" w:lineRule="auto"/>
        <w:ind w:left="709" w:hanging="709"/>
        <w:jc w:val="both"/>
        <w:rPr>
          <w:sz w:val="23"/>
          <w:szCs w:val="23"/>
        </w:rPr>
      </w:pPr>
      <w:r w:rsidRPr="002A4F0C">
        <w:rPr>
          <w:sz w:val="23"/>
          <w:szCs w:val="23"/>
        </w:rPr>
        <w:t xml:space="preserve">A follow-on from the previous email from </w:t>
      </w:r>
      <w:r w:rsidRPr="002A4F0C">
        <w:rPr>
          <w:sz w:val="23"/>
          <w:szCs w:val="23"/>
          <w:highlight w:val="black"/>
        </w:rPr>
        <w:t>xxxxxxxx</w:t>
      </w:r>
      <w:r w:rsidRPr="002A4F0C">
        <w:rPr>
          <w:sz w:val="23"/>
          <w:szCs w:val="23"/>
        </w:rPr>
        <w:t xml:space="preserve"> dated 16 July 2009 sent to </w:t>
      </w:r>
      <w:r w:rsidRPr="002A4F0C">
        <w:rPr>
          <w:sz w:val="23"/>
          <w:szCs w:val="23"/>
          <w:highlight w:val="black"/>
        </w:rPr>
        <w:t>xxxxxxxx</w:t>
      </w:r>
      <w:r w:rsidRPr="002A4F0C">
        <w:rPr>
          <w:sz w:val="23"/>
          <w:szCs w:val="23"/>
        </w:rPr>
        <w:t xml:space="preserve"> and on-forwarded </w:t>
      </w:r>
      <w:r w:rsidRPr="002A4F0C">
        <w:rPr>
          <w:sz w:val="23"/>
          <w:szCs w:val="23"/>
          <w:highlight w:val="black"/>
        </w:rPr>
        <w:t>xxxxxxxx, Deputy Registrar RMA</w:t>
      </w:r>
      <w:r w:rsidRPr="002A4F0C">
        <w:rPr>
          <w:sz w:val="23"/>
          <w:szCs w:val="23"/>
        </w:rPr>
        <w:t xml:space="preserve"> (1413838R);</w:t>
      </w:r>
    </w:p>
    <w:p w14:paraId="5EC3B27C" w14:textId="77777777" w:rsidR="002A4F0C" w:rsidRPr="002A4F0C" w:rsidRDefault="002A4F0C" w:rsidP="0014753E">
      <w:pPr>
        <w:numPr>
          <w:ilvl w:val="1"/>
          <w:numId w:val="34"/>
        </w:numPr>
        <w:spacing w:line="240" w:lineRule="auto"/>
        <w:ind w:left="709" w:hanging="709"/>
        <w:jc w:val="both"/>
        <w:rPr>
          <w:sz w:val="23"/>
          <w:szCs w:val="23"/>
        </w:rPr>
      </w:pPr>
      <w:r w:rsidRPr="002A4F0C">
        <w:rPr>
          <w:sz w:val="23"/>
          <w:szCs w:val="23"/>
        </w:rPr>
        <w:t>Repatriation Medical Authority, Statement of Reasons re investigation into Gulf War syndrome, 18 June 2010 (13105889R).</w:t>
      </w:r>
    </w:p>
    <w:p w14:paraId="14A32614" w14:textId="77777777" w:rsidR="002A4F0C" w:rsidRPr="002A4F0C" w:rsidRDefault="002A4F0C" w:rsidP="0014753E">
      <w:pPr>
        <w:numPr>
          <w:ilvl w:val="1"/>
          <w:numId w:val="34"/>
        </w:numPr>
        <w:spacing w:line="240" w:lineRule="auto"/>
        <w:ind w:left="709" w:hanging="709"/>
        <w:jc w:val="both"/>
        <w:rPr>
          <w:sz w:val="23"/>
          <w:szCs w:val="23"/>
        </w:rPr>
      </w:pPr>
      <w:r w:rsidRPr="002A4F0C">
        <w:rPr>
          <w:sz w:val="23"/>
          <w:szCs w:val="23"/>
        </w:rPr>
        <w:t>Repatriation Medical Authority, Statement of Reasons regarding its decision not to carry out an investigation into ‘Toxic effect of a specified substance (ICD code T65.8) – pyridostigmine bromide, 15 June 2012 (143486R).</w:t>
      </w:r>
    </w:p>
    <w:p w14:paraId="51F87760" w14:textId="1AE7B52A" w:rsidR="002A4F0C" w:rsidRPr="002A4F0C" w:rsidRDefault="002A4F0C" w:rsidP="002A4F0C">
      <w:pPr>
        <w:spacing w:after="160" w:line="259" w:lineRule="auto"/>
        <w:rPr>
          <w:rFonts w:ascii="Times New Roman" w:hAnsi="Times New Roman" w:cs="Times New Roman"/>
          <w:szCs w:val="20"/>
        </w:rPr>
      </w:pPr>
    </w:p>
    <w:p w14:paraId="44087ADC" w14:textId="77777777" w:rsidR="002A4F0C" w:rsidRPr="002A4F0C" w:rsidRDefault="002A4F0C" w:rsidP="002A4F0C">
      <w:pPr>
        <w:spacing w:line="240" w:lineRule="auto"/>
        <w:ind w:left="720" w:hanging="720"/>
        <w:rPr>
          <w:rFonts w:ascii="Times New Roman" w:hAnsi="Times New Roman" w:cs="Times New Roman"/>
          <w:szCs w:val="20"/>
        </w:rPr>
      </w:pPr>
    </w:p>
    <w:p w14:paraId="001D4C48" w14:textId="77777777" w:rsidR="0017646A" w:rsidRDefault="0017646A">
      <w:pPr>
        <w:spacing w:line="240" w:lineRule="auto"/>
        <w:rPr>
          <w:b/>
          <w:sz w:val="24"/>
        </w:rPr>
      </w:pPr>
      <w:r>
        <w:rPr>
          <w:b/>
          <w:sz w:val="24"/>
        </w:rPr>
        <w:br w:type="page"/>
      </w:r>
    </w:p>
    <w:p w14:paraId="145E33B9" w14:textId="459D3A21" w:rsidR="002A4F0C" w:rsidRPr="00BD2C65" w:rsidRDefault="002A4F0C" w:rsidP="00BD2C65">
      <w:pPr>
        <w:pStyle w:val="Heading7"/>
      </w:pPr>
      <w:bookmarkStart w:id="14" w:name="_Toc521068763"/>
      <w:r w:rsidRPr="00BD2C65">
        <w:t>B2: NEW MATERIAL WHICH WAS NOT BEFORE THE RMA</w:t>
      </w:r>
      <w:bookmarkEnd w:id="14"/>
    </w:p>
    <w:p w14:paraId="7CF305F6" w14:textId="77777777" w:rsidR="002A4F0C" w:rsidRPr="002A4F0C" w:rsidRDefault="002A4F0C" w:rsidP="002A4F0C">
      <w:pPr>
        <w:spacing w:line="240" w:lineRule="auto"/>
      </w:pPr>
      <w:r w:rsidRPr="002A4F0C">
        <w:t xml:space="preserve">Aaron LA, Burke MM, Buchwald D. Overlapping conditions among patients with chronic fatigue syndrome, fibromyalgia, and temporomandibular disorder. Arch Inter Med. 2000;160(2):221-7. </w:t>
      </w:r>
    </w:p>
    <w:p w14:paraId="1238B2B2" w14:textId="77777777" w:rsidR="002A4F0C" w:rsidRPr="002A4F0C" w:rsidRDefault="002A4F0C" w:rsidP="002A4F0C">
      <w:pPr>
        <w:spacing w:line="240" w:lineRule="auto"/>
      </w:pPr>
    </w:p>
    <w:p w14:paraId="242C01C0" w14:textId="77777777" w:rsidR="002A4F0C" w:rsidRPr="002A4F0C" w:rsidRDefault="002A4F0C" w:rsidP="002A4F0C">
      <w:pPr>
        <w:spacing w:line="240" w:lineRule="auto"/>
      </w:pPr>
      <w:r w:rsidRPr="002A4F0C">
        <w:t>Abdel-Rahman A, Shetty AK, Abou-Donia MB. Acute exposure to sarin increases blood brain barrier permeability and induces neuropathological changes in the rat brain: dose-response relationships. Neuroscience. 2002;113(3):721-41.</w:t>
      </w:r>
    </w:p>
    <w:p w14:paraId="474BE73C" w14:textId="77777777" w:rsidR="002A4F0C" w:rsidRPr="002A4F0C" w:rsidRDefault="002A4F0C" w:rsidP="002A4F0C">
      <w:pPr>
        <w:spacing w:line="240" w:lineRule="auto"/>
      </w:pPr>
    </w:p>
    <w:p w14:paraId="45F2C363" w14:textId="77777777" w:rsidR="002A4F0C" w:rsidRPr="002A4F0C" w:rsidRDefault="002A4F0C" w:rsidP="002A4F0C">
      <w:pPr>
        <w:spacing w:line="240" w:lineRule="auto"/>
      </w:pPr>
      <w:r w:rsidRPr="002A4F0C">
        <w:t xml:space="preserve">Abdullah L, Evans JE, Montague H, Reed JM, Moser A, Crynen G, et al. Chronic elevation of phosphocholine containing lipids in mice exposed to Gulf War agents pyridostigmine bromide and permethrin. Neurotoxicol Teratol. 2013;40(Nov-Dec):74-84. </w:t>
      </w:r>
    </w:p>
    <w:p w14:paraId="0D3E7799" w14:textId="77777777" w:rsidR="002A4F0C" w:rsidRPr="002A4F0C" w:rsidRDefault="002A4F0C" w:rsidP="002A4F0C">
      <w:pPr>
        <w:spacing w:line="240" w:lineRule="auto"/>
      </w:pPr>
    </w:p>
    <w:p w14:paraId="307ED8C3" w14:textId="77777777" w:rsidR="002A4F0C" w:rsidRPr="002A4F0C" w:rsidRDefault="002A4F0C" w:rsidP="002A4F0C">
      <w:pPr>
        <w:spacing w:line="240" w:lineRule="auto"/>
      </w:pPr>
      <w:r w:rsidRPr="002A4F0C">
        <w:t>Abou-Donia MB, Conboy LA, Kokkotou E, Jacobson E, Elmasry EM, Elkafrawy P, et al. Screening for novel central nervous system biomarkers in veterans with Gulf War Illness. NeuroToxicol Teratol. 2017;61(17):1-8.</w:t>
      </w:r>
    </w:p>
    <w:p w14:paraId="0D4E82D1" w14:textId="77777777" w:rsidR="002A4F0C" w:rsidRPr="002A4F0C" w:rsidRDefault="002A4F0C" w:rsidP="002A4F0C">
      <w:pPr>
        <w:spacing w:line="240" w:lineRule="auto"/>
      </w:pPr>
    </w:p>
    <w:p w14:paraId="17FD3477" w14:textId="77777777" w:rsidR="002A4F0C" w:rsidRPr="002A4F0C" w:rsidRDefault="002A4F0C" w:rsidP="002A4F0C">
      <w:pPr>
        <w:spacing w:line="240" w:lineRule="auto"/>
      </w:pPr>
      <w:r w:rsidRPr="002A4F0C">
        <w:t xml:space="preserve">Al-Shammari AM. Environmental pollutions associated to conflicts in Iraq and related health problems. Rev Environ Health. 2016;31(2):245-50. </w:t>
      </w:r>
    </w:p>
    <w:p w14:paraId="67D276F8" w14:textId="77777777" w:rsidR="002A4F0C" w:rsidRPr="002A4F0C" w:rsidRDefault="002A4F0C" w:rsidP="002A4F0C">
      <w:pPr>
        <w:spacing w:line="240" w:lineRule="auto"/>
      </w:pPr>
    </w:p>
    <w:p w14:paraId="102AFBB6" w14:textId="77777777" w:rsidR="002A4F0C" w:rsidRPr="002A4F0C" w:rsidRDefault="002A4F0C" w:rsidP="002A4F0C">
      <w:pPr>
        <w:spacing w:line="240" w:lineRule="auto"/>
      </w:pPr>
      <w:r w:rsidRPr="002A4F0C">
        <w:t xml:space="preserve">Atwoli L, Kathuku DM, Ndetei DM. Post traumatic stress disorder among Mau Mau concentration camp survivors in Kenya. East Afr Med J 2006;83:352-9 </w:t>
      </w:r>
    </w:p>
    <w:p w14:paraId="5C073302" w14:textId="77777777" w:rsidR="002A4F0C" w:rsidRPr="002A4F0C" w:rsidRDefault="002A4F0C" w:rsidP="002A4F0C">
      <w:pPr>
        <w:spacing w:line="240" w:lineRule="auto"/>
      </w:pPr>
    </w:p>
    <w:p w14:paraId="1B3CAEEB" w14:textId="77777777" w:rsidR="002A4F0C" w:rsidRPr="002A4F0C" w:rsidRDefault="002A4F0C" w:rsidP="002A4F0C">
      <w:pPr>
        <w:spacing w:line="240" w:lineRule="auto"/>
      </w:pPr>
      <w:r w:rsidRPr="002A4F0C">
        <w:t xml:space="preserve">Bach R, editor Gulf War associated chronic coagulopathies update. In: Meeting of the Research Advisory Committee on Gulf War Veterans Illnesses. Boston University School of Public Health; 2009; Boston: June 29. </w:t>
      </w:r>
    </w:p>
    <w:p w14:paraId="020F2306" w14:textId="77777777" w:rsidR="002A4F0C" w:rsidRPr="002A4F0C" w:rsidRDefault="002A4F0C" w:rsidP="002A4F0C">
      <w:pPr>
        <w:spacing w:line="240" w:lineRule="auto"/>
      </w:pPr>
    </w:p>
    <w:p w14:paraId="19BF52C2" w14:textId="77777777" w:rsidR="002A4F0C" w:rsidRPr="002A4F0C" w:rsidRDefault="002A4F0C" w:rsidP="002A4F0C">
      <w:pPr>
        <w:spacing w:line="240" w:lineRule="auto"/>
      </w:pPr>
      <w:r w:rsidRPr="002A4F0C">
        <w:t xml:space="preserve">Barnes M, Houston D, Worsnop CJ. A randomized controlled trial of continuous positive airway pressure in mild obstructive sleep apnea. Am J Respir Crit Care Med. 2002;165:773-80 </w:t>
      </w:r>
    </w:p>
    <w:p w14:paraId="5BD68B15" w14:textId="77777777" w:rsidR="002A4F0C" w:rsidRPr="002A4F0C" w:rsidRDefault="002A4F0C" w:rsidP="002A4F0C">
      <w:pPr>
        <w:spacing w:line="240" w:lineRule="auto"/>
      </w:pPr>
    </w:p>
    <w:p w14:paraId="50A294B9" w14:textId="77777777" w:rsidR="002A4F0C" w:rsidRPr="002A4F0C" w:rsidRDefault="002A4F0C" w:rsidP="002A4F0C">
      <w:pPr>
        <w:spacing w:line="240" w:lineRule="auto"/>
      </w:pPr>
      <w:r w:rsidRPr="002A4F0C">
        <w:t xml:space="preserve">Barnes DE, Bero LA. Why review articles on the health effects of passive smoking reach different conclusions. Jama. 1998;279(19):1566-70. </w:t>
      </w:r>
    </w:p>
    <w:p w14:paraId="08304CDC" w14:textId="77777777" w:rsidR="002A4F0C" w:rsidRPr="002A4F0C" w:rsidRDefault="002A4F0C" w:rsidP="002A4F0C">
      <w:pPr>
        <w:spacing w:line="240" w:lineRule="auto"/>
      </w:pPr>
    </w:p>
    <w:p w14:paraId="40014A9F" w14:textId="77777777" w:rsidR="002A4F0C" w:rsidRPr="002A4F0C" w:rsidRDefault="002A4F0C" w:rsidP="002A4F0C">
      <w:pPr>
        <w:spacing w:line="240" w:lineRule="auto"/>
      </w:pPr>
      <w:r w:rsidRPr="002A4F0C">
        <w:t>Bazell R. Risky Rx: Drug maker's secret strategies. Disturbing glimpse into how marketing dupes doctors - and patients. NBC News 2006 /</w:t>
      </w:r>
    </w:p>
    <w:p w14:paraId="0C98802B" w14:textId="77777777" w:rsidR="002A4F0C" w:rsidRPr="002A4F0C" w:rsidRDefault="002A4F0C" w:rsidP="002A4F0C">
      <w:pPr>
        <w:spacing w:line="240" w:lineRule="auto"/>
      </w:pPr>
    </w:p>
    <w:p w14:paraId="5179B342" w14:textId="77777777" w:rsidR="002A4F0C" w:rsidRPr="002A4F0C" w:rsidRDefault="002A4F0C" w:rsidP="002A4F0C">
      <w:pPr>
        <w:spacing w:line="240" w:lineRule="auto"/>
      </w:pPr>
      <w:r w:rsidRPr="002A4F0C">
        <w:t>Berardocco D. DoD, CIA release Khamisiyah modeling data. GulfNEWS. 1997;1:3.</w:t>
      </w:r>
    </w:p>
    <w:p w14:paraId="44DEC950" w14:textId="77777777" w:rsidR="002A4F0C" w:rsidRPr="002A4F0C" w:rsidRDefault="002A4F0C" w:rsidP="002A4F0C">
      <w:pPr>
        <w:spacing w:line="240" w:lineRule="auto"/>
      </w:pPr>
    </w:p>
    <w:p w14:paraId="31DDCFD7" w14:textId="77777777" w:rsidR="002A4F0C" w:rsidRPr="0017646A" w:rsidRDefault="002A4F0C" w:rsidP="002A4F0C">
      <w:pPr>
        <w:spacing w:line="240" w:lineRule="auto"/>
      </w:pPr>
      <w:r w:rsidRPr="0017646A">
        <w:t xml:space="preserve">Bernstein JA, Perez A, Floyd R, Bernstein RL. Is burning semen syndrome a variant form of seminal plasma hypersensitivity? Obstet Gynecol 2003;101:93-102. </w:t>
      </w:r>
    </w:p>
    <w:p w14:paraId="257B336A" w14:textId="77777777" w:rsidR="002A4F0C" w:rsidRPr="0017646A" w:rsidRDefault="002A4F0C" w:rsidP="002A4F0C">
      <w:pPr>
        <w:spacing w:line="240" w:lineRule="auto"/>
      </w:pPr>
    </w:p>
    <w:p w14:paraId="027027DA" w14:textId="77777777" w:rsidR="002A4F0C" w:rsidRPr="002A4F0C" w:rsidRDefault="002A4F0C" w:rsidP="002A4F0C">
      <w:pPr>
        <w:spacing w:line="240" w:lineRule="auto"/>
      </w:pPr>
      <w:r w:rsidRPr="0017646A">
        <w:t>Binns JH, Cherry N, Golomb BA. Scientific Progress in Understanding Gulf War Veterans Illnesses: Report and Recommendations. Washington, D.C.: Research Advisory Committee on Gulf War Veterans' Illnesses; 2004.</w:t>
      </w:r>
    </w:p>
    <w:p w14:paraId="23B58E78" w14:textId="77777777" w:rsidR="002A4F0C" w:rsidRPr="002A4F0C" w:rsidRDefault="002A4F0C" w:rsidP="002A4F0C">
      <w:pPr>
        <w:spacing w:line="240" w:lineRule="auto"/>
      </w:pPr>
    </w:p>
    <w:p w14:paraId="072754E3" w14:textId="77777777" w:rsidR="002A4F0C" w:rsidRPr="002A4F0C" w:rsidRDefault="002A4F0C" w:rsidP="002A4F0C">
      <w:pPr>
        <w:spacing w:line="240" w:lineRule="auto"/>
      </w:pPr>
      <w:r w:rsidRPr="002A4F0C">
        <w:t xml:space="preserve">Bixler EO, Vgontzas AN, Ten Have T, Tyson K, Kales A. Effects of age on sleep apnea in men: I. Prevalence and severity. Am J Respir Crit Care Med. 1998;157:144-8.  </w:t>
      </w:r>
    </w:p>
    <w:p w14:paraId="0AF030EE" w14:textId="77777777" w:rsidR="002A4F0C" w:rsidRPr="002A4F0C" w:rsidRDefault="002A4F0C" w:rsidP="002A4F0C">
      <w:pPr>
        <w:spacing w:line="240" w:lineRule="auto"/>
      </w:pPr>
    </w:p>
    <w:p w14:paraId="3B91D13C" w14:textId="77777777" w:rsidR="002A4F0C" w:rsidRPr="002A4F0C" w:rsidRDefault="002A4F0C" w:rsidP="002A4F0C">
      <w:pPr>
        <w:spacing w:line="240" w:lineRule="auto"/>
      </w:pPr>
      <w:r w:rsidRPr="002A4F0C">
        <w:t>Bland M. An Introduction to Medical Statistics. 3rd Edition ed. New York: Oxford University Press; 2009</w:t>
      </w:r>
    </w:p>
    <w:p w14:paraId="6414BC2B" w14:textId="77777777" w:rsidR="002A4F0C" w:rsidRPr="002A4F0C" w:rsidRDefault="002A4F0C" w:rsidP="002A4F0C">
      <w:pPr>
        <w:spacing w:line="240" w:lineRule="auto"/>
      </w:pPr>
    </w:p>
    <w:p w14:paraId="0A83A181" w14:textId="77777777" w:rsidR="002A4F0C" w:rsidRPr="002A4F0C" w:rsidRDefault="002A4F0C" w:rsidP="002A4F0C">
      <w:pPr>
        <w:spacing w:line="240" w:lineRule="auto"/>
      </w:pPr>
      <w:r w:rsidRPr="002A4F0C">
        <w:t xml:space="preserve">Boehnlein JK, Kinzie JD, Ben R, Fleck J. One-year follow-up study of posttraumatic stress disorder among survivors of Cambodian concentration camps. Am J Psychiatry. 1985;142:956-9.  </w:t>
      </w:r>
    </w:p>
    <w:p w14:paraId="76D78A35" w14:textId="77777777" w:rsidR="002A4F0C" w:rsidRPr="002A4F0C" w:rsidRDefault="002A4F0C" w:rsidP="002A4F0C">
      <w:pPr>
        <w:spacing w:line="240" w:lineRule="auto"/>
      </w:pPr>
    </w:p>
    <w:p w14:paraId="45DE03DF" w14:textId="77777777" w:rsidR="002A4F0C" w:rsidRPr="002A4F0C" w:rsidRDefault="002A4F0C" w:rsidP="002A4F0C">
      <w:pPr>
        <w:spacing w:line="240" w:lineRule="auto"/>
      </w:pPr>
      <w:r w:rsidRPr="002A4F0C">
        <w:t xml:space="preserve">Bordujenko A. Post combat stress reactions: from shell shock to PTSD ... the song remains the same.” Reference retrieved from the University of Queensland library online thesis catalogue retrieved from </w:t>
      </w:r>
      <w:hyperlink r:id="rId10" w:history="1">
        <w:r w:rsidRPr="005B5A51">
          <w:rPr>
            <w:color w:val="0563C1"/>
            <w:u w:val="single"/>
          </w:rPr>
          <w:t>http://espace.library.uq.edu.au/view/UQ:253210</w:t>
        </w:r>
      </w:hyperlink>
      <w:r w:rsidRPr="002A4F0C">
        <w:t xml:space="preserve"> 19th February 2013.</w:t>
      </w:r>
    </w:p>
    <w:p w14:paraId="71475C26" w14:textId="77777777" w:rsidR="002A4F0C" w:rsidRPr="002A4F0C" w:rsidRDefault="002A4F0C" w:rsidP="002A4F0C">
      <w:pPr>
        <w:spacing w:line="240" w:lineRule="auto"/>
      </w:pPr>
    </w:p>
    <w:p w14:paraId="59A70B59" w14:textId="77777777" w:rsidR="002A4F0C" w:rsidRPr="002A4F0C" w:rsidRDefault="002A4F0C" w:rsidP="002A4F0C">
      <w:pPr>
        <w:spacing w:line="240" w:lineRule="auto"/>
      </w:pPr>
      <w:r w:rsidRPr="002A4F0C">
        <w:t>Chao LL, Reeb R, Esparza IL, Abadjian LR. Associations between the self-reported frequency of hearing chemical alarms in theater and regional brain volume in Gulf War Veterans. Neurotoxicology. 2016;53:246-56.</w:t>
      </w:r>
    </w:p>
    <w:p w14:paraId="786B44BF" w14:textId="77777777" w:rsidR="002A4F0C" w:rsidRPr="002A4F0C" w:rsidRDefault="002A4F0C" w:rsidP="002A4F0C">
      <w:pPr>
        <w:spacing w:line="240" w:lineRule="auto"/>
      </w:pPr>
    </w:p>
    <w:p w14:paraId="46395769" w14:textId="77777777" w:rsidR="002A4F0C" w:rsidRPr="002A4F0C" w:rsidRDefault="002A4F0C" w:rsidP="002A4F0C">
      <w:pPr>
        <w:spacing w:line="240" w:lineRule="auto"/>
      </w:pPr>
      <w:r w:rsidRPr="002A4F0C">
        <w:t xml:space="preserve">Cherry N, Mackness M, Durrington P, et al. Paraoxonase (PON1) polymorphisms in farmers attributing ill health to sheep dip. Lancet 2002;359:763-4. </w:t>
      </w:r>
    </w:p>
    <w:p w14:paraId="20DB3315" w14:textId="77777777" w:rsidR="002A4F0C" w:rsidRPr="002A4F0C" w:rsidRDefault="002A4F0C" w:rsidP="002A4F0C">
      <w:pPr>
        <w:spacing w:line="240" w:lineRule="auto"/>
      </w:pPr>
    </w:p>
    <w:p w14:paraId="1443819A" w14:textId="77777777" w:rsidR="002A4F0C" w:rsidRPr="002A4F0C" w:rsidRDefault="002A4F0C" w:rsidP="002A4F0C">
      <w:pPr>
        <w:spacing w:line="240" w:lineRule="auto"/>
      </w:pPr>
      <w:r w:rsidRPr="002A4F0C">
        <w:t xml:space="preserve">Conklin SM, Manuck SB, Yao JK, Flory JD, Hibbeln JR, Muldoon MF. High omega-6 and low omega-3 fatty acids are associated with depressive symptoms and neuroticism. Psychosom Med. 2007;69(9):932-4.  </w:t>
      </w:r>
    </w:p>
    <w:p w14:paraId="7CCFA3AB" w14:textId="77777777" w:rsidR="002A4F0C" w:rsidRPr="002A4F0C" w:rsidRDefault="002A4F0C" w:rsidP="002A4F0C">
      <w:pPr>
        <w:spacing w:line="240" w:lineRule="auto"/>
      </w:pPr>
    </w:p>
    <w:p w14:paraId="44C6D633" w14:textId="77777777" w:rsidR="002A4F0C" w:rsidRPr="002A4F0C" w:rsidRDefault="002A4F0C" w:rsidP="002A4F0C">
      <w:pPr>
        <w:spacing w:line="240" w:lineRule="auto"/>
      </w:pPr>
      <w:r w:rsidRPr="002A4F0C">
        <w:t xml:space="preserve">Craddock TJA, Harvey JM, Nathanson L, Barnes ZM, Klimas NG, Fletcher MA, et al. Using gene expression signatures to identify novel treatment strategies in gulf war illness. BMC Medical Genomics. 2015;8(1):36. </w:t>
      </w:r>
    </w:p>
    <w:p w14:paraId="1B143EC4" w14:textId="77777777" w:rsidR="002A4F0C" w:rsidRPr="002A4F0C" w:rsidRDefault="002A4F0C" w:rsidP="002A4F0C">
      <w:pPr>
        <w:spacing w:line="240" w:lineRule="auto"/>
      </w:pPr>
    </w:p>
    <w:p w14:paraId="72B8AFAE" w14:textId="77777777" w:rsidR="002A4F0C" w:rsidRPr="002A4F0C" w:rsidRDefault="002A4F0C" w:rsidP="002A4F0C">
      <w:pPr>
        <w:spacing w:line="240" w:lineRule="auto"/>
      </w:pPr>
      <w:r w:rsidRPr="002A4F0C">
        <w:t>Craddock TJA, Fritsch P, Rice MA, Del Rosario RM, Miller D, Fletcher M, et al. A Role for Homeostatic Drive in the Perpetuation of Complex Chronic Illness: Gulf War Illness and Chronic Fatigue Syndrome. PLoS One. 2014;9(1):e84839</w:t>
      </w:r>
    </w:p>
    <w:p w14:paraId="3238952E" w14:textId="77777777" w:rsidR="002A4F0C" w:rsidRPr="002A4F0C" w:rsidRDefault="002A4F0C" w:rsidP="002A4F0C">
      <w:pPr>
        <w:spacing w:line="240" w:lineRule="auto"/>
      </w:pPr>
    </w:p>
    <w:p w14:paraId="3FBFE000" w14:textId="77777777" w:rsidR="002A4F0C" w:rsidRPr="002A4F0C" w:rsidRDefault="002A4F0C" w:rsidP="002A4F0C">
      <w:pPr>
        <w:spacing w:line="240" w:lineRule="auto"/>
      </w:pPr>
      <w:r w:rsidRPr="002A4F0C">
        <w:t xml:space="preserve">Doussau de Bazignan A, Thiessard F, Miremont-Salame G, Conri C, Haramburu F. Psychiatric adverse effects of fluoroquinolone: review of cases from the French pharmacologic surveillance database. Rev Med Interne. 2006;27:448-52. </w:t>
      </w:r>
    </w:p>
    <w:p w14:paraId="3F01351E" w14:textId="77777777" w:rsidR="002A4F0C" w:rsidRPr="002A4F0C" w:rsidRDefault="002A4F0C" w:rsidP="002A4F0C">
      <w:pPr>
        <w:spacing w:line="240" w:lineRule="auto"/>
      </w:pPr>
    </w:p>
    <w:p w14:paraId="2C5FA6ED" w14:textId="77777777" w:rsidR="002A4F0C" w:rsidRPr="002A4F0C" w:rsidRDefault="002A4F0C" w:rsidP="002A4F0C">
      <w:pPr>
        <w:spacing w:line="240" w:lineRule="auto"/>
      </w:pPr>
      <w:r w:rsidRPr="002A4F0C">
        <w:t xml:space="preserve">Drozdek B. Follow-up study of concentration camp survivors from Bosnia-Herzegovina: three years later. J Nerv Ment Dis. 1997;185:690-4. </w:t>
      </w:r>
    </w:p>
    <w:p w14:paraId="6C93A291" w14:textId="77777777" w:rsidR="002A4F0C" w:rsidRPr="002A4F0C" w:rsidRDefault="002A4F0C" w:rsidP="002A4F0C">
      <w:pPr>
        <w:spacing w:line="240" w:lineRule="auto"/>
      </w:pPr>
    </w:p>
    <w:p w14:paraId="76D09806" w14:textId="77777777" w:rsidR="002A4F0C" w:rsidRPr="002A4F0C" w:rsidRDefault="002A4F0C" w:rsidP="002A4F0C">
      <w:pPr>
        <w:spacing w:line="240" w:lineRule="auto"/>
      </w:pPr>
      <w:r w:rsidRPr="002A4F0C">
        <w:t xml:space="preserve">Dupuis L, Gonzalez de Aguilar JL, Oudart H, de Tapia M, Barbeito L, Loeffler JP. Mitochondria in amyotrophic lateral sclerosis: a trigger and a target. Neurodegener Dis. 2004;1(6):245-54.  </w:t>
      </w:r>
    </w:p>
    <w:p w14:paraId="3B65080E" w14:textId="77777777" w:rsidR="002A4F0C" w:rsidRPr="002A4F0C" w:rsidRDefault="002A4F0C" w:rsidP="002A4F0C">
      <w:pPr>
        <w:spacing w:line="240" w:lineRule="auto"/>
      </w:pPr>
    </w:p>
    <w:p w14:paraId="2DF2CDE4" w14:textId="77777777" w:rsidR="002A4F0C" w:rsidRPr="002A4F0C" w:rsidRDefault="002A4F0C" w:rsidP="002A4F0C">
      <w:pPr>
        <w:spacing w:line="240" w:lineRule="auto"/>
      </w:pPr>
      <w:r w:rsidRPr="002A4F0C">
        <w:t xml:space="preserve">Erickson LC, Ritchie JB, Javors JM, Golomb BA. Recruiting a special sample with sparse resources: Lessons from a study of Gulf War veterans. Clin Trials. 2013;10(3):473-82. </w:t>
      </w:r>
    </w:p>
    <w:p w14:paraId="56D15E45" w14:textId="77777777" w:rsidR="002A4F0C" w:rsidRPr="002A4F0C" w:rsidRDefault="002A4F0C" w:rsidP="002A4F0C">
      <w:pPr>
        <w:spacing w:line="240" w:lineRule="auto"/>
      </w:pPr>
    </w:p>
    <w:p w14:paraId="391A70FB" w14:textId="77777777" w:rsidR="002A4F0C" w:rsidRPr="002A4F0C" w:rsidRDefault="002A4F0C" w:rsidP="002A4F0C">
      <w:pPr>
        <w:spacing w:line="240" w:lineRule="auto"/>
      </w:pPr>
      <w:r w:rsidRPr="002A4F0C">
        <w:t xml:space="preserve">Favaro A, Tenconi E, Colombo G, Santonastaso P. Full and partial post-traumatic stress disorder among World War II prisoners of war. Psychopathology. 2006;39:187-91.  </w:t>
      </w:r>
    </w:p>
    <w:p w14:paraId="466D26F3" w14:textId="77777777" w:rsidR="002A4F0C" w:rsidRPr="002A4F0C" w:rsidRDefault="002A4F0C" w:rsidP="002A4F0C">
      <w:pPr>
        <w:spacing w:line="240" w:lineRule="auto"/>
      </w:pPr>
    </w:p>
    <w:p w14:paraId="647C02FB" w14:textId="77777777" w:rsidR="002A4F0C" w:rsidRPr="002A4F0C" w:rsidRDefault="002A4F0C" w:rsidP="002A4F0C">
      <w:pPr>
        <w:spacing w:line="240" w:lineRule="auto"/>
      </w:pPr>
      <w:r w:rsidRPr="002A4F0C">
        <w:t xml:space="preserve">Frances C, Hoizey G, Lamiable D, Millart H, Trenque T. Bromism from daily over intake of bromide salt. J Toxicol Clin Toxicol 2003;41:181-3 </w:t>
      </w:r>
    </w:p>
    <w:p w14:paraId="048B34B3" w14:textId="77777777" w:rsidR="002A4F0C" w:rsidRPr="002A4F0C" w:rsidRDefault="002A4F0C" w:rsidP="002A4F0C">
      <w:pPr>
        <w:spacing w:line="240" w:lineRule="auto"/>
      </w:pPr>
    </w:p>
    <w:p w14:paraId="6B715E83" w14:textId="77777777" w:rsidR="002A4F0C" w:rsidRPr="002A4F0C" w:rsidRDefault="002A4F0C" w:rsidP="002A4F0C">
      <w:pPr>
        <w:spacing w:line="240" w:lineRule="auto"/>
      </w:pPr>
      <w:r w:rsidRPr="002A4F0C">
        <w:t xml:space="preserve">Fugh-Berman AJ. The haunting of medical journals: how ghostwriting sold "HRT". PLoS Med 2010;7:e1000335. </w:t>
      </w:r>
    </w:p>
    <w:p w14:paraId="7743BD39" w14:textId="77777777" w:rsidR="002A4F0C" w:rsidRPr="002A4F0C" w:rsidRDefault="002A4F0C" w:rsidP="002A4F0C">
      <w:pPr>
        <w:spacing w:line="240" w:lineRule="auto"/>
      </w:pPr>
    </w:p>
    <w:p w14:paraId="7CBF3ACD" w14:textId="77777777" w:rsidR="002A4F0C" w:rsidRPr="002A4F0C" w:rsidRDefault="002A4F0C" w:rsidP="002A4F0C">
      <w:pPr>
        <w:spacing w:line="240" w:lineRule="auto"/>
      </w:pPr>
      <w:r w:rsidRPr="002A4F0C">
        <w:t>Gagnon M-A, Sismondo S. Big Pharma has developed new forms of 'research' to serve its own interests. In: The Mark; 2011.</w:t>
      </w:r>
    </w:p>
    <w:p w14:paraId="4F3FB77E" w14:textId="77777777" w:rsidR="002A4F0C" w:rsidRPr="002A4F0C" w:rsidRDefault="002A4F0C" w:rsidP="002A4F0C">
      <w:pPr>
        <w:spacing w:line="240" w:lineRule="auto"/>
      </w:pPr>
    </w:p>
    <w:p w14:paraId="5A6F41B3" w14:textId="77777777" w:rsidR="002A4F0C" w:rsidRPr="002A4F0C" w:rsidRDefault="002A4F0C" w:rsidP="002A4F0C">
      <w:pPr>
        <w:spacing w:line="240" w:lineRule="auto"/>
      </w:pPr>
      <w:r w:rsidRPr="002A4F0C">
        <w:t>General Accounting Office (GAO). Gulf War Illnesses: DOD's Conclusions about U.S. Troops' Exposure Cannot Be Adequately Supported. Washington DC; 2004.  Contract No.: GAO report number: GAO-04-159.</w:t>
      </w:r>
    </w:p>
    <w:p w14:paraId="79386390" w14:textId="77777777" w:rsidR="002A4F0C" w:rsidRPr="002A4F0C" w:rsidRDefault="002A4F0C" w:rsidP="002A4F0C">
      <w:pPr>
        <w:spacing w:line="240" w:lineRule="auto"/>
      </w:pPr>
    </w:p>
    <w:p w14:paraId="03508EF7" w14:textId="77777777" w:rsidR="002A4F0C" w:rsidRPr="002A4F0C" w:rsidRDefault="002A4F0C" w:rsidP="002A4F0C">
      <w:pPr>
        <w:spacing w:line="240" w:lineRule="auto"/>
      </w:pPr>
      <w:r w:rsidRPr="002A4F0C">
        <w:t>Georgopoulos A. GWVI is a distinct brain disorder: Evidence from MEG. Presentation to the Research Advisory Committee on Gulf War Veterans' Illnesses 2012; Washington D.C.:June 18.</w:t>
      </w:r>
    </w:p>
    <w:p w14:paraId="448952C0" w14:textId="77777777" w:rsidR="002A4F0C" w:rsidRPr="002A4F0C" w:rsidRDefault="002A4F0C" w:rsidP="002A4F0C">
      <w:pPr>
        <w:spacing w:line="240" w:lineRule="auto"/>
      </w:pPr>
    </w:p>
    <w:p w14:paraId="6338725B" w14:textId="77777777" w:rsidR="002A4F0C" w:rsidRPr="002A4F0C" w:rsidRDefault="002A4F0C" w:rsidP="002A4F0C">
      <w:pPr>
        <w:spacing w:line="240" w:lineRule="auto"/>
      </w:pPr>
      <w:r w:rsidRPr="002A4F0C">
        <w:t>Georgopoulos AP, James LM, Mahan MY, Joseph J, Georgopoulos A, Engdahl BE. Reduced Human Leukocyte Antigen (HLA) Protection in Gulf War Illness (GWI). EBio Medicine. 2016;3:79-85.</w:t>
      </w:r>
    </w:p>
    <w:p w14:paraId="0787FF67" w14:textId="77777777" w:rsidR="002A4F0C" w:rsidRPr="002A4F0C" w:rsidRDefault="002A4F0C" w:rsidP="002A4F0C">
      <w:pPr>
        <w:spacing w:line="240" w:lineRule="auto"/>
      </w:pPr>
    </w:p>
    <w:p w14:paraId="075DCCF1" w14:textId="77777777" w:rsidR="002A4F0C" w:rsidRPr="002A4F0C" w:rsidRDefault="002A4F0C" w:rsidP="002A4F0C">
      <w:pPr>
        <w:spacing w:line="240" w:lineRule="auto"/>
      </w:pPr>
      <w:r w:rsidRPr="002A4F0C">
        <w:t>Ghostwriting: the dirty little secret of medical publishing that just got bigger. PLoS Med 2009;6:e1000156. http://journals.plos.org/plosmedicine/article?id=10.1371/journal.pmed.1000156</w:t>
      </w:r>
    </w:p>
    <w:p w14:paraId="348BE7B5" w14:textId="77777777" w:rsidR="002A4F0C" w:rsidRPr="002A4F0C" w:rsidRDefault="002A4F0C" w:rsidP="002A4F0C">
      <w:pPr>
        <w:spacing w:line="240" w:lineRule="auto"/>
      </w:pPr>
    </w:p>
    <w:p w14:paraId="7644E065" w14:textId="77777777" w:rsidR="002A4F0C" w:rsidRPr="002A4F0C" w:rsidRDefault="002A4F0C" w:rsidP="002A4F0C">
      <w:pPr>
        <w:spacing w:line="240" w:lineRule="auto"/>
      </w:pPr>
      <w:r w:rsidRPr="002A4F0C">
        <w:t xml:space="preserve">Golomb BA. Q10 for Gulf War Veterans: Results of a Double Blind Randomized Pilot Study. 2011.   Available from: https://www.va.gov/RAC-GWVI/docs/Minutes_and_Agendas/Minutes_June2011_Presentation05.pdf. </w:t>
      </w:r>
    </w:p>
    <w:p w14:paraId="4B617422" w14:textId="77777777" w:rsidR="002A4F0C" w:rsidRPr="002A4F0C" w:rsidRDefault="002A4F0C" w:rsidP="002A4F0C">
      <w:pPr>
        <w:spacing w:line="240" w:lineRule="auto"/>
      </w:pPr>
    </w:p>
    <w:p w14:paraId="74B1167D" w14:textId="77777777" w:rsidR="002A4F0C" w:rsidRPr="002A4F0C" w:rsidRDefault="002A4F0C" w:rsidP="002A4F0C">
      <w:pPr>
        <w:spacing w:line="240" w:lineRule="auto"/>
      </w:pPr>
      <w:r w:rsidRPr="002A4F0C">
        <w:t xml:space="preserve">Golomb BA. Pyridostigmine Bromide: A Review of the Scientific Literature as it Pertain to Gulf War Illnesses. Testimony to Congress: House Veterans Affairs Committee, Health Subcommittee and Benefits Subcommittee: 11-19-99. Washington, D.C.; 1999. </w:t>
      </w:r>
    </w:p>
    <w:p w14:paraId="48B8A6F5" w14:textId="77777777" w:rsidR="002A4F0C" w:rsidRPr="002A4F0C" w:rsidRDefault="002A4F0C" w:rsidP="002A4F0C">
      <w:pPr>
        <w:spacing w:line="240" w:lineRule="auto"/>
      </w:pPr>
    </w:p>
    <w:p w14:paraId="6EE9CE0E" w14:textId="77777777" w:rsidR="002A4F0C" w:rsidRPr="002A4F0C" w:rsidRDefault="002A4F0C" w:rsidP="002A4F0C">
      <w:pPr>
        <w:spacing w:line="240" w:lineRule="auto"/>
      </w:pPr>
      <w:r w:rsidRPr="002A4F0C">
        <w:t>Golomb BA. Oxidative Stress and Mitochondrial Injury in Chronic Multisymptom Conditions: From Gulf War Illness to Autism Spectrum Disorder. Available from Nature Precedings. 2012;http://hdl.handle.net/10101/npre.2012.6847.1.</w:t>
      </w:r>
    </w:p>
    <w:p w14:paraId="1A92F31D" w14:textId="77777777" w:rsidR="002A4F0C" w:rsidRPr="002A4F0C" w:rsidRDefault="002A4F0C" w:rsidP="002A4F0C">
      <w:pPr>
        <w:spacing w:line="240" w:lineRule="auto"/>
      </w:pPr>
    </w:p>
    <w:p w14:paraId="1285551D" w14:textId="77777777" w:rsidR="002A4F0C" w:rsidRPr="002A4F0C" w:rsidRDefault="002A4F0C" w:rsidP="002A4F0C">
      <w:pPr>
        <w:spacing w:line="240" w:lineRule="auto"/>
      </w:pPr>
      <w:r w:rsidRPr="002A4F0C">
        <w:t xml:space="preserve">Golomb BA. Pyridostigmine Bromide: A Review of the Scientific Literature as it Pertains to Gulf War Illnesses. Testimony to Congress: House Veterans Affairs Committee, Health Subcommittee and Benefits Subcommittee: 11-19-99. Washington, D.C.; 1999 </w:t>
      </w:r>
    </w:p>
    <w:p w14:paraId="201EE825" w14:textId="77777777" w:rsidR="002A4F0C" w:rsidRPr="002A4F0C" w:rsidRDefault="002A4F0C" w:rsidP="002A4F0C">
      <w:pPr>
        <w:spacing w:line="240" w:lineRule="auto"/>
      </w:pPr>
    </w:p>
    <w:p w14:paraId="5CBC862B" w14:textId="77777777" w:rsidR="002A4F0C" w:rsidRPr="002A4F0C" w:rsidRDefault="002A4F0C" w:rsidP="002A4F0C">
      <w:pPr>
        <w:spacing w:line="240" w:lineRule="auto"/>
      </w:pPr>
      <w:r w:rsidRPr="002A4F0C">
        <w:t xml:space="preserve">Golomb BA, Kwon EK, Koperski S, Evans MA. Amyotrophic lateral sclerosis-like conditions in possible association with cholesterol-lowering drugs: an analysis of patient reports to the University of California, San Diego (UCSD) Statin Effects Study. Drug Saf 2009;32:649-61. </w:t>
      </w:r>
    </w:p>
    <w:p w14:paraId="4773F856" w14:textId="77777777" w:rsidR="002A4F0C" w:rsidRPr="002A4F0C" w:rsidRDefault="002A4F0C" w:rsidP="002A4F0C">
      <w:pPr>
        <w:spacing w:line="240" w:lineRule="auto"/>
      </w:pPr>
    </w:p>
    <w:p w14:paraId="470AD77B" w14:textId="77777777" w:rsidR="002A4F0C" w:rsidRPr="002A4F0C" w:rsidRDefault="002A4F0C" w:rsidP="002A4F0C">
      <w:pPr>
        <w:spacing w:line="240" w:lineRule="auto"/>
      </w:pPr>
      <w:r w:rsidRPr="002A4F0C">
        <w:t>Golomb BA. Conflict of Interest. http://thesciencenetwork.org/programs/beyond-belief-candles-in-the-dark/beatrice-golomb: Beyond Belief: Candles in the Dark, sponsored by The Science Network (tsntv.org), session entitled “This is Your Brain on Politics” Salk Institute. La Jolla, CA. Oct 5; 2008.</w:t>
      </w:r>
    </w:p>
    <w:p w14:paraId="05F9542B" w14:textId="77777777" w:rsidR="002A4F0C" w:rsidRPr="002A4F0C" w:rsidRDefault="002A4F0C" w:rsidP="002A4F0C">
      <w:pPr>
        <w:spacing w:line="240" w:lineRule="auto"/>
      </w:pPr>
    </w:p>
    <w:p w14:paraId="491E97DD" w14:textId="77777777" w:rsidR="002A4F0C" w:rsidRPr="002A4F0C" w:rsidRDefault="002A4F0C" w:rsidP="002A4F0C">
      <w:pPr>
        <w:spacing w:line="240" w:lineRule="auto"/>
      </w:pPr>
      <w:r w:rsidRPr="002A4F0C">
        <w:t>Gray et al 1999 Increased Postwar Symptoms and Psychological Morbidity Among, Am. J. Trop. Med. Hyg., 60(5), 1999, pp. 758–766</w:t>
      </w:r>
    </w:p>
    <w:p w14:paraId="35B4D380" w14:textId="77777777" w:rsidR="002A4F0C" w:rsidRPr="002A4F0C" w:rsidRDefault="002A4F0C" w:rsidP="002A4F0C">
      <w:pPr>
        <w:spacing w:line="240" w:lineRule="auto"/>
      </w:pPr>
    </w:p>
    <w:p w14:paraId="7522A3A6" w14:textId="77777777" w:rsidR="002A4F0C" w:rsidRPr="002A4F0C" w:rsidRDefault="002A4F0C" w:rsidP="002A4F0C">
      <w:pPr>
        <w:spacing w:line="240" w:lineRule="auto"/>
      </w:pPr>
      <w:r w:rsidRPr="002A4F0C">
        <w:t xml:space="preserve">Harris G. Caustic Government Report Deals Blow to Diabetes Drug. New York Times 2010;July 9, 2010. </w:t>
      </w:r>
    </w:p>
    <w:p w14:paraId="4CED0274" w14:textId="77777777" w:rsidR="002A4F0C" w:rsidRPr="002A4F0C" w:rsidRDefault="002A4F0C" w:rsidP="002A4F0C">
      <w:pPr>
        <w:spacing w:line="240" w:lineRule="auto"/>
      </w:pPr>
    </w:p>
    <w:p w14:paraId="3B83EC64" w14:textId="77777777" w:rsidR="002A4F0C" w:rsidRPr="002A4F0C" w:rsidRDefault="002A4F0C" w:rsidP="002A4F0C">
      <w:pPr>
        <w:spacing w:line="240" w:lineRule="auto"/>
      </w:pPr>
      <w:r w:rsidRPr="002A4F0C">
        <w:t>Hattiangady B, Mishra V, Kodali M, Shuai B, Rao X, Shetty AK. Object location and object recognition memory impairments, motivation deficits and depression in a model of Gulf War illness. Front Behav Neurosci. 2014;8(78):1-10.</w:t>
      </w:r>
    </w:p>
    <w:p w14:paraId="4F108069" w14:textId="77777777" w:rsidR="002A4F0C" w:rsidRPr="002A4F0C" w:rsidRDefault="002A4F0C" w:rsidP="002A4F0C">
      <w:pPr>
        <w:spacing w:line="240" w:lineRule="auto"/>
      </w:pPr>
    </w:p>
    <w:p w14:paraId="471B0BF1" w14:textId="77777777" w:rsidR="002A4F0C" w:rsidRPr="002A4F0C" w:rsidRDefault="002A4F0C" w:rsidP="002A4F0C">
      <w:pPr>
        <w:spacing w:line="240" w:lineRule="auto"/>
      </w:pPr>
      <w:r w:rsidRPr="002A4F0C">
        <w:t>Henderson RF, Barr EB, Blackwell WB, Clark CR, Conn C, Kalra R, et al. Response of rats to low levels of sarin. Toxicol Appl Pharmacol 2002;184(2):67-76.</w:t>
      </w:r>
    </w:p>
    <w:p w14:paraId="73A6078C" w14:textId="77777777" w:rsidR="002A4F0C" w:rsidRPr="002A4F0C" w:rsidRDefault="002A4F0C" w:rsidP="002A4F0C">
      <w:pPr>
        <w:spacing w:line="240" w:lineRule="auto"/>
      </w:pPr>
    </w:p>
    <w:p w14:paraId="437C6E62" w14:textId="77777777" w:rsidR="002A4F0C" w:rsidRPr="002A4F0C" w:rsidRDefault="002A4F0C" w:rsidP="002A4F0C">
      <w:pPr>
        <w:spacing w:line="240" w:lineRule="auto"/>
      </w:pPr>
      <w:r w:rsidRPr="002A4F0C">
        <w:t xml:space="preserve">Hilborne LH, Golomb BA. A Review of the Scientific Literature as it Pertains to Gulf War Illnesses. Volume 1: Infectious Diseases. Santa Monica: RAND; 2001. </w:t>
      </w:r>
    </w:p>
    <w:p w14:paraId="17A38E6E" w14:textId="77777777" w:rsidR="002A4F0C" w:rsidRPr="002A4F0C" w:rsidRDefault="002A4F0C" w:rsidP="002A4F0C">
      <w:pPr>
        <w:spacing w:line="240" w:lineRule="auto"/>
      </w:pPr>
    </w:p>
    <w:p w14:paraId="789BC9DB" w14:textId="77777777" w:rsidR="002A4F0C" w:rsidRPr="002A4F0C" w:rsidRDefault="002A4F0C" w:rsidP="002A4F0C">
      <w:pPr>
        <w:spacing w:line="240" w:lineRule="auto"/>
      </w:pPr>
      <w:r w:rsidRPr="002A4F0C">
        <w:t>Hubbard NA, Hutchison JL, Motes MA, Shokri-Kojori E, Bennett IJ, Brigante RM, et al. Central Executive Dysfunction and Deferred Prefrontal Processing in Veterans with Gulf War Illness. Clinical Psychological Science. 2014;2(3):319-27.</w:t>
      </w:r>
    </w:p>
    <w:p w14:paraId="0B9BC3BC" w14:textId="77777777" w:rsidR="002A4F0C" w:rsidRPr="002A4F0C" w:rsidRDefault="002A4F0C" w:rsidP="002A4F0C">
      <w:pPr>
        <w:spacing w:line="240" w:lineRule="auto"/>
      </w:pPr>
    </w:p>
    <w:p w14:paraId="71B0A96F" w14:textId="77777777" w:rsidR="002A4F0C" w:rsidRPr="002A4F0C" w:rsidRDefault="002A4F0C" w:rsidP="002A4F0C">
      <w:pPr>
        <w:spacing w:line="240" w:lineRule="auto"/>
      </w:pPr>
      <w:r w:rsidRPr="002A4F0C">
        <w:t>Jones E, Wessely S. War Syndromes: The Impact of Culture on Medically Unexplained Symptoms. Med Hist. 2005;49(1):55-78.</w:t>
      </w:r>
    </w:p>
    <w:p w14:paraId="2160F2A0" w14:textId="77777777" w:rsidR="002A4F0C" w:rsidRPr="002A4F0C" w:rsidRDefault="002A4F0C" w:rsidP="002A4F0C">
      <w:pPr>
        <w:spacing w:line="240" w:lineRule="auto"/>
      </w:pPr>
    </w:p>
    <w:p w14:paraId="1F489BCD" w14:textId="77777777" w:rsidR="002A4F0C" w:rsidRPr="002A4F0C" w:rsidRDefault="002A4F0C" w:rsidP="002A4F0C">
      <w:pPr>
        <w:spacing w:line="240" w:lineRule="auto"/>
      </w:pPr>
      <w:r w:rsidRPr="002A4F0C">
        <w:t xml:space="preserve">Kelsall HL, Sim M, McKenzie D, Forbes A, Leder K, Glass D, et al. Medically evaluated psychological and physical health of Australian Gulf War veterans with chronic fatigue. J Psychosom Res. 2006;60(6):575-84 </w:t>
      </w:r>
    </w:p>
    <w:p w14:paraId="3F8DB960" w14:textId="77777777" w:rsidR="002A4F0C" w:rsidRPr="002A4F0C" w:rsidRDefault="002A4F0C" w:rsidP="002A4F0C">
      <w:pPr>
        <w:spacing w:line="240" w:lineRule="auto"/>
      </w:pPr>
    </w:p>
    <w:p w14:paraId="3B0D70AA" w14:textId="77777777" w:rsidR="002A4F0C" w:rsidRPr="002A4F0C" w:rsidRDefault="002A4F0C" w:rsidP="002A4F0C">
      <w:pPr>
        <w:spacing w:line="240" w:lineRule="auto"/>
      </w:pPr>
      <w:r w:rsidRPr="002A4F0C">
        <w:t xml:space="preserve">Kasarskis EJ, Lindquist JH, Coffman CJ, Grambow SC, Feussner JR, Allen KD, et al. Clinical aspects of ALS in Gulf War veterans. Amyotrophic Lateral Sclerosis 2009 10(1):35-41. </w:t>
      </w:r>
    </w:p>
    <w:p w14:paraId="0DA80CF7" w14:textId="77777777" w:rsidR="002A4F0C" w:rsidRPr="002A4F0C" w:rsidRDefault="002A4F0C" w:rsidP="002A4F0C">
      <w:pPr>
        <w:spacing w:line="240" w:lineRule="auto"/>
      </w:pPr>
    </w:p>
    <w:p w14:paraId="03062618" w14:textId="77777777" w:rsidR="002A4F0C" w:rsidRPr="002A4F0C" w:rsidRDefault="002A4F0C" w:rsidP="002A4F0C">
      <w:pPr>
        <w:spacing w:line="240" w:lineRule="auto"/>
      </w:pPr>
      <w:r w:rsidRPr="002A4F0C">
        <w:t>Kerr KJ. Gulf War illness: an overview of events, most prevalent health outcomes, exposures, and clues as to pathogenesis. Rev Environ Health. 2015;30(4):273-86.</w:t>
      </w:r>
    </w:p>
    <w:p w14:paraId="1DF00957" w14:textId="77777777" w:rsidR="002A4F0C" w:rsidRPr="002A4F0C" w:rsidRDefault="002A4F0C" w:rsidP="002A4F0C">
      <w:pPr>
        <w:spacing w:line="240" w:lineRule="auto"/>
      </w:pPr>
    </w:p>
    <w:p w14:paraId="1CA2FEF0" w14:textId="77777777" w:rsidR="002A4F0C" w:rsidRPr="002A4F0C" w:rsidRDefault="002A4F0C" w:rsidP="002A4F0C">
      <w:pPr>
        <w:spacing w:line="240" w:lineRule="auto"/>
      </w:pPr>
      <w:r w:rsidRPr="002A4F0C">
        <w:t xml:space="preserve">Kessler RC, Sonnega A, Bromet E, Hughes M, Nelson CB. Posttraumatic stress disorder in the National Comorbidity Survey. Arch Gen Psychiatry 1995;52:1048-60. </w:t>
      </w:r>
    </w:p>
    <w:p w14:paraId="341B0DBD" w14:textId="77777777" w:rsidR="002A4F0C" w:rsidRPr="002A4F0C" w:rsidRDefault="002A4F0C" w:rsidP="002A4F0C">
      <w:pPr>
        <w:spacing w:line="240" w:lineRule="auto"/>
      </w:pPr>
    </w:p>
    <w:p w14:paraId="0CEAC941" w14:textId="77777777" w:rsidR="002A4F0C" w:rsidRPr="002A4F0C" w:rsidRDefault="002A4F0C" w:rsidP="002A4F0C">
      <w:pPr>
        <w:spacing w:line="240" w:lineRule="auto"/>
      </w:pPr>
      <w:r w:rsidRPr="002A4F0C">
        <w:t>Khaiboullina SF, DeMeirleir KL, Rawat S, Berk GS, Gaynor-Berk RS, Mijatovic T, et al. Cytokine expression provides clues to the pathophysiology of Gulf War illness and myalgic encephalomyelitis. Cytokine. 2015;72(1):1-8.</w:t>
      </w:r>
    </w:p>
    <w:p w14:paraId="263781EE" w14:textId="77777777" w:rsidR="002A4F0C" w:rsidRPr="002A4F0C" w:rsidRDefault="002A4F0C" w:rsidP="002A4F0C">
      <w:pPr>
        <w:spacing w:line="240" w:lineRule="auto"/>
      </w:pPr>
    </w:p>
    <w:p w14:paraId="3A804D98" w14:textId="77777777" w:rsidR="002A4F0C" w:rsidRPr="002A4F0C" w:rsidRDefault="002A4F0C" w:rsidP="002A4F0C">
      <w:pPr>
        <w:spacing w:line="240" w:lineRule="auto"/>
      </w:pPr>
      <w:r w:rsidRPr="002A4F0C">
        <w:t>Khamisiyah. From: DeploymentLink: Deployment Health Support. Office of the Secretary of Defense, 2006. (Accessed July 26, 2006, at  http://www.deploymentlink.osd.mil/faq/faq_kham.shtml.)</w:t>
      </w:r>
    </w:p>
    <w:p w14:paraId="672D9AA8" w14:textId="77777777" w:rsidR="002A4F0C" w:rsidRPr="002A4F0C" w:rsidRDefault="002A4F0C" w:rsidP="002A4F0C">
      <w:pPr>
        <w:spacing w:line="240" w:lineRule="auto"/>
      </w:pPr>
    </w:p>
    <w:p w14:paraId="5B930216" w14:textId="77777777" w:rsidR="002A4F0C" w:rsidRPr="002A4F0C" w:rsidRDefault="002A4F0C" w:rsidP="002A4F0C">
      <w:pPr>
        <w:spacing w:line="240" w:lineRule="auto"/>
      </w:pPr>
      <w:r w:rsidRPr="002A4F0C">
        <w:t xml:space="preserve">Khan F, Kennedy G, Spence VA, Newton DJ, Belch JJ. Peripheral cholinergic function in humans with chronic fatigue syndrome, Gulf War syndrome and with illness following organophosphate exposure. Clin Sci (Lond) 2004;106:183-9. </w:t>
      </w:r>
    </w:p>
    <w:p w14:paraId="31C3E4C7" w14:textId="77777777" w:rsidR="002A4F0C" w:rsidRPr="002A4F0C" w:rsidRDefault="002A4F0C" w:rsidP="002A4F0C">
      <w:pPr>
        <w:spacing w:line="240" w:lineRule="auto"/>
      </w:pPr>
    </w:p>
    <w:p w14:paraId="432C7784" w14:textId="77777777" w:rsidR="002A4F0C" w:rsidRPr="002A4F0C" w:rsidRDefault="002A4F0C" w:rsidP="002A4F0C">
      <w:pPr>
        <w:spacing w:line="240" w:lineRule="auto"/>
      </w:pPr>
      <w:r w:rsidRPr="002A4F0C">
        <w:t>Koslik HJ, Hamilton G, Golomb BA. Mitochondrial dysfunction in Gulf War illness revealed by 31Phosphorus Magnetic Resonance Spectroscopy: a case-control study. PLoS One. 2014;9(3):e92887.</w:t>
      </w:r>
    </w:p>
    <w:p w14:paraId="1BF1D8E6" w14:textId="77777777" w:rsidR="002A4F0C" w:rsidRPr="002A4F0C" w:rsidRDefault="002A4F0C" w:rsidP="002A4F0C">
      <w:pPr>
        <w:spacing w:line="240" w:lineRule="auto"/>
      </w:pPr>
      <w:r w:rsidRPr="002A4F0C">
        <w:t>Krakow B, Lowry C, Germain A. A retrospective study on improvements in nightmares and post-traumatic stress disorder following treatment for co-morbid sleep-disordered breathing. J Psychosom Res. 2000;49:291-8.</w:t>
      </w:r>
    </w:p>
    <w:p w14:paraId="281AB025" w14:textId="77777777" w:rsidR="002A4F0C" w:rsidRPr="002A4F0C" w:rsidRDefault="002A4F0C" w:rsidP="002A4F0C">
      <w:pPr>
        <w:spacing w:line="240" w:lineRule="auto"/>
      </w:pPr>
    </w:p>
    <w:p w14:paraId="22E444F3" w14:textId="77777777" w:rsidR="002A4F0C" w:rsidRPr="002A4F0C" w:rsidRDefault="002A4F0C" w:rsidP="002A4F0C">
      <w:pPr>
        <w:spacing w:line="240" w:lineRule="auto"/>
      </w:pPr>
      <w:r w:rsidRPr="002A4F0C">
        <w:t>Kuehn BM. Gulf war illness defined. JAMA. 2014;311(16):1603</w:t>
      </w:r>
    </w:p>
    <w:p w14:paraId="2A35D906" w14:textId="77777777" w:rsidR="002A4F0C" w:rsidRPr="002A4F0C" w:rsidRDefault="002A4F0C" w:rsidP="002A4F0C">
      <w:pPr>
        <w:spacing w:line="240" w:lineRule="auto"/>
      </w:pPr>
    </w:p>
    <w:p w14:paraId="6ED37E3D" w14:textId="77777777" w:rsidR="002A4F0C" w:rsidRPr="002A4F0C" w:rsidRDefault="002A4F0C" w:rsidP="002A4F0C">
      <w:pPr>
        <w:spacing w:line="240" w:lineRule="auto"/>
      </w:pPr>
      <w:r w:rsidRPr="002A4F0C">
        <w:t xml:space="preserve">Lacasse JR, Leo J. Ghostwriting at elite academic medical centers in the United States. PLoS Med 2010;7:e1000230. </w:t>
      </w:r>
    </w:p>
    <w:p w14:paraId="429ED9CE" w14:textId="77777777" w:rsidR="002A4F0C" w:rsidRPr="002A4F0C" w:rsidRDefault="002A4F0C" w:rsidP="002A4F0C">
      <w:pPr>
        <w:spacing w:line="240" w:lineRule="auto"/>
      </w:pPr>
    </w:p>
    <w:p w14:paraId="63168030" w14:textId="77777777" w:rsidR="002A4F0C" w:rsidRPr="002A4F0C" w:rsidRDefault="002A4F0C" w:rsidP="002A4F0C">
      <w:pPr>
        <w:spacing w:line="240" w:lineRule="auto"/>
      </w:pPr>
      <w:r w:rsidRPr="002A4F0C">
        <w:t xml:space="preserve">Lansdowne AT, Provost SC. Vitamin D3 enhances mood in healthy subjects during winter. Psychopharmacology (Berl) 1998;135:319-23. </w:t>
      </w:r>
    </w:p>
    <w:p w14:paraId="71408ECC" w14:textId="77777777" w:rsidR="002A4F0C" w:rsidRPr="002A4F0C" w:rsidRDefault="002A4F0C" w:rsidP="002A4F0C">
      <w:pPr>
        <w:spacing w:line="240" w:lineRule="auto"/>
      </w:pPr>
    </w:p>
    <w:p w14:paraId="54B30E63" w14:textId="77777777" w:rsidR="002A4F0C" w:rsidRPr="002A4F0C" w:rsidRDefault="002A4F0C" w:rsidP="002A4F0C">
      <w:pPr>
        <w:spacing w:line="240" w:lineRule="auto"/>
      </w:pPr>
      <w:r w:rsidRPr="002A4F0C">
        <w:t xml:space="preserve">Lejoyeux M, Lehert P. Alcohol-use disorders and depression: results from individual patient data meta-analysis of the acamprosate-controlled studies. Alcohol 2011;46:61-7. </w:t>
      </w:r>
    </w:p>
    <w:p w14:paraId="743BC38E" w14:textId="77777777" w:rsidR="002A4F0C" w:rsidRPr="002A4F0C" w:rsidRDefault="002A4F0C" w:rsidP="002A4F0C">
      <w:pPr>
        <w:spacing w:line="240" w:lineRule="auto"/>
      </w:pPr>
    </w:p>
    <w:p w14:paraId="33CA0563" w14:textId="77777777" w:rsidR="002A4F0C" w:rsidRPr="002A4F0C" w:rsidRDefault="002A4F0C" w:rsidP="002A4F0C">
      <w:pPr>
        <w:spacing w:line="240" w:lineRule="auto"/>
      </w:pPr>
      <w:r w:rsidRPr="002A4F0C">
        <w:t xml:space="preserve">Li M, Xu C, Yao W, Mahan CM, Kang HK, Sandbrink F, et al. Self-reported post-exertional fatigue in Gulf War veterans: roles of autonomic testing. Front Neurosci. 2013;7(269). </w:t>
      </w:r>
    </w:p>
    <w:p w14:paraId="683D88E5" w14:textId="77777777" w:rsidR="002A4F0C" w:rsidRPr="002A4F0C" w:rsidRDefault="002A4F0C" w:rsidP="002A4F0C">
      <w:pPr>
        <w:spacing w:line="240" w:lineRule="auto"/>
      </w:pPr>
    </w:p>
    <w:p w14:paraId="1BB9A28B" w14:textId="77777777" w:rsidR="002A4F0C" w:rsidRPr="002A4F0C" w:rsidRDefault="002A4F0C" w:rsidP="002A4F0C">
      <w:pPr>
        <w:spacing w:line="240" w:lineRule="auto"/>
      </w:pPr>
      <w:r w:rsidRPr="002A4F0C">
        <w:t xml:space="preserve">Lloyd et al Lloyd Inquiry: Independent Public Inquiry on Gulf War Illnesses 2004 </w:t>
      </w:r>
      <w:hyperlink r:id="rId11" w:history="1">
        <w:r w:rsidRPr="005B5A51">
          <w:rPr>
            <w:color w:val="0563C1"/>
            <w:u w:val="single"/>
          </w:rPr>
          <w:t>http://www.gulfveteransassociation.co.uk/Files/LloydReport171104.pdf</w:t>
        </w:r>
      </w:hyperlink>
    </w:p>
    <w:p w14:paraId="3B9D70CF" w14:textId="77777777" w:rsidR="002A4F0C" w:rsidRPr="002A4F0C" w:rsidRDefault="002A4F0C" w:rsidP="002A4F0C">
      <w:pPr>
        <w:spacing w:line="240" w:lineRule="auto"/>
      </w:pPr>
    </w:p>
    <w:p w14:paraId="21FD8586" w14:textId="77777777" w:rsidR="002A4F0C" w:rsidRPr="002A4F0C" w:rsidRDefault="002A4F0C" w:rsidP="002A4F0C">
      <w:pPr>
        <w:spacing w:line="240" w:lineRule="auto"/>
      </w:pPr>
      <w:r w:rsidRPr="002A4F0C">
        <w:t>Marlowe M, Errera J. Low lead levels and behavior problems in children. Behavioral Disorders 1982;7:163-72.</w:t>
      </w:r>
    </w:p>
    <w:p w14:paraId="15F834BB" w14:textId="77777777" w:rsidR="002A4F0C" w:rsidRPr="002A4F0C" w:rsidRDefault="002A4F0C" w:rsidP="002A4F0C">
      <w:pPr>
        <w:spacing w:line="240" w:lineRule="auto"/>
      </w:pPr>
    </w:p>
    <w:p w14:paraId="6E0BB59C" w14:textId="77777777" w:rsidR="002A4F0C" w:rsidRPr="002A4F0C" w:rsidRDefault="002A4F0C" w:rsidP="002A4F0C">
      <w:pPr>
        <w:spacing w:line="240" w:lineRule="auto"/>
      </w:pPr>
      <w:r w:rsidRPr="002A4F0C">
        <w:t>Megahed et al 2015, Parvalbumin and neuropeptide Y expressing hippocampal GABA-ergic inhibitory interneuron numbers decline in a model of Gulf War illness, Front Cell Neurosci. 2015 Jan 8;8:447.</w:t>
      </w:r>
    </w:p>
    <w:p w14:paraId="52430D0B" w14:textId="77777777" w:rsidR="002A4F0C" w:rsidRPr="002A4F0C" w:rsidRDefault="002A4F0C" w:rsidP="002A4F0C">
      <w:pPr>
        <w:spacing w:line="240" w:lineRule="auto"/>
      </w:pPr>
    </w:p>
    <w:p w14:paraId="71584412" w14:textId="77777777" w:rsidR="002A4F0C" w:rsidRPr="002A4F0C" w:rsidRDefault="002A4F0C" w:rsidP="002A4F0C">
      <w:pPr>
        <w:spacing w:line="240" w:lineRule="auto"/>
      </w:pPr>
      <w:r w:rsidRPr="002A4F0C">
        <w:t>Mitsumoto H, Santella RM, Liu X, Bogdanov M, Zipprich J, Wu HC, et al. Oxidative stress biomarkers in sporadic ALS. Amyotroph Lateral Scler. 2008;9(3):177-83.</w:t>
      </w:r>
    </w:p>
    <w:p w14:paraId="62386803" w14:textId="77777777" w:rsidR="002A4F0C" w:rsidRPr="002A4F0C" w:rsidRDefault="002A4F0C" w:rsidP="002A4F0C">
      <w:pPr>
        <w:spacing w:line="240" w:lineRule="auto"/>
      </w:pPr>
    </w:p>
    <w:p w14:paraId="28FB3680" w14:textId="77777777" w:rsidR="002A4F0C" w:rsidRPr="002A4F0C" w:rsidRDefault="002A4F0C" w:rsidP="002A4F0C">
      <w:pPr>
        <w:spacing w:line="240" w:lineRule="auto"/>
      </w:pPr>
      <w:r w:rsidRPr="002A4F0C">
        <w:t xml:space="preserve">Milatovic D, Gupta RC, Aschner M. Anticholinesterase toxicity and oxidative stress. Scientific World Journal 2006;6:295-310. </w:t>
      </w:r>
    </w:p>
    <w:p w14:paraId="48668632" w14:textId="77777777" w:rsidR="002A4F0C" w:rsidRPr="002A4F0C" w:rsidRDefault="002A4F0C" w:rsidP="002A4F0C">
      <w:pPr>
        <w:spacing w:line="240" w:lineRule="auto"/>
      </w:pPr>
    </w:p>
    <w:p w14:paraId="203700C3" w14:textId="77777777" w:rsidR="002A4F0C" w:rsidRPr="002A4F0C" w:rsidRDefault="002A4F0C" w:rsidP="002A4F0C">
      <w:pPr>
        <w:spacing w:line="240" w:lineRule="auto"/>
      </w:pPr>
      <w:r w:rsidRPr="002A4F0C">
        <w:t>Moffett K, Crosson B, Spence JS, Case K, Levy I, Gopinath K, et al. Word-finding impairment in veterans of the 1991 Persian Gulf War. Brain Cogn. 2015;98:65-73.</w:t>
      </w:r>
    </w:p>
    <w:p w14:paraId="7924EF16" w14:textId="77777777" w:rsidR="002A4F0C" w:rsidRPr="002A4F0C" w:rsidRDefault="002A4F0C" w:rsidP="002A4F0C">
      <w:pPr>
        <w:spacing w:line="240" w:lineRule="auto"/>
      </w:pPr>
    </w:p>
    <w:p w14:paraId="18F50C51" w14:textId="77777777" w:rsidR="002A4F0C" w:rsidRPr="002A4F0C" w:rsidRDefault="002A4F0C" w:rsidP="002A4F0C">
      <w:pPr>
        <w:spacing w:line="240" w:lineRule="auto"/>
      </w:pPr>
      <w:r w:rsidRPr="002A4F0C">
        <w:t xml:space="preserve">Müller J, Gaus C, Alberts V, Moore M. Examination of the potential exposure of Royal Australian Navy (RAN) personnel to polychlorinated dibenzodioxins and polychlorinated dibenzofurans via drinking water. a report to the Department of Veteran Affairs, Australia. Brisbane, Australia; 2002. </w:t>
      </w:r>
    </w:p>
    <w:p w14:paraId="0BE63381" w14:textId="77777777" w:rsidR="002A4F0C" w:rsidRPr="002A4F0C" w:rsidRDefault="002A4F0C" w:rsidP="002A4F0C">
      <w:pPr>
        <w:spacing w:line="240" w:lineRule="auto"/>
      </w:pPr>
    </w:p>
    <w:p w14:paraId="1952988F" w14:textId="77777777" w:rsidR="002A4F0C" w:rsidRPr="002A4F0C" w:rsidRDefault="002A4F0C" w:rsidP="002A4F0C">
      <w:pPr>
        <w:spacing w:line="240" w:lineRule="auto"/>
      </w:pPr>
      <w:r w:rsidRPr="002A4F0C">
        <w:t xml:space="preserve">Nakagawa A, Manley GT, Gean AD, et al. Mechanisms of primary blast-induced traumatic brain injury: insights from shock-wave research. J Neurotrauma 2011;28:1101-19. </w:t>
      </w:r>
    </w:p>
    <w:p w14:paraId="10B35E60" w14:textId="77777777" w:rsidR="002A4F0C" w:rsidRPr="002A4F0C" w:rsidRDefault="002A4F0C" w:rsidP="002A4F0C">
      <w:pPr>
        <w:spacing w:line="240" w:lineRule="auto"/>
      </w:pPr>
    </w:p>
    <w:p w14:paraId="4C3833BC" w14:textId="77777777" w:rsidR="002A4F0C" w:rsidRPr="002A4F0C" w:rsidRDefault="002A4F0C" w:rsidP="002A4F0C">
      <w:pPr>
        <w:spacing w:line="240" w:lineRule="auto"/>
      </w:pPr>
      <w:r w:rsidRPr="002A4F0C">
        <w:t xml:space="preserve">Narushima K, Robinson RG. Stroke-related depression. Curr Atheroscler Rep 2002;4:296-303. </w:t>
      </w:r>
    </w:p>
    <w:p w14:paraId="2325893E" w14:textId="77777777" w:rsidR="002A4F0C" w:rsidRPr="002A4F0C" w:rsidRDefault="002A4F0C" w:rsidP="002A4F0C">
      <w:pPr>
        <w:spacing w:line="240" w:lineRule="auto"/>
      </w:pPr>
    </w:p>
    <w:p w14:paraId="720ED01C" w14:textId="77777777" w:rsidR="002A4F0C" w:rsidRPr="002A4F0C" w:rsidRDefault="002A4F0C" w:rsidP="002A4F0C">
      <w:pPr>
        <w:spacing w:line="240" w:lineRule="auto"/>
      </w:pPr>
      <w:r w:rsidRPr="002A4F0C">
        <w:t>Nisenbaum R, Barrett DH, Reyes M, Reeves WC. Deployment stressors and a chronic multisymptom illness among Gulf War veterans. J Ner Ment Dis. 2000;188(5):259-66.</w:t>
      </w:r>
    </w:p>
    <w:p w14:paraId="3D52B20A" w14:textId="77777777" w:rsidR="002A4F0C" w:rsidRPr="002A4F0C" w:rsidRDefault="002A4F0C" w:rsidP="002A4F0C">
      <w:pPr>
        <w:spacing w:line="240" w:lineRule="auto"/>
      </w:pPr>
    </w:p>
    <w:p w14:paraId="28850AD1" w14:textId="77777777" w:rsidR="002A4F0C" w:rsidRPr="002A4F0C" w:rsidRDefault="002A4F0C" w:rsidP="002A4F0C">
      <w:pPr>
        <w:spacing w:line="240" w:lineRule="auto"/>
      </w:pPr>
      <w:r w:rsidRPr="002A4F0C">
        <w:t>Nutter TJ, Johnson RD, Cooper BY. A delayed chronic pain like condition with decreased Kv channel activity in a rat model of Gulf War Illness pain syndrome. Neurotoxicology. 2015;51:67-79.</w:t>
      </w:r>
    </w:p>
    <w:p w14:paraId="12FCBDF5" w14:textId="77777777" w:rsidR="002A4F0C" w:rsidRPr="002A4F0C" w:rsidRDefault="002A4F0C" w:rsidP="002A4F0C">
      <w:pPr>
        <w:spacing w:line="240" w:lineRule="auto"/>
      </w:pPr>
    </w:p>
    <w:p w14:paraId="0510252B" w14:textId="77777777" w:rsidR="002A4F0C" w:rsidRPr="002A4F0C" w:rsidRDefault="002A4F0C" w:rsidP="002A4F0C">
      <w:pPr>
        <w:spacing w:line="240" w:lineRule="auto"/>
      </w:pPr>
      <w:r w:rsidRPr="002A4F0C">
        <w:t>O'Callaghan JP, Kelly KA, Locker AR, Miller DB, Lasley SM. Corticosterone primes the neuroinflammatory response to DFP in mice: potential animal model of Gulf War Illness. J Neurochem. 2015;133(5):708-21.</w:t>
      </w:r>
    </w:p>
    <w:p w14:paraId="576E88D5" w14:textId="77777777" w:rsidR="002A4F0C" w:rsidRPr="002A4F0C" w:rsidRDefault="002A4F0C" w:rsidP="002A4F0C">
      <w:pPr>
        <w:spacing w:line="240" w:lineRule="auto"/>
      </w:pPr>
    </w:p>
    <w:p w14:paraId="468445A5" w14:textId="77777777" w:rsidR="002A4F0C" w:rsidRPr="002A4F0C" w:rsidRDefault="002A4F0C" w:rsidP="002A4F0C">
      <w:pPr>
        <w:spacing w:line="240" w:lineRule="auto"/>
      </w:pPr>
      <w:r w:rsidRPr="002A4F0C">
        <w:t>Palinkas LA, Reedy KR, Shepanek M. A randomized placebocontrolled clinical trial of the effectiveness of thyroxine and triiodothyronine and short-term exposure to bright light in prevention of decrements in cognitive performance and mood during prolonged Antarctic residence. Clin Endocrinol (Oxf). 2010;72:543-50</w:t>
      </w:r>
    </w:p>
    <w:p w14:paraId="5B70A4DB" w14:textId="77777777" w:rsidR="002A4F0C" w:rsidRPr="002A4F0C" w:rsidRDefault="002A4F0C" w:rsidP="002A4F0C">
      <w:pPr>
        <w:spacing w:line="240" w:lineRule="auto"/>
      </w:pPr>
    </w:p>
    <w:p w14:paraId="0B713E34" w14:textId="77777777" w:rsidR="002A4F0C" w:rsidRPr="002A4F0C" w:rsidRDefault="002A4F0C" w:rsidP="002A4F0C">
      <w:pPr>
        <w:spacing w:line="240" w:lineRule="auto"/>
      </w:pPr>
      <w:r w:rsidRPr="002A4F0C">
        <w:t>Parkitny L, Middleton S, Baker K, Younger J. Evidence for abnormal cytokine expression in Gulf War Illness: A preliminary analysis of daily immune monitoring data. BMC Immunol. 2015;16:57.</w:t>
      </w:r>
    </w:p>
    <w:p w14:paraId="126BFFCD" w14:textId="77777777" w:rsidR="002A4F0C" w:rsidRPr="002A4F0C" w:rsidRDefault="002A4F0C" w:rsidP="002A4F0C">
      <w:pPr>
        <w:spacing w:line="240" w:lineRule="auto"/>
      </w:pPr>
    </w:p>
    <w:p w14:paraId="544103B5" w14:textId="77777777" w:rsidR="002A4F0C" w:rsidRPr="002A4F0C" w:rsidRDefault="002A4F0C" w:rsidP="002A4F0C">
      <w:pPr>
        <w:spacing w:line="240" w:lineRule="auto"/>
      </w:pPr>
      <w:r w:rsidRPr="002A4F0C">
        <w:t>Phillips KF, Deshpande LS. Repeated low-dose organophosphate DFP exposure leads to the development of depression and cognitive impairment in a rat model of Gulf War Illness. Neurotoxicology. 2016;52:127-33</w:t>
      </w:r>
    </w:p>
    <w:p w14:paraId="5D382559" w14:textId="77777777" w:rsidR="002A4F0C" w:rsidRPr="002A4F0C" w:rsidRDefault="002A4F0C" w:rsidP="002A4F0C">
      <w:pPr>
        <w:spacing w:line="240" w:lineRule="auto"/>
      </w:pPr>
    </w:p>
    <w:p w14:paraId="4DFDA511" w14:textId="77777777" w:rsidR="002A4F0C" w:rsidRPr="002A4F0C" w:rsidRDefault="002A4F0C" w:rsidP="002A4F0C">
      <w:pPr>
        <w:spacing w:line="240" w:lineRule="auto"/>
      </w:pPr>
      <w:r w:rsidRPr="002A4F0C">
        <w:t xml:space="preserve">Pihl R, Ervin F. Lead and cadmium levels in violent criminals. Psychological Reports 1990;66:839-44. </w:t>
      </w:r>
    </w:p>
    <w:p w14:paraId="16B25FEF" w14:textId="77777777" w:rsidR="002A4F0C" w:rsidRPr="002A4F0C" w:rsidRDefault="002A4F0C" w:rsidP="002A4F0C">
      <w:pPr>
        <w:spacing w:line="240" w:lineRule="auto"/>
      </w:pPr>
    </w:p>
    <w:p w14:paraId="541716BC" w14:textId="77777777" w:rsidR="002A4F0C" w:rsidRPr="002A4F0C" w:rsidRDefault="002A4F0C" w:rsidP="002A4F0C">
      <w:pPr>
        <w:spacing w:line="240" w:lineRule="auto"/>
      </w:pPr>
      <w:r w:rsidRPr="002A4F0C">
        <w:t>Pirmoradi P, Roshan S, Nadeem SS. Neuropsychiatric disturbance after initiation of varenicline in a patient with a history of alcohol abuse and major depression. Am J Health Syst Pharm 2008;65:1624-6.</w:t>
      </w:r>
    </w:p>
    <w:p w14:paraId="14D00C02" w14:textId="77777777" w:rsidR="002A4F0C" w:rsidRPr="002A4F0C" w:rsidRDefault="002A4F0C" w:rsidP="002A4F0C">
      <w:pPr>
        <w:spacing w:line="240" w:lineRule="auto"/>
      </w:pPr>
    </w:p>
    <w:p w14:paraId="0C6956D0" w14:textId="77777777" w:rsidR="002A4F0C" w:rsidRPr="002A4F0C" w:rsidRDefault="002A4F0C" w:rsidP="002A4F0C">
      <w:pPr>
        <w:spacing w:line="240" w:lineRule="auto"/>
      </w:pPr>
      <w:r w:rsidRPr="002A4F0C">
        <w:t xml:space="preserve">Proctor SP, Heeren T, White RF, Wolfe F, Borgos MS, Davis JD, et al. Health status of Persian Gulf War veterans: self-reported symptoms, environmental exposures and the effect of stress. Int J Epidemiol. 1998;27:1000-10. </w:t>
      </w:r>
    </w:p>
    <w:p w14:paraId="403411E0" w14:textId="77777777" w:rsidR="002A4F0C" w:rsidRPr="002A4F0C" w:rsidRDefault="002A4F0C" w:rsidP="002A4F0C">
      <w:pPr>
        <w:spacing w:line="240" w:lineRule="auto"/>
      </w:pPr>
    </w:p>
    <w:p w14:paraId="289E8D93" w14:textId="77777777" w:rsidR="002A4F0C" w:rsidRPr="002A4F0C" w:rsidRDefault="002A4F0C" w:rsidP="002A4F0C">
      <w:pPr>
        <w:spacing w:line="240" w:lineRule="auto"/>
      </w:pPr>
      <w:r w:rsidRPr="002A4F0C">
        <w:t>Repine JE, Wilson P, Elkins N, Klawitter J, Christians U, Peters B, et al. Inhalation of two putative Gulf War toxins by mice. Journal of environmental science and health Part B, Pesticides, food contaminants, and agricultural wastes. 2016;51(6):366-73.</w:t>
      </w:r>
    </w:p>
    <w:p w14:paraId="65AA1A04" w14:textId="77777777" w:rsidR="002A4F0C" w:rsidRPr="002A4F0C" w:rsidRDefault="002A4F0C" w:rsidP="002A4F0C">
      <w:pPr>
        <w:spacing w:line="240" w:lineRule="auto"/>
      </w:pPr>
    </w:p>
    <w:p w14:paraId="49B4EE95" w14:textId="77777777" w:rsidR="002A4F0C" w:rsidRPr="002A4F0C" w:rsidRDefault="002A4F0C" w:rsidP="002A4F0C">
      <w:pPr>
        <w:spacing w:line="240" w:lineRule="auto"/>
      </w:pPr>
      <w:r w:rsidRPr="002A4F0C">
        <w:t xml:space="preserve">Rohlman DS, Lein PJ. Cognitive effects from organophosphate exposure. Research Advisory Committee on Gulf War Veterans’ Illnesses 2012: June 18:Boston. </w:t>
      </w:r>
    </w:p>
    <w:p w14:paraId="3D31AFE2" w14:textId="77777777" w:rsidR="002A4F0C" w:rsidRPr="002A4F0C" w:rsidRDefault="002A4F0C" w:rsidP="002A4F0C">
      <w:pPr>
        <w:spacing w:line="240" w:lineRule="auto"/>
      </w:pPr>
    </w:p>
    <w:p w14:paraId="36353E34" w14:textId="77777777" w:rsidR="002A4F0C" w:rsidRPr="0017646A" w:rsidRDefault="002A4F0C" w:rsidP="002A4F0C">
      <w:pPr>
        <w:spacing w:line="240" w:lineRule="auto"/>
      </w:pPr>
      <w:r w:rsidRPr="002A4F0C">
        <w:t xml:space="preserve">Ross JS, Hill KP, Egilman DS, Krumholz HM. Guest authorship and ghostwriting in publications related to </w:t>
      </w:r>
      <w:r w:rsidRPr="0017646A">
        <w:t xml:space="preserve">rofecoxib: a case study of industry documents from rofecoxib litigation. JAMA. 2008;299:1800-12. </w:t>
      </w:r>
    </w:p>
    <w:p w14:paraId="33A02736" w14:textId="77777777" w:rsidR="002A4F0C" w:rsidRPr="0017646A" w:rsidRDefault="002A4F0C" w:rsidP="002A4F0C">
      <w:pPr>
        <w:spacing w:line="240" w:lineRule="auto"/>
      </w:pPr>
    </w:p>
    <w:p w14:paraId="220CFFB0" w14:textId="77777777" w:rsidR="002A4F0C" w:rsidRPr="002A4F0C" w:rsidRDefault="002A4F0C" w:rsidP="002A4F0C">
      <w:pPr>
        <w:spacing w:line="240" w:lineRule="auto"/>
      </w:pPr>
      <w:r w:rsidRPr="0017646A">
        <w:t>Schumm WR, Reppert EJ, Jurich AP, Bollman SR, Castelo C, Sanders D, et al. Pyridostigmine bromide and the long-term subjective health status of a sample of female reserve component Gulf War veterans: a brief report. Psychol Rep. 2001;88(1):306-8.</w:t>
      </w:r>
    </w:p>
    <w:p w14:paraId="67B9B7D6" w14:textId="77777777" w:rsidR="002A4F0C" w:rsidRPr="002A4F0C" w:rsidRDefault="002A4F0C" w:rsidP="002A4F0C">
      <w:pPr>
        <w:spacing w:line="240" w:lineRule="auto"/>
      </w:pPr>
    </w:p>
    <w:p w14:paraId="5ACE6FB9" w14:textId="77777777" w:rsidR="002A4F0C" w:rsidRPr="002A4F0C" w:rsidRDefault="002A4F0C" w:rsidP="002A4F0C">
      <w:pPr>
        <w:spacing w:line="240" w:lineRule="auto"/>
      </w:pPr>
      <w:r w:rsidRPr="002A4F0C">
        <w:t xml:space="preserve">Shields KA, Lewis J. The identification of Butyrylcholinesterase (BCHE) polymorphisms in a small Australian Defence Force cohort. Melbourne, Australia: Human Protection and Performance Division. Australian Defence Science and Technology Organisation; 2011.   </w:t>
      </w:r>
    </w:p>
    <w:p w14:paraId="3CA0E406" w14:textId="77777777" w:rsidR="002A4F0C" w:rsidRPr="002A4F0C" w:rsidRDefault="002A4F0C" w:rsidP="002A4F0C">
      <w:pPr>
        <w:spacing w:line="240" w:lineRule="auto"/>
      </w:pPr>
    </w:p>
    <w:p w14:paraId="03588F87" w14:textId="77777777" w:rsidR="002A4F0C" w:rsidRPr="002A4F0C" w:rsidRDefault="002A4F0C" w:rsidP="002A4F0C">
      <w:pPr>
        <w:spacing w:line="240" w:lineRule="auto"/>
      </w:pPr>
      <w:r w:rsidRPr="002A4F0C">
        <w:t xml:space="preserve">Shitaka Y, Tran HT, Bennett RE, et al. Repetitive closed-skull traumatic brain injury in mice causes persistent multifocal axonal injury and microglial reactivity. J Neuropathol Exp Neurol 2011;70:551-67. </w:t>
      </w:r>
    </w:p>
    <w:p w14:paraId="7786DD3F" w14:textId="77777777" w:rsidR="002A4F0C" w:rsidRPr="002A4F0C" w:rsidRDefault="002A4F0C" w:rsidP="002A4F0C">
      <w:pPr>
        <w:spacing w:line="240" w:lineRule="auto"/>
      </w:pPr>
    </w:p>
    <w:p w14:paraId="0BE2A45D" w14:textId="77777777" w:rsidR="002A4F0C" w:rsidRPr="002A4F0C" w:rsidRDefault="002A4F0C" w:rsidP="002A4F0C">
      <w:pPr>
        <w:spacing w:line="240" w:lineRule="auto"/>
      </w:pPr>
      <w:r w:rsidRPr="002A4F0C">
        <w:t xml:space="preserve">Siegel S, Castellan NJ. Nonparametric Statistics for the Behavioral Sciences. 2nd ed. New York: McGraw Hill; 1988. </w:t>
      </w:r>
    </w:p>
    <w:p w14:paraId="10C83B9C" w14:textId="77777777" w:rsidR="002A4F0C" w:rsidRPr="002A4F0C" w:rsidRDefault="002A4F0C" w:rsidP="002A4F0C">
      <w:pPr>
        <w:spacing w:line="240" w:lineRule="auto"/>
      </w:pPr>
    </w:p>
    <w:p w14:paraId="6CA38F82" w14:textId="77777777" w:rsidR="002A4F0C" w:rsidRPr="002A4F0C" w:rsidRDefault="002A4F0C" w:rsidP="002A4F0C">
      <w:pPr>
        <w:spacing w:line="240" w:lineRule="auto"/>
      </w:pPr>
      <w:r w:rsidRPr="002A4F0C">
        <w:t xml:space="preserve">Smylie AL, Broderick G, Fernandes H, Razdan S, Barnes Z, Collado F, et al. A comparison of sex-specific immune signatures in Gulf War illness and chronic fatigue syndrome. BMC Immunology. 2013;14(1):29. </w:t>
      </w:r>
    </w:p>
    <w:p w14:paraId="59C56523" w14:textId="77777777" w:rsidR="002A4F0C" w:rsidRPr="002A4F0C" w:rsidRDefault="002A4F0C" w:rsidP="002A4F0C">
      <w:pPr>
        <w:spacing w:line="240" w:lineRule="auto"/>
      </w:pPr>
    </w:p>
    <w:p w14:paraId="04C5D3C0" w14:textId="77777777" w:rsidR="002A4F0C" w:rsidRPr="002A4F0C" w:rsidRDefault="002A4F0C" w:rsidP="002A4F0C">
      <w:pPr>
        <w:spacing w:line="240" w:lineRule="auto"/>
      </w:pPr>
      <w:r w:rsidRPr="002A4F0C">
        <w:t xml:space="preserve">Staines D. Do vasoactive neuropeptide autoimmune disorders explain pyridostigmine's association with Gulf War. Med Hypotheses. 2005;65(3):591-94. </w:t>
      </w:r>
    </w:p>
    <w:p w14:paraId="34590CAC" w14:textId="77777777" w:rsidR="002A4F0C" w:rsidRPr="002A4F0C" w:rsidRDefault="002A4F0C" w:rsidP="002A4F0C">
      <w:pPr>
        <w:spacing w:line="240" w:lineRule="auto"/>
      </w:pPr>
    </w:p>
    <w:p w14:paraId="5747E47F" w14:textId="77777777" w:rsidR="002A4F0C" w:rsidRPr="002A4F0C" w:rsidRDefault="002A4F0C" w:rsidP="002A4F0C">
      <w:pPr>
        <w:spacing w:line="240" w:lineRule="auto"/>
      </w:pPr>
      <w:r w:rsidRPr="002A4F0C">
        <w:t>Sadiq M, McCain JC. The Gulf War Aftermath: An Environmental Tragedy: Kluwer Academic Publishers Group; 1993</w:t>
      </w:r>
    </w:p>
    <w:p w14:paraId="7C15B6F2" w14:textId="77777777" w:rsidR="002A4F0C" w:rsidRPr="002A4F0C" w:rsidRDefault="002A4F0C" w:rsidP="002A4F0C">
      <w:pPr>
        <w:spacing w:line="240" w:lineRule="auto"/>
      </w:pPr>
    </w:p>
    <w:p w14:paraId="681867CF" w14:textId="77777777" w:rsidR="002A4F0C" w:rsidRPr="002A4F0C" w:rsidRDefault="002A4F0C" w:rsidP="002A4F0C">
      <w:pPr>
        <w:spacing w:line="240" w:lineRule="auto"/>
      </w:pPr>
      <w:r w:rsidRPr="002A4F0C">
        <w:t xml:space="preserve">Sim M, Kelsall HL. Gulf War illness: a view from Australia. Phil Trans R Soc B. 2006;361(1468).  </w:t>
      </w:r>
    </w:p>
    <w:p w14:paraId="0B5360D2" w14:textId="77777777" w:rsidR="002A4F0C" w:rsidRPr="002A4F0C" w:rsidRDefault="002A4F0C" w:rsidP="002A4F0C">
      <w:pPr>
        <w:spacing w:line="240" w:lineRule="auto"/>
      </w:pPr>
    </w:p>
    <w:p w14:paraId="18B60BFE" w14:textId="77777777" w:rsidR="002A4F0C" w:rsidRPr="002A4F0C" w:rsidRDefault="002A4F0C" w:rsidP="002A4F0C">
      <w:pPr>
        <w:spacing w:line="240" w:lineRule="auto"/>
      </w:pPr>
      <w:r w:rsidRPr="002A4F0C">
        <w:t>Steele L, Lockridge O, Gerkovich MM, Cook MR, Sastre A. Butyrylcholinesterase genotype and enzyme activity in relation to Gulf War illness: preliminary evidence of gene-exposure interaction from a case–control study of 1991 Gulf War veterans. Environ Health. 2015;14(1):1-10.</w:t>
      </w:r>
    </w:p>
    <w:p w14:paraId="1AF6CF7D" w14:textId="77777777" w:rsidR="002A4F0C" w:rsidRPr="002A4F0C" w:rsidRDefault="002A4F0C" w:rsidP="002A4F0C">
      <w:pPr>
        <w:spacing w:line="240" w:lineRule="auto"/>
      </w:pPr>
    </w:p>
    <w:p w14:paraId="0982BB71" w14:textId="77777777" w:rsidR="002A4F0C" w:rsidRPr="002A4F0C" w:rsidRDefault="002A4F0C" w:rsidP="002A4F0C">
      <w:pPr>
        <w:spacing w:line="240" w:lineRule="auto"/>
      </w:pPr>
      <w:r w:rsidRPr="002A4F0C">
        <w:t>Sinton CM, Fitch TE, Petty F, Haley RW. Stressful manipulations that elevate corticosterone reduce blood-brain barrier permeability to pyridostigmine in the rat. Toxicol App Pharmacol. 2000;165:99-105.</w:t>
      </w:r>
    </w:p>
    <w:p w14:paraId="775D8709" w14:textId="77777777" w:rsidR="002A4F0C" w:rsidRPr="002A4F0C" w:rsidRDefault="002A4F0C" w:rsidP="002A4F0C">
      <w:pPr>
        <w:spacing w:line="240" w:lineRule="auto"/>
        <w:rPr>
          <w:highlight w:val="cyan"/>
        </w:rPr>
      </w:pPr>
    </w:p>
    <w:p w14:paraId="5A124BD2" w14:textId="77777777" w:rsidR="002A4F0C" w:rsidRPr="002A4F0C" w:rsidRDefault="002A4F0C" w:rsidP="002A4F0C">
      <w:pPr>
        <w:spacing w:line="240" w:lineRule="auto"/>
      </w:pPr>
      <w:r w:rsidRPr="002A4F0C">
        <w:t xml:space="preserve">Sullivan K, Krengel M. Structural MRI and Cognitive Correlates in Pest-control Personnel from Gulf War I. Presentation to the Research Advisory Committee on Gulf War Veterans' Illnesses 2012;Washington D.C.:June 19. </w:t>
      </w:r>
    </w:p>
    <w:p w14:paraId="0AF39255" w14:textId="77777777" w:rsidR="002A4F0C" w:rsidRPr="002A4F0C" w:rsidRDefault="002A4F0C" w:rsidP="002A4F0C">
      <w:pPr>
        <w:spacing w:line="240" w:lineRule="auto"/>
      </w:pPr>
    </w:p>
    <w:p w14:paraId="3D416E97" w14:textId="77777777" w:rsidR="002A4F0C" w:rsidRPr="002A4F0C" w:rsidRDefault="002A4F0C" w:rsidP="002A4F0C">
      <w:pPr>
        <w:spacing w:line="240" w:lineRule="auto"/>
      </w:pPr>
      <w:r w:rsidRPr="002A4F0C">
        <w:t xml:space="preserve">Telgt DS, van der Ven AJ, Schimmer B, Droogleever-Fortuyn HA, Sauerwein RW. Serious psychiatric symptoms after chloroquine treatment following experimental malaria infection. Ann Pharmacother 2005;39:551-4. </w:t>
      </w:r>
    </w:p>
    <w:p w14:paraId="123C7B0A" w14:textId="77777777" w:rsidR="002A4F0C" w:rsidRPr="002A4F0C" w:rsidRDefault="002A4F0C" w:rsidP="002A4F0C">
      <w:pPr>
        <w:spacing w:line="240" w:lineRule="auto"/>
      </w:pPr>
    </w:p>
    <w:p w14:paraId="3548DC7D" w14:textId="77777777" w:rsidR="002A4F0C" w:rsidRPr="002A4F0C" w:rsidRDefault="002A4F0C" w:rsidP="002A4F0C">
      <w:pPr>
        <w:spacing w:line="240" w:lineRule="auto"/>
      </w:pPr>
      <w:r w:rsidRPr="002A4F0C">
        <w:t>Teiber JF, Kramer GL, Haley RW. Methods for measuring serum activity levels of the 192 Q and R isoenzymes of paraoxonase 1 in QR heterozygous individuals. Clin Chem. 2013;59(8):1251-9.</w:t>
      </w:r>
    </w:p>
    <w:p w14:paraId="473F878B" w14:textId="77777777" w:rsidR="002A4F0C" w:rsidRPr="002A4F0C" w:rsidRDefault="002A4F0C" w:rsidP="002A4F0C">
      <w:pPr>
        <w:spacing w:line="240" w:lineRule="auto"/>
      </w:pPr>
    </w:p>
    <w:p w14:paraId="6B3FBB0E" w14:textId="77777777" w:rsidR="002A4F0C" w:rsidRPr="002A4F0C" w:rsidRDefault="002A4F0C" w:rsidP="002A4F0C">
      <w:pPr>
        <w:spacing w:line="240" w:lineRule="auto"/>
      </w:pPr>
      <w:r w:rsidRPr="002A4F0C">
        <w:t>Toomey R, Kang HK, Karlinsky J, Baker DG, Vasterling JJ, Alpern R, et al. Mental health of US Gulf War veterans 10 years after the war. Br J Psychol. 2007;190(5):385-93.</w:t>
      </w:r>
    </w:p>
    <w:p w14:paraId="06F806F1" w14:textId="77777777" w:rsidR="002A4F0C" w:rsidRPr="002A4F0C" w:rsidRDefault="002A4F0C" w:rsidP="002A4F0C">
      <w:pPr>
        <w:spacing w:line="240" w:lineRule="auto"/>
      </w:pPr>
    </w:p>
    <w:p w14:paraId="742F12F4" w14:textId="77777777" w:rsidR="002A4F0C" w:rsidRPr="002A4F0C" w:rsidRDefault="002A4F0C" w:rsidP="002A4F0C">
      <w:pPr>
        <w:spacing w:line="240" w:lineRule="auto"/>
      </w:pPr>
      <w:r w:rsidRPr="002A4F0C">
        <w:t xml:space="preserve">US Department of Defence. (Declassified Document) Iraq-Kuwait: Situation Update Issued:27 January. 1991 </w:t>
      </w:r>
    </w:p>
    <w:p w14:paraId="4CF71ED0" w14:textId="77777777" w:rsidR="002A4F0C" w:rsidRPr="002A4F0C" w:rsidRDefault="002A4F0C" w:rsidP="002A4F0C">
      <w:pPr>
        <w:spacing w:line="240" w:lineRule="auto"/>
      </w:pPr>
    </w:p>
    <w:p w14:paraId="3F65FB49" w14:textId="77777777" w:rsidR="002A4F0C" w:rsidRPr="002A4F0C" w:rsidRDefault="002A4F0C" w:rsidP="002A4F0C">
      <w:pPr>
        <w:spacing w:line="240" w:lineRule="auto"/>
      </w:pPr>
      <w:r w:rsidRPr="002A4F0C">
        <w:t>US Department of Veterans Affairs, Public Health: Gulf War Veterans’ Medically Unexplained Illnesses http://www.publichealth.va.gov/exposures/gulfwar/medically-unexplained-illness.asp#sthash.RBaGCxwa.dpuf</w:t>
      </w:r>
    </w:p>
    <w:p w14:paraId="466604AC" w14:textId="77777777" w:rsidR="002A4F0C" w:rsidRPr="002A4F0C" w:rsidRDefault="002A4F0C" w:rsidP="002A4F0C">
      <w:pPr>
        <w:spacing w:line="240" w:lineRule="auto"/>
      </w:pPr>
    </w:p>
    <w:p w14:paraId="52CE1C91" w14:textId="77777777" w:rsidR="002A4F0C" w:rsidRPr="002A4F0C" w:rsidRDefault="002A4F0C" w:rsidP="002A4F0C">
      <w:pPr>
        <w:spacing w:line="240" w:lineRule="auto"/>
      </w:pPr>
      <w:r w:rsidRPr="002A4F0C">
        <w:t>White RF, Steele L, O’Callaghan JP, Sullivan K, Binns JH, Golomb BA, et al. Recent research on Gulf War illness and other health problems in veterans of the 1991 Gulf War: Effects of toxicant exposures during deployment. Cortex. 2016;74(Special Issue):449-75.</w:t>
      </w:r>
    </w:p>
    <w:p w14:paraId="482AB799" w14:textId="77777777" w:rsidR="002A4F0C" w:rsidRPr="002A4F0C" w:rsidRDefault="002A4F0C" w:rsidP="002A4F0C">
      <w:pPr>
        <w:spacing w:line="240" w:lineRule="auto"/>
      </w:pPr>
    </w:p>
    <w:p w14:paraId="29D24904" w14:textId="77777777" w:rsidR="002A4F0C" w:rsidRPr="002A4F0C" w:rsidRDefault="002A4F0C" w:rsidP="002A4F0C">
      <w:pPr>
        <w:spacing w:line="240" w:lineRule="auto"/>
      </w:pPr>
      <w:r w:rsidRPr="002A4F0C">
        <w:t>White E, Armstrong BK, Saracci R. Principles of exposure measurement in epidemiology. 2nd Edition ed. New York: Oxford University Press; 2008</w:t>
      </w:r>
    </w:p>
    <w:p w14:paraId="0347EF88" w14:textId="77777777" w:rsidR="002A4F0C" w:rsidRPr="002A4F0C" w:rsidRDefault="002A4F0C" w:rsidP="002A4F0C">
      <w:pPr>
        <w:spacing w:line="240" w:lineRule="auto"/>
      </w:pPr>
    </w:p>
    <w:p w14:paraId="79BCD60C" w14:textId="77777777" w:rsidR="002A4F0C" w:rsidRPr="002A4F0C" w:rsidRDefault="002A4F0C" w:rsidP="002A4F0C">
      <w:pPr>
        <w:spacing w:line="240" w:lineRule="auto"/>
      </w:pPr>
      <w:r w:rsidRPr="002A4F0C">
        <w:t xml:space="preserve">Winkenwerder W. Technical Report: Modeling and Risk Characterization of US Demolition Operations at the Khamisiyah Pit. Washington, DC: Department of Defense; 2002. </w:t>
      </w:r>
      <w:hyperlink r:id="rId12" w:history="1">
        <w:r w:rsidRPr="005B5A51">
          <w:rPr>
            <w:color w:val="0563C1"/>
            <w:u w:val="single"/>
          </w:rPr>
          <w:t>http://www.gulflink.osd.mil/khamisiyah_tech/</w:t>
        </w:r>
      </w:hyperlink>
    </w:p>
    <w:p w14:paraId="5C6C798E" w14:textId="77777777" w:rsidR="002A4F0C" w:rsidRPr="002A4F0C" w:rsidRDefault="002A4F0C" w:rsidP="002A4F0C">
      <w:pPr>
        <w:spacing w:line="240" w:lineRule="auto"/>
      </w:pPr>
    </w:p>
    <w:p w14:paraId="48801C6B" w14:textId="77777777" w:rsidR="002A4F0C" w:rsidRPr="002A4F0C" w:rsidRDefault="002A4F0C" w:rsidP="002A4F0C">
      <w:pPr>
        <w:spacing w:line="240" w:lineRule="auto"/>
      </w:pPr>
      <w:r w:rsidRPr="002A4F0C">
        <w:t xml:space="preserve">Wolfe J, Proctor SP, Erickson DJ, et al. Relationship of psychiatric status to Gulf War veterans' health problems. Psychosom Med 1999;61:532-40. </w:t>
      </w:r>
    </w:p>
    <w:p w14:paraId="75CF1AEC" w14:textId="77777777" w:rsidR="002A4F0C" w:rsidRPr="002A4F0C" w:rsidRDefault="002A4F0C" w:rsidP="002A4F0C">
      <w:pPr>
        <w:spacing w:line="240" w:lineRule="auto"/>
      </w:pPr>
    </w:p>
    <w:p w14:paraId="2548B8B6" w14:textId="77777777" w:rsidR="002A4F0C" w:rsidRPr="002A4F0C" w:rsidRDefault="002A4F0C" w:rsidP="002A4F0C">
      <w:pPr>
        <w:spacing w:line="240" w:lineRule="auto"/>
      </w:pPr>
      <w:r w:rsidRPr="002A4F0C">
        <w:t>World Health Organisation. International Disease Codes Version 10. 2013. Available from: http://apps.who.int/classifications/icd10/browse/2010/en Date accessed: 25th February 2013</w:t>
      </w:r>
    </w:p>
    <w:p w14:paraId="71E2E406" w14:textId="77777777" w:rsidR="002A4F0C" w:rsidRPr="002A4F0C" w:rsidRDefault="002A4F0C" w:rsidP="002A4F0C">
      <w:pPr>
        <w:spacing w:line="240" w:lineRule="auto"/>
      </w:pPr>
    </w:p>
    <w:p w14:paraId="2852A614" w14:textId="77777777" w:rsidR="002A4F0C" w:rsidRPr="002A4F0C" w:rsidRDefault="002A4F0C" w:rsidP="002A4F0C">
      <w:pPr>
        <w:spacing w:line="240" w:lineRule="auto"/>
      </w:pPr>
      <w:r w:rsidRPr="002A4F0C">
        <w:t xml:space="preserve">Yamamoto H, Akashiba T, Kosaka N, Ito D, Horie T. Long-term effects nasal continuous positive airway pressure on daytime sleepiness, mood and traffic accidents in patients with obstructive sleep apnoea. Respir Med 2000;94:87-90. </w:t>
      </w:r>
    </w:p>
    <w:p w14:paraId="05BA1653" w14:textId="77777777" w:rsidR="002A4F0C" w:rsidRPr="002A4F0C" w:rsidRDefault="002A4F0C" w:rsidP="002A4F0C">
      <w:pPr>
        <w:spacing w:line="240" w:lineRule="auto"/>
      </w:pPr>
    </w:p>
    <w:p w14:paraId="4EF72573" w14:textId="77777777" w:rsidR="002A4F0C" w:rsidRPr="002A4F0C" w:rsidRDefault="002A4F0C" w:rsidP="002A4F0C">
      <w:pPr>
        <w:spacing w:line="240" w:lineRule="auto"/>
      </w:pPr>
      <w:r w:rsidRPr="002A4F0C">
        <w:t>Yee MK, Seichepine DR, Janulewicz PA, Sullivan KA, Proctor SP, Krengel MH. Self-Reported Traumatic Brain Injury, Health and Rate of Chronic Multisymptom Illness in Veterans From the 1990-1991 Gulf War. The Journal of head trauma rehabilitation. 2016;31(5):320-8.</w:t>
      </w:r>
    </w:p>
    <w:p w14:paraId="7A648890" w14:textId="77777777" w:rsidR="002A4F0C" w:rsidRPr="002A4F0C" w:rsidRDefault="002A4F0C" w:rsidP="002A4F0C">
      <w:pPr>
        <w:spacing w:line="240" w:lineRule="auto"/>
      </w:pPr>
    </w:p>
    <w:p w14:paraId="7DD7E9B4" w14:textId="77777777" w:rsidR="002A4F0C" w:rsidRPr="002A4F0C" w:rsidRDefault="002A4F0C" w:rsidP="002A4F0C">
      <w:pPr>
        <w:spacing w:line="240" w:lineRule="auto"/>
      </w:pPr>
      <w:r w:rsidRPr="002A4F0C">
        <w:t>Zakirova Z, Tweed M, Crynen G, Reed J, Abdullah L, Nissanka N, et al. Gulf War Agent exposure causes impairment of long-term memory formation and neuropathological changes in a mouse model of Gulf War Illness. PLOS One. 2015;10(3):e0119579</w:t>
      </w:r>
    </w:p>
    <w:p w14:paraId="5F2DA616" w14:textId="77777777" w:rsidR="002A4F0C" w:rsidRPr="002A4F0C" w:rsidRDefault="002A4F0C" w:rsidP="002A4F0C">
      <w:pPr>
        <w:spacing w:line="240" w:lineRule="auto"/>
      </w:pPr>
    </w:p>
    <w:p w14:paraId="75497208" w14:textId="77777777" w:rsidR="002A4F0C" w:rsidRPr="002A4F0C" w:rsidRDefault="002A4F0C" w:rsidP="002A4F0C">
      <w:pPr>
        <w:spacing w:line="240" w:lineRule="auto"/>
      </w:pPr>
      <w:r w:rsidRPr="002A4F0C">
        <w:t>Zakirova Z, Crynen G, Hassan S, Abdullah L, Horne L, Mathura V, et al. A chronic longitudinal characterization of neurobehavioral and neuropathological cognitive impairment in a mouse model of Gulf War agent exposure. Frontiers in Integrative Neuroscience. 2016;9(71).</w:t>
      </w:r>
    </w:p>
    <w:p w14:paraId="1DA88728" w14:textId="77777777" w:rsidR="002A4F0C" w:rsidRPr="002A4F0C" w:rsidRDefault="002A4F0C" w:rsidP="002A4F0C">
      <w:pPr>
        <w:spacing w:line="240" w:lineRule="auto"/>
      </w:pPr>
    </w:p>
    <w:p w14:paraId="6555D2E2" w14:textId="77777777" w:rsidR="002A4F0C" w:rsidRPr="002A4F0C" w:rsidRDefault="002A4F0C" w:rsidP="002A4F0C">
      <w:pPr>
        <w:spacing w:line="240" w:lineRule="auto"/>
      </w:pPr>
      <w:r w:rsidRPr="002A4F0C">
        <w:t xml:space="preserve">[No authors listed] Fluoroquinolones: psychiatric adverse effects. Prescrire Int 2008;17:20. </w:t>
      </w:r>
      <w:hyperlink r:id="rId13" w:history="1">
        <w:r w:rsidRPr="005B5A51">
          <w:rPr>
            <w:color w:val="0563C1"/>
            <w:u w:val="single"/>
          </w:rPr>
          <w:t>http://www.ncbi.nlm.nih.gov/pubmed/18383638</w:t>
        </w:r>
      </w:hyperlink>
    </w:p>
    <w:p w14:paraId="288821A3" w14:textId="77777777" w:rsidR="002A4F0C" w:rsidRPr="002A4F0C" w:rsidRDefault="002A4F0C" w:rsidP="002A4F0C">
      <w:pPr>
        <w:spacing w:line="240" w:lineRule="auto"/>
      </w:pPr>
    </w:p>
    <w:p w14:paraId="097F3585" w14:textId="77777777" w:rsidR="002A4F0C" w:rsidRPr="002A4F0C" w:rsidRDefault="002A4F0C" w:rsidP="002A4F0C">
      <w:pPr>
        <w:spacing w:line="240" w:lineRule="auto"/>
      </w:pPr>
    </w:p>
    <w:p w14:paraId="7034F7D8" w14:textId="77777777" w:rsidR="002A4F0C" w:rsidRPr="002A4F0C" w:rsidRDefault="002A4F0C" w:rsidP="002A4F0C">
      <w:pPr>
        <w:rPr>
          <w:b/>
        </w:rPr>
      </w:pPr>
    </w:p>
    <w:p w14:paraId="7A5979F6" w14:textId="5A62301A" w:rsidR="00CE28F8" w:rsidRPr="00A75FE4" w:rsidRDefault="00CE28F8" w:rsidP="00A75FE4">
      <w:pPr>
        <w:pStyle w:val="Heading7"/>
      </w:pPr>
    </w:p>
    <w:sectPr w:rsidR="00CE28F8" w:rsidRPr="00A75FE4" w:rsidSect="00077BB5">
      <w:headerReference w:type="default" r:id="rId14"/>
      <w:footerReference w:type="even" r:id="rId15"/>
      <w:footerReference w:type="default" r:id="rId16"/>
      <w:headerReference w:type="first" r:id="rId17"/>
      <w:footerReference w:type="first" r:id="rId18"/>
      <w:pgSz w:w="11906" w:h="16838"/>
      <w:pgMar w:top="1797" w:right="1418" w:bottom="1701" w:left="1701" w:header="709" w:footer="709" w:gutter="0"/>
      <w:pgNumType w:start="14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3D95C" w14:textId="77777777" w:rsidR="00AE0CBC" w:rsidRDefault="00AE0CBC">
      <w:r>
        <w:separator/>
      </w:r>
    </w:p>
  </w:endnote>
  <w:endnote w:type="continuationSeparator" w:id="0">
    <w:p w14:paraId="66C865BB" w14:textId="77777777" w:rsidR="00AE0CBC" w:rsidRDefault="00AE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onet (W1)">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5E10D" w14:textId="77777777" w:rsidR="00B0426D" w:rsidRDefault="00B042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BYD\BYD\44898438\1</w:t>
    </w:r>
  </w:p>
  <w:p w14:paraId="3757A489" w14:textId="77777777" w:rsidR="00B0426D" w:rsidRDefault="00B042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A771" w14:textId="2DDCA01D" w:rsidR="00B0426D" w:rsidRPr="00530523" w:rsidRDefault="00B0426D" w:rsidP="00891E54">
    <w:pPr>
      <w:pStyle w:val="Footer"/>
      <w:pBdr>
        <w:top w:val="single" w:sz="4" w:space="1" w:color="auto"/>
      </w:pBdr>
      <w:tabs>
        <w:tab w:val="clear" w:pos="8220"/>
        <w:tab w:val="right" w:pos="8787"/>
      </w:tabs>
      <w:rPr>
        <w:rFonts w:ascii="Calibri" w:hAnsi="Calibri" w:cs="Times New Roman"/>
      </w:rPr>
    </w:pPr>
    <w:r w:rsidRPr="00530523">
      <w:rPr>
        <w:rFonts w:ascii="Calibri" w:hAnsi="Calibri" w:cs="Times New Roman"/>
      </w:rPr>
      <w:tab/>
      <w:t xml:space="preserve">Page </w:t>
    </w:r>
    <w:r w:rsidRPr="00530523">
      <w:rPr>
        <w:rFonts w:ascii="Calibri" w:hAnsi="Calibri" w:cs="Times New Roman"/>
      </w:rPr>
      <w:fldChar w:fldCharType="begin"/>
    </w:r>
    <w:r w:rsidRPr="00530523">
      <w:rPr>
        <w:rFonts w:ascii="Calibri" w:hAnsi="Calibri"/>
      </w:rPr>
      <w:instrText xml:space="preserve"> PAGE   \* MERGEFORMAT </w:instrText>
    </w:r>
    <w:r w:rsidRPr="00530523">
      <w:rPr>
        <w:rFonts w:ascii="Calibri" w:hAnsi="Calibri" w:cs="Times New Roman"/>
      </w:rPr>
      <w:fldChar w:fldCharType="separate"/>
    </w:r>
    <w:r w:rsidR="003A2631">
      <w:rPr>
        <w:rFonts w:ascii="Calibri" w:hAnsi="Calibri"/>
        <w:noProof/>
      </w:rPr>
      <w:t>146</w:t>
    </w:r>
    <w:r w:rsidRPr="00530523">
      <w:rPr>
        <w:rFonts w:ascii="Calibri" w:hAnsi="Calibri" w:cs="Times New Roman"/>
        <w:noProof/>
      </w:rPr>
      <w:fldChar w:fldCharType="end"/>
    </w:r>
  </w:p>
  <w:p w14:paraId="01A29E4E" w14:textId="77777777" w:rsidR="00B0426D" w:rsidRDefault="00B0426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5EF1B" w14:textId="06BFCF55" w:rsidR="00B0426D" w:rsidRPr="00530523" w:rsidRDefault="00B0426D" w:rsidP="00891E54">
    <w:pPr>
      <w:pStyle w:val="Footer"/>
      <w:pBdr>
        <w:top w:val="single" w:sz="4" w:space="1" w:color="auto"/>
      </w:pBdr>
      <w:tabs>
        <w:tab w:val="clear" w:pos="8220"/>
        <w:tab w:val="right" w:pos="8787"/>
      </w:tabs>
      <w:rPr>
        <w:rFonts w:ascii="Calibri" w:hAnsi="Calibri" w:cs="Times New Roman"/>
      </w:rPr>
    </w:pPr>
    <w:r w:rsidRPr="00530523">
      <w:rPr>
        <w:rFonts w:ascii="Calibri" w:hAnsi="Calibri" w:cs="Times New Roman"/>
      </w:rPr>
      <w:tab/>
      <w:t xml:space="preserve">Page </w:t>
    </w:r>
    <w:r w:rsidRPr="00530523">
      <w:rPr>
        <w:rFonts w:ascii="Calibri" w:hAnsi="Calibri" w:cs="Times New Roman"/>
      </w:rPr>
      <w:fldChar w:fldCharType="begin"/>
    </w:r>
    <w:r w:rsidRPr="00530523">
      <w:rPr>
        <w:rFonts w:ascii="Calibri" w:hAnsi="Calibri"/>
      </w:rPr>
      <w:instrText xml:space="preserve"> PAGE   \* MERGEFORMAT </w:instrText>
    </w:r>
    <w:r w:rsidRPr="00530523">
      <w:rPr>
        <w:rFonts w:ascii="Calibri" w:hAnsi="Calibri" w:cs="Times New Roman"/>
      </w:rPr>
      <w:fldChar w:fldCharType="separate"/>
    </w:r>
    <w:r w:rsidR="003A2631" w:rsidRPr="003A2631">
      <w:rPr>
        <w:rFonts w:ascii="Calibri" w:hAnsi="Calibri" w:cs="Times New Roman"/>
        <w:noProof/>
      </w:rPr>
      <w:t>143</w:t>
    </w:r>
    <w:r w:rsidRPr="00530523">
      <w:rPr>
        <w:rFonts w:ascii="Calibri" w:hAnsi="Calibri" w:cs="Times New Roman"/>
        <w:noProof/>
      </w:rPr>
      <w:fldChar w:fldCharType="end"/>
    </w:r>
  </w:p>
  <w:p w14:paraId="57A2BCC4" w14:textId="77777777" w:rsidR="00B0426D" w:rsidRDefault="00B04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7899D" w14:textId="77777777" w:rsidR="00AE0CBC" w:rsidRDefault="00AE0CBC">
      <w:r>
        <w:separator/>
      </w:r>
    </w:p>
  </w:footnote>
  <w:footnote w:type="continuationSeparator" w:id="0">
    <w:p w14:paraId="3FE77E01" w14:textId="77777777" w:rsidR="00AE0CBC" w:rsidRDefault="00AE0CBC">
      <w:r>
        <w:continuationSeparator/>
      </w:r>
    </w:p>
  </w:footnote>
  <w:footnote w:id="1">
    <w:p w14:paraId="755E7F5B" w14:textId="77777777" w:rsidR="00B0426D" w:rsidRPr="004C4FDD" w:rsidRDefault="00B0426D" w:rsidP="002A4F0C">
      <w:pPr>
        <w:pStyle w:val="Footnote"/>
        <w:rPr>
          <w:rFonts w:asciiTheme="minorHAnsi" w:hAnsiTheme="minorHAnsi" w:cstheme="minorHAnsi"/>
          <w:szCs w:val="18"/>
        </w:rPr>
      </w:pPr>
      <w:r w:rsidRPr="004C4FDD">
        <w:rPr>
          <w:rFonts w:asciiTheme="minorHAnsi" w:hAnsiTheme="minorHAnsi" w:cstheme="minorHAnsi"/>
          <w:szCs w:val="18"/>
          <w:vertAlign w:val="superscript"/>
        </w:rPr>
        <w:footnoteRef/>
      </w:r>
      <w:r w:rsidRPr="004C4FDD">
        <w:rPr>
          <w:rFonts w:asciiTheme="minorHAnsi" w:hAnsiTheme="minorHAnsi" w:cstheme="minorHAnsi"/>
          <w:szCs w:val="18"/>
          <w:vertAlign w:val="superscript"/>
        </w:rPr>
        <w:t xml:space="preserve"> </w:t>
      </w:r>
      <w:r w:rsidRPr="004C4FDD">
        <w:rPr>
          <w:rFonts w:asciiTheme="minorHAnsi" w:hAnsiTheme="minorHAnsi" w:cstheme="minorHAnsi"/>
          <w:szCs w:val="18"/>
        </w:rPr>
        <w:tab/>
        <w:t>The reasonable hypothesis test is set out in section 196B(2) of the VEA which provides;</w:t>
      </w:r>
    </w:p>
    <w:p w14:paraId="4548AB70" w14:textId="77777777" w:rsidR="00B0426D" w:rsidRPr="004C4FDD" w:rsidRDefault="00B0426D" w:rsidP="002A4F0C">
      <w:pPr>
        <w:pStyle w:val="Footnote"/>
        <w:rPr>
          <w:rFonts w:asciiTheme="minorHAnsi" w:hAnsiTheme="minorHAnsi" w:cstheme="minorHAnsi"/>
          <w:bCs/>
          <w:szCs w:val="18"/>
        </w:rPr>
      </w:pPr>
      <w:r w:rsidRPr="004C4FDD">
        <w:rPr>
          <w:rFonts w:asciiTheme="minorHAnsi" w:hAnsiTheme="minorHAnsi" w:cstheme="minorHAnsi"/>
          <w:szCs w:val="18"/>
        </w:rPr>
        <w:tab/>
        <w:t>If the Authority is of the view that there is sound medical</w:t>
      </w:r>
      <w:r w:rsidRPr="004C4FDD">
        <w:rPr>
          <w:rFonts w:asciiTheme="minorHAnsi" w:hAnsiTheme="minorHAnsi" w:cstheme="minorHAnsi"/>
          <w:szCs w:val="18"/>
        </w:rPr>
        <w:noBreakHyphen/>
        <w:t xml:space="preserve">scientific evidence that indicates that </w:t>
      </w:r>
      <w:r w:rsidRPr="004C4FDD">
        <w:rPr>
          <w:rFonts w:asciiTheme="minorHAnsi" w:hAnsiTheme="minorHAnsi" w:cstheme="minorHAnsi"/>
          <w:bCs/>
          <w:szCs w:val="18"/>
        </w:rPr>
        <w:t>a particular kind of injury, disease or death can be related to:</w:t>
      </w:r>
    </w:p>
    <w:p w14:paraId="0FE5B863" w14:textId="77777777" w:rsidR="00B0426D" w:rsidRPr="004C4FDD" w:rsidRDefault="00B0426D" w:rsidP="002A4F0C">
      <w:pPr>
        <w:pStyle w:val="Footnote"/>
        <w:ind w:left="850"/>
        <w:rPr>
          <w:rFonts w:asciiTheme="minorHAnsi" w:hAnsiTheme="minorHAnsi" w:cstheme="minorHAnsi"/>
          <w:szCs w:val="18"/>
        </w:rPr>
      </w:pPr>
      <w:r w:rsidRPr="004C4FDD">
        <w:rPr>
          <w:rFonts w:asciiTheme="minorHAnsi" w:hAnsiTheme="minorHAnsi" w:cstheme="minorHAnsi"/>
          <w:szCs w:val="18"/>
        </w:rPr>
        <w:t>(a)</w:t>
      </w:r>
      <w:r w:rsidRPr="004C4FDD">
        <w:rPr>
          <w:rFonts w:asciiTheme="minorHAnsi" w:hAnsiTheme="minorHAnsi" w:cstheme="minorHAnsi"/>
          <w:szCs w:val="18"/>
        </w:rPr>
        <w:tab/>
        <w:t>operational service rendered by veterans; or</w:t>
      </w:r>
    </w:p>
    <w:p w14:paraId="7ADF797D" w14:textId="77777777" w:rsidR="00B0426D" w:rsidRPr="004C4FDD" w:rsidRDefault="00B0426D" w:rsidP="002A4F0C">
      <w:pPr>
        <w:pStyle w:val="Footnote"/>
        <w:ind w:left="850"/>
        <w:rPr>
          <w:rFonts w:asciiTheme="minorHAnsi" w:hAnsiTheme="minorHAnsi" w:cstheme="minorHAnsi"/>
          <w:szCs w:val="18"/>
        </w:rPr>
      </w:pPr>
      <w:r w:rsidRPr="004C4FDD">
        <w:rPr>
          <w:rFonts w:asciiTheme="minorHAnsi" w:hAnsiTheme="minorHAnsi" w:cstheme="minorHAnsi"/>
          <w:szCs w:val="18"/>
        </w:rPr>
        <w:t>(b)</w:t>
      </w:r>
      <w:r w:rsidRPr="004C4FDD">
        <w:rPr>
          <w:rFonts w:asciiTheme="minorHAnsi" w:hAnsiTheme="minorHAnsi" w:cstheme="minorHAnsi"/>
          <w:szCs w:val="18"/>
        </w:rPr>
        <w:tab/>
        <w:t>peacekeeping service rendered by members of Peacekeeping Forces; or</w:t>
      </w:r>
    </w:p>
    <w:p w14:paraId="6A44B435" w14:textId="77777777" w:rsidR="00B0426D" w:rsidRPr="004C4FDD" w:rsidRDefault="00B0426D" w:rsidP="002A4F0C">
      <w:pPr>
        <w:pStyle w:val="Footnote"/>
        <w:ind w:left="850"/>
        <w:rPr>
          <w:rFonts w:asciiTheme="minorHAnsi" w:hAnsiTheme="minorHAnsi" w:cstheme="minorHAnsi"/>
          <w:szCs w:val="18"/>
        </w:rPr>
      </w:pPr>
      <w:r w:rsidRPr="004C4FDD">
        <w:rPr>
          <w:rFonts w:asciiTheme="minorHAnsi" w:hAnsiTheme="minorHAnsi" w:cstheme="minorHAnsi"/>
          <w:szCs w:val="18"/>
        </w:rPr>
        <w:t>(c)</w:t>
      </w:r>
      <w:r w:rsidRPr="004C4FDD">
        <w:rPr>
          <w:rFonts w:asciiTheme="minorHAnsi" w:hAnsiTheme="minorHAnsi" w:cstheme="minorHAnsi"/>
          <w:szCs w:val="18"/>
        </w:rPr>
        <w:tab/>
        <w:t>hazardous service rendered by members of the Forces; or</w:t>
      </w:r>
    </w:p>
    <w:p w14:paraId="68C24292" w14:textId="77777777" w:rsidR="00B0426D" w:rsidRPr="004C4FDD" w:rsidRDefault="00B0426D" w:rsidP="002A4F0C">
      <w:pPr>
        <w:pStyle w:val="Footnote"/>
        <w:ind w:left="850"/>
        <w:rPr>
          <w:rFonts w:asciiTheme="minorHAnsi" w:hAnsiTheme="minorHAnsi" w:cstheme="minorHAnsi"/>
          <w:szCs w:val="18"/>
        </w:rPr>
      </w:pPr>
      <w:r w:rsidRPr="004C4FDD">
        <w:rPr>
          <w:rFonts w:asciiTheme="minorHAnsi" w:hAnsiTheme="minorHAnsi" w:cstheme="minorHAnsi"/>
          <w:szCs w:val="18"/>
        </w:rPr>
        <w:t>(caa)</w:t>
      </w:r>
      <w:r w:rsidRPr="004C4FDD">
        <w:rPr>
          <w:rFonts w:asciiTheme="minorHAnsi" w:hAnsiTheme="minorHAnsi" w:cstheme="minorHAnsi"/>
          <w:szCs w:val="18"/>
        </w:rPr>
        <w:tab/>
        <w:t>British nuclear test defence service rendered by members of the Forces; or</w:t>
      </w:r>
    </w:p>
    <w:p w14:paraId="7F80DBC3" w14:textId="77777777" w:rsidR="00B0426D" w:rsidRPr="004C4FDD" w:rsidRDefault="00B0426D" w:rsidP="002A4F0C">
      <w:pPr>
        <w:pStyle w:val="Footnote"/>
        <w:ind w:left="850"/>
        <w:rPr>
          <w:rFonts w:asciiTheme="minorHAnsi" w:hAnsiTheme="minorHAnsi" w:cstheme="minorHAnsi"/>
          <w:szCs w:val="18"/>
        </w:rPr>
      </w:pPr>
      <w:r w:rsidRPr="004C4FDD">
        <w:rPr>
          <w:rFonts w:asciiTheme="minorHAnsi" w:hAnsiTheme="minorHAnsi" w:cstheme="minorHAnsi"/>
          <w:szCs w:val="18"/>
        </w:rPr>
        <w:t>(ca)</w:t>
      </w:r>
      <w:r w:rsidRPr="004C4FDD">
        <w:rPr>
          <w:rFonts w:asciiTheme="minorHAnsi" w:hAnsiTheme="minorHAnsi" w:cstheme="minorHAnsi"/>
          <w:szCs w:val="18"/>
        </w:rPr>
        <w:tab/>
        <w:t>warlike or non</w:t>
      </w:r>
      <w:r w:rsidRPr="004C4FDD">
        <w:rPr>
          <w:rFonts w:asciiTheme="minorHAnsi" w:hAnsiTheme="minorHAnsi" w:cstheme="minorHAnsi"/>
          <w:szCs w:val="18"/>
        </w:rPr>
        <w:noBreakHyphen/>
        <w:t>warlike service rendered by members;</w:t>
      </w:r>
    </w:p>
    <w:p w14:paraId="0D7BCA4B" w14:textId="77777777" w:rsidR="00B0426D" w:rsidRPr="004C4FDD" w:rsidRDefault="00B0426D" w:rsidP="002A4F0C">
      <w:pPr>
        <w:pStyle w:val="Footnote"/>
        <w:ind w:left="711"/>
        <w:rPr>
          <w:rFonts w:asciiTheme="minorHAnsi" w:hAnsiTheme="minorHAnsi" w:cstheme="minorHAnsi"/>
          <w:szCs w:val="18"/>
        </w:rPr>
      </w:pPr>
      <w:r w:rsidRPr="004C4FDD">
        <w:rPr>
          <w:rFonts w:asciiTheme="minorHAnsi" w:hAnsiTheme="minorHAnsi" w:cstheme="minorHAnsi"/>
          <w:szCs w:val="18"/>
        </w:rPr>
        <w:t>the Authority must determine a Statement of Principles in respect of that kind of injury, disease or death setting out:</w:t>
      </w:r>
    </w:p>
    <w:p w14:paraId="610C5BDD" w14:textId="77777777" w:rsidR="00B0426D" w:rsidRPr="004C4FDD" w:rsidRDefault="00B0426D" w:rsidP="002A4F0C">
      <w:pPr>
        <w:pStyle w:val="Footnote"/>
        <w:ind w:left="850"/>
        <w:rPr>
          <w:rFonts w:asciiTheme="minorHAnsi" w:hAnsiTheme="minorHAnsi" w:cstheme="minorHAnsi"/>
          <w:szCs w:val="18"/>
        </w:rPr>
      </w:pPr>
      <w:r w:rsidRPr="004C4FDD">
        <w:rPr>
          <w:rFonts w:asciiTheme="minorHAnsi" w:hAnsiTheme="minorHAnsi" w:cstheme="minorHAnsi"/>
          <w:szCs w:val="18"/>
        </w:rPr>
        <w:t>(d)</w:t>
      </w:r>
      <w:r w:rsidRPr="004C4FDD">
        <w:rPr>
          <w:rFonts w:asciiTheme="minorHAnsi" w:hAnsiTheme="minorHAnsi" w:cstheme="minorHAnsi"/>
          <w:szCs w:val="18"/>
        </w:rPr>
        <w:tab/>
        <w:t>the factors that must as a minimum exist; and</w:t>
      </w:r>
    </w:p>
    <w:p w14:paraId="322D051A" w14:textId="77777777" w:rsidR="00B0426D" w:rsidRPr="004C4FDD" w:rsidRDefault="00B0426D" w:rsidP="002A4F0C">
      <w:pPr>
        <w:pStyle w:val="Footnote"/>
        <w:ind w:left="850"/>
        <w:rPr>
          <w:rFonts w:asciiTheme="minorHAnsi" w:hAnsiTheme="minorHAnsi" w:cstheme="minorHAnsi"/>
          <w:szCs w:val="18"/>
        </w:rPr>
      </w:pPr>
      <w:r w:rsidRPr="004C4FDD">
        <w:rPr>
          <w:rFonts w:asciiTheme="minorHAnsi" w:hAnsiTheme="minorHAnsi" w:cstheme="minorHAnsi"/>
          <w:szCs w:val="18"/>
        </w:rPr>
        <w:t>(e)</w:t>
      </w:r>
      <w:r w:rsidRPr="004C4FDD">
        <w:rPr>
          <w:rFonts w:asciiTheme="minorHAnsi" w:hAnsiTheme="minorHAnsi" w:cstheme="minorHAnsi"/>
          <w:szCs w:val="18"/>
        </w:rPr>
        <w:tab/>
        <w:t>which of those factors must be related to service rendered by a person;</w:t>
      </w:r>
    </w:p>
    <w:p w14:paraId="04298BCB" w14:textId="77777777" w:rsidR="00B0426D" w:rsidRPr="004C4FDD" w:rsidRDefault="00B0426D" w:rsidP="002A4F0C">
      <w:pPr>
        <w:pStyle w:val="Footnote"/>
        <w:rPr>
          <w:rFonts w:asciiTheme="minorHAnsi" w:hAnsiTheme="minorHAnsi" w:cstheme="minorHAnsi"/>
          <w:szCs w:val="18"/>
        </w:rPr>
      </w:pPr>
      <w:r w:rsidRPr="004C4FDD">
        <w:rPr>
          <w:rFonts w:asciiTheme="minorHAnsi" w:hAnsiTheme="minorHAnsi" w:cstheme="minorHAnsi"/>
          <w:szCs w:val="18"/>
        </w:rPr>
        <w:tab/>
        <w:t>before it can be said that a reasonable hypothesis has been raised connecting an injury, disease or death of that kind with the circumstances of that service.</w:t>
      </w:r>
    </w:p>
  </w:footnote>
  <w:footnote w:id="2">
    <w:p w14:paraId="48E499F3" w14:textId="77777777" w:rsidR="00B0426D" w:rsidRPr="004C4FDD" w:rsidRDefault="00B0426D" w:rsidP="002A4F0C">
      <w:pPr>
        <w:pStyle w:val="Footnote"/>
        <w:rPr>
          <w:rFonts w:asciiTheme="minorHAnsi" w:hAnsiTheme="minorHAnsi" w:cstheme="minorHAnsi"/>
          <w:szCs w:val="18"/>
        </w:rPr>
      </w:pPr>
      <w:r w:rsidRPr="004C4FDD">
        <w:rPr>
          <w:rStyle w:val="FootnoteReference"/>
          <w:rFonts w:asciiTheme="minorHAnsi" w:hAnsiTheme="minorHAnsi" w:cstheme="minorHAnsi"/>
          <w:sz w:val="18"/>
          <w:szCs w:val="18"/>
        </w:rPr>
        <w:footnoteRef/>
      </w:r>
      <w:r w:rsidRPr="004C4FDD">
        <w:rPr>
          <w:rFonts w:asciiTheme="minorHAnsi" w:hAnsiTheme="minorHAnsi" w:cstheme="minorHAnsi"/>
          <w:szCs w:val="18"/>
        </w:rPr>
        <w:t xml:space="preserve"> </w:t>
      </w:r>
      <w:r w:rsidRPr="004C4FDD">
        <w:rPr>
          <w:rFonts w:asciiTheme="minorHAnsi" w:hAnsiTheme="minorHAnsi" w:cstheme="minorHAnsi"/>
          <w:szCs w:val="18"/>
        </w:rPr>
        <w:tab/>
        <w:t>The balance of probabilities test is set out in section 196B(3) of the VEA which provides:</w:t>
      </w:r>
    </w:p>
    <w:p w14:paraId="04F2E9C1" w14:textId="77777777" w:rsidR="00B0426D" w:rsidRPr="004C4FDD" w:rsidRDefault="00B0426D" w:rsidP="002A4F0C">
      <w:pPr>
        <w:pStyle w:val="Footnote"/>
        <w:ind w:left="711"/>
        <w:rPr>
          <w:rFonts w:asciiTheme="minorHAnsi" w:hAnsiTheme="minorHAnsi" w:cstheme="minorHAnsi"/>
          <w:kern w:val="28"/>
          <w:szCs w:val="18"/>
          <w:lang w:val="en-US"/>
        </w:rPr>
      </w:pPr>
      <w:r w:rsidRPr="004C4FDD">
        <w:rPr>
          <w:rFonts w:asciiTheme="minorHAnsi" w:hAnsiTheme="minorHAnsi" w:cstheme="minorHAnsi"/>
          <w:kern w:val="28"/>
          <w:szCs w:val="18"/>
          <w:lang w:val="en-US"/>
        </w:rPr>
        <w:t>If the Authority is of the view that on the sound medical</w:t>
      </w:r>
      <w:r w:rsidRPr="004C4FDD">
        <w:rPr>
          <w:rFonts w:asciiTheme="minorHAnsi" w:hAnsiTheme="minorHAnsi" w:cstheme="minorHAnsi"/>
          <w:kern w:val="28"/>
          <w:szCs w:val="18"/>
          <w:lang w:val="en-US"/>
        </w:rPr>
        <w:noBreakHyphen/>
        <w:t>scientific evidence available it is more probable than not that a particular kind of injury, disease or death can be related to:</w:t>
      </w:r>
    </w:p>
    <w:p w14:paraId="75FE48DB" w14:textId="77777777" w:rsidR="00B0426D" w:rsidRPr="004C4FDD" w:rsidRDefault="00B0426D" w:rsidP="002A4F0C">
      <w:pPr>
        <w:pStyle w:val="Footnote"/>
        <w:ind w:left="850"/>
        <w:rPr>
          <w:rFonts w:asciiTheme="minorHAnsi" w:hAnsiTheme="minorHAnsi" w:cstheme="minorHAnsi"/>
          <w:kern w:val="28"/>
          <w:szCs w:val="18"/>
          <w:lang w:val="en-US"/>
        </w:rPr>
      </w:pPr>
      <w:r w:rsidRPr="004C4FDD">
        <w:rPr>
          <w:rFonts w:asciiTheme="minorHAnsi" w:hAnsiTheme="minorHAnsi" w:cstheme="minorHAnsi"/>
          <w:kern w:val="28"/>
          <w:szCs w:val="18"/>
          <w:lang w:val="en-US"/>
        </w:rPr>
        <w:t>(a)</w:t>
      </w:r>
      <w:r w:rsidRPr="004C4FDD">
        <w:rPr>
          <w:rFonts w:asciiTheme="minorHAnsi" w:hAnsiTheme="minorHAnsi" w:cstheme="minorHAnsi"/>
          <w:kern w:val="28"/>
          <w:szCs w:val="18"/>
          <w:lang w:val="en-US"/>
        </w:rPr>
        <w:tab/>
        <w:t>eligible war service (other than operational service) rendered by veterans; or</w:t>
      </w:r>
    </w:p>
    <w:p w14:paraId="373DFF28" w14:textId="77777777" w:rsidR="00B0426D" w:rsidRPr="004C4FDD" w:rsidRDefault="00B0426D" w:rsidP="002A4F0C">
      <w:pPr>
        <w:pStyle w:val="Footnote"/>
        <w:ind w:left="850"/>
        <w:rPr>
          <w:rFonts w:asciiTheme="minorHAnsi" w:hAnsiTheme="minorHAnsi" w:cstheme="minorHAnsi"/>
          <w:kern w:val="28"/>
          <w:szCs w:val="18"/>
          <w:lang w:val="en-US"/>
        </w:rPr>
      </w:pPr>
      <w:r w:rsidRPr="004C4FDD">
        <w:rPr>
          <w:rFonts w:asciiTheme="minorHAnsi" w:hAnsiTheme="minorHAnsi" w:cstheme="minorHAnsi"/>
          <w:kern w:val="28"/>
          <w:szCs w:val="18"/>
          <w:lang w:val="en-US"/>
        </w:rPr>
        <w:t>(b)</w:t>
      </w:r>
      <w:r w:rsidRPr="004C4FDD">
        <w:rPr>
          <w:rFonts w:asciiTheme="minorHAnsi" w:hAnsiTheme="minorHAnsi" w:cstheme="minorHAnsi"/>
          <w:kern w:val="28"/>
          <w:szCs w:val="18"/>
          <w:lang w:val="en-US"/>
        </w:rPr>
        <w:tab/>
        <w:t>defence service (other than hazardous service and British nuclear test defence service) rendered by members of the Forces; or</w:t>
      </w:r>
    </w:p>
    <w:p w14:paraId="60727646" w14:textId="77777777" w:rsidR="00B0426D" w:rsidRPr="004C4FDD" w:rsidRDefault="00B0426D" w:rsidP="002A4F0C">
      <w:pPr>
        <w:pStyle w:val="Footnote"/>
        <w:ind w:left="850"/>
        <w:rPr>
          <w:rFonts w:asciiTheme="minorHAnsi" w:hAnsiTheme="minorHAnsi" w:cstheme="minorHAnsi"/>
          <w:kern w:val="28"/>
          <w:szCs w:val="18"/>
          <w:lang w:val="en-US"/>
        </w:rPr>
      </w:pPr>
      <w:r w:rsidRPr="004C4FDD">
        <w:rPr>
          <w:rFonts w:asciiTheme="minorHAnsi" w:hAnsiTheme="minorHAnsi" w:cstheme="minorHAnsi"/>
          <w:kern w:val="28"/>
          <w:szCs w:val="18"/>
          <w:lang w:val="en-US"/>
        </w:rPr>
        <w:t>(ba)</w:t>
      </w:r>
      <w:r w:rsidRPr="004C4FDD">
        <w:rPr>
          <w:rFonts w:asciiTheme="minorHAnsi" w:hAnsiTheme="minorHAnsi" w:cstheme="minorHAnsi"/>
          <w:kern w:val="28"/>
          <w:szCs w:val="18"/>
          <w:lang w:val="en-US"/>
        </w:rPr>
        <w:tab/>
        <w:t>peacetime service rendered by members;</w:t>
      </w:r>
    </w:p>
    <w:p w14:paraId="223045FB" w14:textId="77777777" w:rsidR="00B0426D" w:rsidRPr="004C4FDD" w:rsidRDefault="00B0426D" w:rsidP="002A4F0C">
      <w:pPr>
        <w:pStyle w:val="Footnote"/>
        <w:ind w:left="850"/>
        <w:rPr>
          <w:rFonts w:asciiTheme="minorHAnsi" w:hAnsiTheme="minorHAnsi" w:cstheme="minorHAnsi"/>
          <w:kern w:val="28"/>
          <w:szCs w:val="18"/>
          <w:lang w:val="en-US"/>
        </w:rPr>
      </w:pPr>
      <w:r w:rsidRPr="004C4FDD">
        <w:rPr>
          <w:rFonts w:asciiTheme="minorHAnsi" w:hAnsiTheme="minorHAnsi" w:cstheme="minorHAnsi"/>
          <w:kern w:val="28"/>
          <w:szCs w:val="18"/>
          <w:lang w:val="en-US"/>
        </w:rPr>
        <w:t>the Authority must determine a Statement of Principles in respect of that kind of injury, disease or death setting out:</w:t>
      </w:r>
    </w:p>
    <w:p w14:paraId="30F96CE6" w14:textId="77777777" w:rsidR="00B0426D" w:rsidRPr="004C4FDD" w:rsidRDefault="00B0426D" w:rsidP="002A4F0C">
      <w:pPr>
        <w:pStyle w:val="Footnote"/>
        <w:ind w:left="850"/>
        <w:rPr>
          <w:rFonts w:asciiTheme="minorHAnsi" w:hAnsiTheme="minorHAnsi" w:cstheme="minorHAnsi"/>
          <w:kern w:val="28"/>
          <w:szCs w:val="18"/>
          <w:lang w:val="en-US"/>
        </w:rPr>
      </w:pPr>
      <w:r w:rsidRPr="004C4FDD">
        <w:rPr>
          <w:rFonts w:asciiTheme="minorHAnsi" w:hAnsiTheme="minorHAnsi" w:cstheme="minorHAnsi"/>
          <w:kern w:val="28"/>
          <w:szCs w:val="18"/>
          <w:lang w:val="en-US"/>
        </w:rPr>
        <w:t>(c)</w:t>
      </w:r>
      <w:r w:rsidRPr="004C4FDD">
        <w:rPr>
          <w:rFonts w:asciiTheme="minorHAnsi" w:hAnsiTheme="minorHAnsi" w:cstheme="minorHAnsi"/>
          <w:kern w:val="28"/>
          <w:szCs w:val="18"/>
          <w:lang w:val="en-US"/>
        </w:rPr>
        <w:tab/>
        <w:t>the factors that must exist; and</w:t>
      </w:r>
    </w:p>
    <w:p w14:paraId="6BD38EAA" w14:textId="77777777" w:rsidR="00B0426D" w:rsidRPr="004C4FDD" w:rsidRDefault="00B0426D" w:rsidP="002A4F0C">
      <w:pPr>
        <w:pStyle w:val="Footnote"/>
        <w:ind w:left="850"/>
        <w:rPr>
          <w:rFonts w:asciiTheme="minorHAnsi" w:hAnsiTheme="minorHAnsi" w:cstheme="minorHAnsi"/>
          <w:kern w:val="28"/>
          <w:szCs w:val="18"/>
          <w:lang w:val="en-US"/>
        </w:rPr>
      </w:pPr>
      <w:r w:rsidRPr="004C4FDD">
        <w:rPr>
          <w:rFonts w:asciiTheme="minorHAnsi" w:hAnsiTheme="minorHAnsi" w:cstheme="minorHAnsi"/>
          <w:kern w:val="28"/>
          <w:szCs w:val="18"/>
          <w:lang w:val="en-US"/>
        </w:rPr>
        <w:t>(d)</w:t>
      </w:r>
      <w:r w:rsidRPr="004C4FDD">
        <w:rPr>
          <w:rFonts w:asciiTheme="minorHAnsi" w:hAnsiTheme="minorHAnsi" w:cstheme="minorHAnsi"/>
          <w:kern w:val="28"/>
          <w:szCs w:val="18"/>
          <w:lang w:val="en-US"/>
        </w:rPr>
        <w:tab/>
        <w:t>which of those factors must be related to service rendered by a person;</w:t>
      </w:r>
    </w:p>
    <w:p w14:paraId="2E150B2B" w14:textId="77777777" w:rsidR="00B0426D" w:rsidRPr="004C4FDD" w:rsidRDefault="00B0426D" w:rsidP="002A4F0C">
      <w:pPr>
        <w:pStyle w:val="Footnote"/>
        <w:ind w:left="850"/>
        <w:rPr>
          <w:rFonts w:asciiTheme="minorHAnsi" w:hAnsiTheme="minorHAnsi" w:cstheme="minorHAnsi"/>
          <w:szCs w:val="18"/>
        </w:rPr>
      </w:pPr>
      <w:r w:rsidRPr="004C4FDD">
        <w:rPr>
          <w:rFonts w:asciiTheme="minorHAnsi" w:hAnsiTheme="minorHAnsi" w:cstheme="minorHAnsi"/>
          <w:kern w:val="28"/>
          <w:szCs w:val="18"/>
          <w:lang w:val="en-US"/>
        </w:rPr>
        <w:t>before it can be said that, on the balance of probabilities, an injury, disease or death of that kind is connected with the circumstances of that service.</w:t>
      </w:r>
    </w:p>
  </w:footnote>
  <w:footnote w:id="3">
    <w:p w14:paraId="785A2A63" w14:textId="77777777" w:rsidR="00B0426D" w:rsidRPr="00461882" w:rsidRDefault="00B0426D" w:rsidP="002A4F0C">
      <w:pPr>
        <w:pStyle w:val="Footnote"/>
      </w:pPr>
      <w:r w:rsidRPr="004C4FDD">
        <w:rPr>
          <w:rStyle w:val="FootnoteReference"/>
          <w:rFonts w:asciiTheme="minorHAnsi" w:hAnsiTheme="minorHAnsi" w:cstheme="minorHAnsi"/>
          <w:sz w:val="18"/>
          <w:szCs w:val="18"/>
        </w:rPr>
        <w:footnoteRef/>
      </w:r>
      <w:r w:rsidRPr="004C4FDD">
        <w:rPr>
          <w:rFonts w:asciiTheme="minorHAnsi" w:hAnsiTheme="minorHAnsi" w:cstheme="minorHAnsi"/>
          <w:szCs w:val="18"/>
        </w:rPr>
        <w:tab/>
        <w:t>See sections 120, 120A and 120B of the VEA and sections 335, 338 and 339 of the MRCA.</w:t>
      </w:r>
      <w:r w:rsidRPr="004C4FDD">
        <w:rPr>
          <w:rFonts w:asciiTheme="minorHAnsi" w:hAnsiTheme="minorHAnsi" w:cstheme="minorHAnsi"/>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DA21" w14:textId="2E627555" w:rsidR="00B0426D" w:rsidRDefault="00B0426D">
    <w:pPr>
      <w:pStyle w:val="Draftin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DCE0" w14:textId="72C21DD5" w:rsidR="00B0426D" w:rsidRDefault="00B0426D">
    <w:pPr>
      <w:pStyle w:val="DraftinHeader"/>
      <w:tabs>
        <w:tab w:val="clear" w:pos="8220"/>
        <w:tab w:val="left" w:pos="3130"/>
      </w:tab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FE1"/>
    <w:multiLevelType w:val="hybridMultilevel"/>
    <w:tmpl w:val="9BC2D75A"/>
    <w:lvl w:ilvl="0" w:tplc="543E2CBE">
      <w:start w:val="419"/>
      <w:numFmt w:val="decimal"/>
      <w:pStyle w:val="NormalNumbered"/>
      <w:lvlText w:val="%1."/>
      <w:lvlJc w:val="left"/>
      <w:pPr>
        <w:ind w:left="785"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18D2C50"/>
    <w:multiLevelType w:val="multilevel"/>
    <w:tmpl w:val="C4C43A94"/>
    <w:styleLink w:val="Style1"/>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2"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3"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4" w15:restartNumberingAfterBreak="0">
    <w:nsid w:val="06134204"/>
    <w:multiLevelType w:val="hybridMultilevel"/>
    <w:tmpl w:val="4EB626C2"/>
    <w:lvl w:ilvl="0" w:tplc="DC6E1746">
      <w:start w:val="1"/>
      <w:numFmt w:val="lowerLetter"/>
      <w:pStyle w:val="NormalAlpha"/>
      <w:lvlText w:val="%1)"/>
      <w:lvlJc w:val="left"/>
      <w:pPr>
        <w:ind w:left="2803" w:hanging="360"/>
      </w:pPr>
    </w:lvl>
    <w:lvl w:ilvl="1" w:tplc="08090019" w:tentative="1">
      <w:start w:val="1"/>
      <w:numFmt w:val="lowerLetter"/>
      <w:lvlText w:val="%2."/>
      <w:lvlJc w:val="left"/>
      <w:pPr>
        <w:ind w:left="3523" w:hanging="360"/>
      </w:pPr>
    </w:lvl>
    <w:lvl w:ilvl="2" w:tplc="0809001B" w:tentative="1">
      <w:start w:val="1"/>
      <w:numFmt w:val="lowerRoman"/>
      <w:lvlText w:val="%3."/>
      <w:lvlJc w:val="right"/>
      <w:pPr>
        <w:ind w:left="4243" w:hanging="180"/>
      </w:pPr>
    </w:lvl>
    <w:lvl w:ilvl="3" w:tplc="0809000F" w:tentative="1">
      <w:start w:val="1"/>
      <w:numFmt w:val="decimal"/>
      <w:lvlText w:val="%4."/>
      <w:lvlJc w:val="left"/>
      <w:pPr>
        <w:ind w:left="4963" w:hanging="360"/>
      </w:pPr>
    </w:lvl>
    <w:lvl w:ilvl="4" w:tplc="08090019" w:tentative="1">
      <w:start w:val="1"/>
      <w:numFmt w:val="lowerLetter"/>
      <w:lvlText w:val="%5."/>
      <w:lvlJc w:val="left"/>
      <w:pPr>
        <w:ind w:left="5683" w:hanging="360"/>
      </w:pPr>
    </w:lvl>
    <w:lvl w:ilvl="5" w:tplc="0809001B" w:tentative="1">
      <w:start w:val="1"/>
      <w:numFmt w:val="lowerRoman"/>
      <w:lvlText w:val="%6."/>
      <w:lvlJc w:val="right"/>
      <w:pPr>
        <w:ind w:left="6403" w:hanging="180"/>
      </w:pPr>
    </w:lvl>
    <w:lvl w:ilvl="6" w:tplc="0809000F" w:tentative="1">
      <w:start w:val="1"/>
      <w:numFmt w:val="decimal"/>
      <w:lvlText w:val="%7."/>
      <w:lvlJc w:val="left"/>
      <w:pPr>
        <w:ind w:left="7123" w:hanging="360"/>
      </w:pPr>
    </w:lvl>
    <w:lvl w:ilvl="7" w:tplc="08090019" w:tentative="1">
      <w:start w:val="1"/>
      <w:numFmt w:val="lowerLetter"/>
      <w:lvlText w:val="%8."/>
      <w:lvlJc w:val="left"/>
      <w:pPr>
        <w:ind w:left="7843" w:hanging="360"/>
      </w:pPr>
    </w:lvl>
    <w:lvl w:ilvl="8" w:tplc="0809001B" w:tentative="1">
      <w:start w:val="1"/>
      <w:numFmt w:val="lowerRoman"/>
      <w:lvlText w:val="%9."/>
      <w:lvlJc w:val="right"/>
      <w:pPr>
        <w:ind w:left="8563" w:hanging="180"/>
      </w:pPr>
    </w:lvl>
  </w:abstractNum>
  <w:abstractNum w:abstractNumId="5"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6" w15:restartNumberingAfterBreak="0">
    <w:nsid w:val="095D65B0"/>
    <w:multiLevelType w:val="multilevel"/>
    <w:tmpl w:val="C4C43A94"/>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7"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8" w15:restartNumberingAfterBreak="0">
    <w:nsid w:val="0B44709A"/>
    <w:multiLevelType w:val="hybridMultilevel"/>
    <w:tmpl w:val="4A66C3F0"/>
    <w:lvl w:ilvl="0" w:tplc="76029C76">
      <w:start w:val="1"/>
      <w:numFmt w:val="decimal"/>
      <w:pStyle w:val="Normalnumbered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0"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1" w15:restartNumberingAfterBreak="0">
    <w:nsid w:val="0F240772"/>
    <w:multiLevelType w:val="hybridMultilevel"/>
    <w:tmpl w:val="A558B204"/>
    <w:lvl w:ilvl="0" w:tplc="D0F6F190">
      <w:start w:val="2"/>
      <w:numFmt w:val="bullet"/>
      <w:pStyle w:val="Normal-Dash"/>
      <w:lvlText w:val="–"/>
      <w:lvlJc w:val="left"/>
      <w:pPr>
        <w:ind w:left="1568" w:hanging="360"/>
      </w:pPr>
      <w:rPr>
        <w:rFonts w:ascii="Coronet (W1)" w:eastAsia="Coronet (W1)" w:hAnsi="Coronet (W1)" w:cs="Coronet (W1)"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2" w15:restartNumberingAfterBreak="0">
    <w:nsid w:val="11051DF2"/>
    <w:multiLevelType w:val="hybridMultilevel"/>
    <w:tmpl w:val="EF369A34"/>
    <w:name w:val="AGSClause2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4815193"/>
    <w:multiLevelType w:val="multilevel"/>
    <w:tmpl w:val="0828677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1D962AAF"/>
    <w:multiLevelType w:val="hybridMultilevel"/>
    <w:tmpl w:val="56E61482"/>
    <w:name w:val="AGSCorp"/>
    <w:lvl w:ilvl="0" w:tplc="214CE6FE">
      <w:start w:val="109"/>
      <w:numFmt w:val="decimal"/>
      <w:lvlText w:val="%1."/>
      <w:lvlJc w:val="right"/>
      <w:pPr>
        <w:tabs>
          <w:tab w:val="num" w:pos="720"/>
        </w:tabs>
        <w:ind w:left="720" w:hanging="363"/>
      </w:pPr>
      <w:rPr>
        <w:rFonts w:hint="default"/>
      </w:rPr>
    </w:lvl>
    <w:lvl w:ilvl="1" w:tplc="44887C5E" w:tentative="1">
      <w:start w:val="1"/>
      <w:numFmt w:val="lowerLetter"/>
      <w:lvlText w:val="%2."/>
      <w:lvlJc w:val="left"/>
      <w:pPr>
        <w:tabs>
          <w:tab w:val="num" w:pos="1440"/>
        </w:tabs>
        <w:ind w:left="1440" w:hanging="360"/>
      </w:pPr>
    </w:lvl>
    <w:lvl w:ilvl="2" w:tplc="AE928A3A" w:tentative="1">
      <w:start w:val="1"/>
      <w:numFmt w:val="lowerRoman"/>
      <w:lvlText w:val="%3."/>
      <w:lvlJc w:val="right"/>
      <w:pPr>
        <w:tabs>
          <w:tab w:val="num" w:pos="2160"/>
        </w:tabs>
        <w:ind w:left="2160" w:hanging="180"/>
      </w:pPr>
    </w:lvl>
    <w:lvl w:ilvl="3" w:tplc="49B88F6A" w:tentative="1">
      <w:start w:val="1"/>
      <w:numFmt w:val="decimal"/>
      <w:lvlText w:val="%4."/>
      <w:lvlJc w:val="left"/>
      <w:pPr>
        <w:tabs>
          <w:tab w:val="num" w:pos="2880"/>
        </w:tabs>
        <w:ind w:left="2880" w:hanging="360"/>
      </w:pPr>
    </w:lvl>
    <w:lvl w:ilvl="4" w:tplc="4C301C0A" w:tentative="1">
      <w:start w:val="1"/>
      <w:numFmt w:val="lowerLetter"/>
      <w:lvlText w:val="%5."/>
      <w:lvlJc w:val="left"/>
      <w:pPr>
        <w:tabs>
          <w:tab w:val="num" w:pos="3600"/>
        </w:tabs>
        <w:ind w:left="3600" w:hanging="360"/>
      </w:pPr>
    </w:lvl>
    <w:lvl w:ilvl="5" w:tplc="107CC864" w:tentative="1">
      <w:start w:val="1"/>
      <w:numFmt w:val="lowerRoman"/>
      <w:lvlText w:val="%6."/>
      <w:lvlJc w:val="right"/>
      <w:pPr>
        <w:tabs>
          <w:tab w:val="num" w:pos="4320"/>
        </w:tabs>
        <w:ind w:left="4320" w:hanging="180"/>
      </w:pPr>
    </w:lvl>
    <w:lvl w:ilvl="6" w:tplc="56405EDC" w:tentative="1">
      <w:start w:val="1"/>
      <w:numFmt w:val="decimal"/>
      <w:lvlText w:val="%7."/>
      <w:lvlJc w:val="left"/>
      <w:pPr>
        <w:tabs>
          <w:tab w:val="num" w:pos="5040"/>
        </w:tabs>
        <w:ind w:left="5040" w:hanging="360"/>
      </w:pPr>
    </w:lvl>
    <w:lvl w:ilvl="7" w:tplc="7EF27846" w:tentative="1">
      <w:start w:val="1"/>
      <w:numFmt w:val="lowerLetter"/>
      <w:lvlText w:val="%8."/>
      <w:lvlJc w:val="left"/>
      <w:pPr>
        <w:tabs>
          <w:tab w:val="num" w:pos="5760"/>
        </w:tabs>
        <w:ind w:left="5760" w:hanging="360"/>
      </w:pPr>
    </w:lvl>
    <w:lvl w:ilvl="8" w:tplc="79DEA3C6" w:tentative="1">
      <w:start w:val="1"/>
      <w:numFmt w:val="lowerRoman"/>
      <w:lvlText w:val="%9."/>
      <w:lvlJc w:val="right"/>
      <w:pPr>
        <w:tabs>
          <w:tab w:val="num" w:pos="6480"/>
        </w:tabs>
        <w:ind w:left="6480" w:hanging="180"/>
      </w:pPr>
    </w:lvl>
  </w:abstractNum>
  <w:abstractNum w:abstractNumId="15"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6"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7" w15:restartNumberingAfterBreak="0">
    <w:nsid w:val="214C1140"/>
    <w:multiLevelType w:val="hybridMultilevel"/>
    <w:tmpl w:val="0958E228"/>
    <w:name w:val="AGSQuote2"/>
    <w:lvl w:ilvl="0" w:tplc="FFFFFFFF">
      <w:start w:val="1"/>
      <w:numFmt w:val="decimal"/>
      <w:lvlText w:val="%1."/>
      <w:lvlJc w:val="left"/>
      <w:pPr>
        <w:tabs>
          <w:tab w:val="num" w:pos="1117"/>
        </w:tabs>
        <w:ind w:left="1117" w:hanging="360"/>
      </w:pPr>
      <w:rPr>
        <w:rFonts w:hint="default"/>
        <w:sz w:val="24"/>
        <w:szCs w:val="22"/>
      </w:rPr>
    </w:lvl>
    <w:lvl w:ilvl="1" w:tplc="FFFFFFFF">
      <w:start w:val="1"/>
      <w:numFmt w:val="decimal"/>
      <w:lvlText w:val="%2."/>
      <w:lvlJc w:val="left"/>
      <w:pPr>
        <w:tabs>
          <w:tab w:val="num" w:pos="1117"/>
        </w:tabs>
        <w:ind w:left="1117" w:hanging="360"/>
      </w:pPr>
      <w:rPr>
        <w:rFonts w:hint="default"/>
        <w:sz w:val="22"/>
        <w:szCs w:val="22"/>
      </w:rPr>
    </w:lvl>
    <w:lvl w:ilvl="2" w:tplc="FFFFFFFF">
      <w:start w:val="1"/>
      <w:numFmt w:val="bullet"/>
      <w:lvlText w:val="–"/>
      <w:lvlJc w:val="left"/>
      <w:pPr>
        <w:tabs>
          <w:tab w:val="num" w:pos="1117"/>
        </w:tabs>
        <w:ind w:left="1117" w:hanging="360"/>
      </w:pPr>
      <w:rPr>
        <w:rFonts w:ascii="Coronet (W1)" w:hAnsi="Coronet (W1)" w:hint="default"/>
        <w:sz w:val="24"/>
        <w:szCs w:val="22"/>
      </w:rPr>
    </w:lvl>
    <w:lvl w:ilvl="3" w:tplc="FFFFFFFF">
      <w:start w:val="1"/>
      <w:numFmt w:val="decimal"/>
      <w:lvlText w:val="(%4)"/>
      <w:lvlJc w:val="left"/>
      <w:pPr>
        <w:tabs>
          <w:tab w:val="num" w:pos="3277"/>
        </w:tabs>
        <w:ind w:left="3277" w:hanging="360"/>
      </w:pPr>
      <w:rPr>
        <w:rFonts w:hint="default"/>
      </w:r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18" w15:restartNumberingAfterBreak="0">
    <w:nsid w:val="22123396"/>
    <w:multiLevelType w:val="multilevel"/>
    <w:tmpl w:val="6E145D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2B242CC"/>
    <w:multiLevelType w:val="multilevel"/>
    <w:tmpl w:val="E60E4706"/>
    <w:name w:val="AGSTable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15:restartNumberingAfterBreak="0">
    <w:nsid w:val="25C53852"/>
    <w:multiLevelType w:val="hybridMultilevel"/>
    <w:tmpl w:val="C53AC504"/>
    <w:name w:val="AGSTableDash"/>
    <w:lvl w:ilvl="0" w:tplc="B038FE3C">
      <w:start w:val="1"/>
      <w:numFmt w:val="bullet"/>
      <w:lvlText w:val="–"/>
      <w:lvlJc w:val="left"/>
      <w:pPr>
        <w:tabs>
          <w:tab w:val="num" w:pos="757"/>
        </w:tabs>
        <w:ind w:left="757" w:hanging="360"/>
      </w:pPr>
      <w:rPr>
        <w:rFonts w:ascii="Coronet (W1)" w:hAnsi="Coronet (W1)" w:hint="default"/>
        <w:sz w:val="24"/>
      </w:rPr>
    </w:lvl>
    <w:lvl w:ilvl="1" w:tplc="DB7CBF1A" w:tentative="1">
      <w:start w:val="1"/>
      <w:numFmt w:val="bullet"/>
      <w:lvlText w:val="o"/>
      <w:lvlJc w:val="left"/>
      <w:pPr>
        <w:tabs>
          <w:tab w:val="num" w:pos="1440"/>
        </w:tabs>
        <w:ind w:left="1440" w:hanging="360"/>
      </w:pPr>
      <w:rPr>
        <w:rFonts w:ascii="Courier New" w:hAnsi="Courier New" w:cs="Courier New" w:hint="default"/>
      </w:rPr>
    </w:lvl>
    <w:lvl w:ilvl="2" w:tplc="C63EC9D2" w:tentative="1">
      <w:start w:val="1"/>
      <w:numFmt w:val="bullet"/>
      <w:lvlText w:val=""/>
      <w:lvlJc w:val="left"/>
      <w:pPr>
        <w:tabs>
          <w:tab w:val="num" w:pos="2160"/>
        </w:tabs>
        <w:ind w:left="2160" w:hanging="360"/>
      </w:pPr>
      <w:rPr>
        <w:rFonts w:ascii="Wingdings" w:hAnsi="Wingdings" w:hint="default"/>
      </w:rPr>
    </w:lvl>
    <w:lvl w:ilvl="3" w:tplc="07F48E84" w:tentative="1">
      <w:start w:val="1"/>
      <w:numFmt w:val="bullet"/>
      <w:lvlText w:val=""/>
      <w:lvlJc w:val="left"/>
      <w:pPr>
        <w:tabs>
          <w:tab w:val="num" w:pos="2880"/>
        </w:tabs>
        <w:ind w:left="2880" w:hanging="360"/>
      </w:pPr>
      <w:rPr>
        <w:rFonts w:ascii="Symbol" w:hAnsi="Symbol" w:hint="default"/>
      </w:rPr>
    </w:lvl>
    <w:lvl w:ilvl="4" w:tplc="D32492D0" w:tentative="1">
      <w:start w:val="1"/>
      <w:numFmt w:val="bullet"/>
      <w:lvlText w:val="o"/>
      <w:lvlJc w:val="left"/>
      <w:pPr>
        <w:tabs>
          <w:tab w:val="num" w:pos="3600"/>
        </w:tabs>
        <w:ind w:left="3600" w:hanging="360"/>
      </w:pPr>
      <w:rPr>
        <w:rFonts w:ascii="Courier New" w:hAnsi="Courier New" w:cs="Courier New" w:hint="default"/>
      </w:rPr>
    </w:lvl>
    <w:lvl w:ilvl="5" w:tplc="AFB085DC" w:tentative="1">
      <w:start w:val="1"/>
      <w:numFmt w:val="bullet"/>
      <w:lvlText w:val=""/>
      <w:lvlJc w:val="left"/>
      <w:pPr>
        <w:tabs>
          <w:tab w:val="num" w:pos="4320"/>
        </w:tabs>
        <w:ind w:left="4320" w:hanging="360"/>
      </w:pPr>
      <w:rPr>
        <w:rFonts w:ascii="Wingdings" w:hAnsi="Wingdings" w:hint="default"/>
      </w:rPr>
    </w:lvl>
    <w:lvl w:ilvl="6" w:tplc="A7F4BFBC" w:tentative="1">
      <w:start w:val="1"/>
      <w:numFmt w:val="bullet"/>
      <w:lvlText w:val=""/>
      <w:lvlJc w:val="left"/>
      <w:pPr>
        <w:tabs>
          <w:tab w:val="num" w:pos="5040"/>
        </w:tabs>
        <w:ind w:left="5040" w:hanging="360"/>
      </w:pPr>
      <w:rPr>
        <w:rFonts w:ascii="Symbol" w:hAnsi="Symbol" w:hint="default"/>
      </w:rPr>
    </w:lvl>
    <w:lvl w:ilvl="7" w:tplc="2E6AE2E0" w:tentative="1">
      <w:start w:val="1"/>
      <w:numFmt w:val="bullet"/>
      <w:lvlText w:val="o"/>
      <w:lvlJc w:val="left"/>
      <w:pPr>
        <w:tabs>
          <w:tab w:val="num" w:pos="5760"/>
        </w:tabs>
        <w:ind w:left="5760" w:hanging="360"/>
      </w:pPr>
      <w:rPr>
        <w:rFonts w:ascii="Courier New" w:hAnsi="Courier New" w:cs="Courier New" w:hint="default"/>
      </w:rPr>
    </w:lvl>
    <w:lvl w:ilvl="8" w:tplc="342AAA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2" w15:restartNumberingAfterBreak="0">
    <w:nsid w:val="285462F4"/>
    <w:multiLevelType w:val="multilevel"/>
    <w:tmpl w:val="BFA4A1DC"/>
    <w:name w:val="AGSHang"/>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bullet"/>
      <w:lvlText w:val=""/>
      <w:lvlJc w:val="left"/>
      <w:pPr>
        <w:tabs>
          <w:tab w:val="num" w:pos="576"/>
        </w:tabs>
        <w:ind w:left="576" w:hanging="576"/>
      </w:pPr>
      <w:rPr>
        <w:rFonts w:ascii="Symbol" w:hAnsi="Symbol" w:hint="default"/>
        <w:color w:val="auto"/>
        <w:sz w:val="16"/>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4"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5" w15:restartNumberingAfterBreak="0">
    <w:nsid w:val="2AE07CA5"/>
    <w:multiLevelType w:val="hybridMultilevel"/>
    <w:tmpl w:val="43F20FA4"/>
    <w:lvl w:ilvl="0" w:tplc="D41238E6">
      <w:start w:val="1"/>
      <w:numFmt w:val="upperLetter"/>
      <w:pStyle w:val="QuoteAlpha"/>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26"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7" w15:restartNumberingAfterBreak="0">
    <w:nsid w:val="33561806"/>
    <w:multiLevelType w:val="hybridMultilevel"/>
    <w:tmpl w:val="C53AD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12432E8"/>
    <w:multiLevelType w:val="hybridMultilevel"/>
    <w:tmpl w:val="77580E52"/>
    <w:lvl w:ilvl="0" w:tplc="70888A70">
      <w:start w:val="1"/>
      <w:numFmt w:val="lowerRoman"/>
      <w:pStyle w:val="Numberediiii"/>
      <w:lvlText w:val="%1."/>
      <w:lvlJc w:val="right"/>
      <w:pPr>
        <w:ind w:left="4679" w:hanging="360"/>
      </w:pPr>
    </w:lvl>
    <w:lvl w:ilvl="1" w:tplc="08090019" w:tentative="1">
      <w:start w:val="1"/>
      <w:numFmt w:val="lowerLetter"/>
      <w:lvlText w:val="%2."/>
      <w:lvlJc w:val="left"/>
      <w:pPr>
        <w:ind w:left="5399" w:hanging="360"/>
      </w:pPr>
    </w:lvl>
    <w:lvl w:ilvl="2" w:tplc="0809001B" w:tentative="1">
      <w:start w:val="1"/>
      <w:numFmt w:val="lowerRoman"/>
      <w:lvlText w:val="%3."/>
      <w:lvlJc w:val="right"/>
      <w:pPr>
        <w:ind w:left="6119" w:hanging="180"/>
      </w:pPr>
    </w:lvl>
    <w:lvl w:ilvl="3" w:tplc="0809000F" w:tentative="1">
      <w:start w:val="1"/>
      <w:numFmt w:val="decimal"/>
      <w:lvlText w:val="%4."/>
      <w:lvlJc w:val="left"/>
      <w:pPr>
        <w:ind w:left="6839" w:hanging="360"/>
      </w:pPr>
    </w:lvl>
    <w:lvl w:ilvl="4" w:tplc="08090019" w:tentative="1">
      <w:start w:val="1"/>
      <w:numFmt w:val="lowerLetter"/>
      <w:lvlText w:val="%5."/>
      <w:lvlJc w:val="left"/>
      <w:pPr>
        <w:ind w:left="7559" w:hanging="360"/>
      </w:pPr>
    </w:lvl>
    <w:lvl w:ilvl="5" w:tplc="0809001B" w:tentative="1">
      <w:start w:val="1"/>
      <w:numFmt w:val="lowerRoman"/>
      <w:lvlText w:val="%6."/>
      <w:lvlJc w:val="right"/>
      <w:pPr>
        <w:ind w:left="8279" w:hanging="180"/>
      </w:pPr>
    </w:lvl>
    <w:lvl w:ilvl="6" w:tplc="0809000F" w:tentative="1">
      <w:start w:val="1"/>
      <w:numFmt w:val="decimal"/>
      <w:lvlText w:val="%7."/>
      <w:lvlJc w:val="left"/>
      <w:pPr>
        <w:ind w:left="8999" w:hanging="360"/>
      </w:pPr>
    </w:lvl>
    <w:lvl w:ilvl="7" w:tplc="08090019" w:tentative="1">
      <w:start w:val="1"/>
      <w:numFmt w:val="lowerLetter"/>
      <w:lvlText w:val="%8."/>
      <w:lvlJc w:val="left"/>
      <w:pPr>
        <w:ind w:left="9719" w:hanging="360"/>
      </w:pPr>
    </w:lvl>
    <w:lvl w:ilvl="8" w:tplc="0809001B" w:tentative="1">
      <w:start w:val="1"/>
      <w:numFmt w:val="lowerRoman"/>
      <w:lvlText w:val="%9."/>
      <w:lvlJc w:val="right"/>
      <w:pPr>
        <w:ind w:left="10439" w:hanging="180"/>
      </w:pPr>
    </w:lvl>
  </w:abstractNum>
  <w:abstractNum w:abstractNumId="29" w15:restartNumberingAfterBreak="0">
    <w:nsid w:val="42B85A5E"/>
    <w:multiLevelType w:val="hybridMultilevel"/>
    <w:tmpl w:val="0582AD74"/>
    <w:name w:val="AGSTableHang"/>
    <w:lvl w:ilvl="0" w:tplc="6544427E">
      <w:start w:val="2"/>
      <w:numFmt w:val="bullet"/>
      <w:lvlText w:val="–"/>
      <w:lvlJc w:val="left"/>
      <w:pPr>
        <w:tabs>
          <w:tab w:val="num" w:pos="720"/>
        </w:tabs>
        <w:ind w:left="720" w:hanging="360"/>
      </w:pPr>
      <w:rPr>
        <w:rFonts w:ascii="Arial" w:eastAsia="Times New Roman" w:hAnsi="Arial" w:cs="Arial" w:hint="default"/>
      </w:rPr>
    </w:lvl>
    <w:lvl w:ilvl="1" w:tplc="424CB516" w:tentative="1">
      <w:start w:val="1"/>
      <w:numFmt w:val="bullet"/>
      <w:lvlText w:val="o"/>
      <w:lvlJc w:val="left"/>
      <w:pPr>
        <w:tabs>
          <w:tab w:val="num" w:pos="1440"/>
        </w:tabs>
        <w:ind w:left="1440" w:hanging="360"/>
      </w:pPr>
      <w:rPr>
        <w:rFonts w:ascii="Courier New" w:hAnsi="Courier New" w:cs="Courier New" w:hint="default"/>
      </w:rPr>
    </w:lvl>
    <w:lvl w:ilvl="2" w:tplc="B78CFBD4" w:tentative="1">
      <w:start w:val="1"/>
      <w:numFmt w:val="bullet"/>
      <w:lvlText w:val=""/>
      <w:lvlJc w:val="left"/>
      <w:pPr>
        <w:tabs>
          <w:tab w:val="num" w:pos="2160"/>
        </w:tabs>
        <w:ind w:left="2160" w:hanging="360"/>
      </w:pPr>
      <w:rPr>
        <w:rFonts w:ascii="Wingdings" w:hAnsi="Wingdings" w:hint="default"/>
      </w:rPr>
    </w:lvl>
    <w:lvl w:ilvl="3" w:tplc="8A649568" w:tentative="1">
      <w:start w:val="1"/>
      <w:numFmt w:val="bullet"/>
      <w:lvlText w:val=""/>
      <w:lvlJc w:val="left"/>
      <w:pPr>
        <w:tabs>
          <w:tab w:val="num" w:pos="2880"/>
        </w:tabs>
        <w:ind w:left="2880" w:hanging="360"/>
      </w:pPr>
      <w:rPr>
        <w:rFonts w:ascii="Symbol" w:hAnsi="Symbol" w:hint="default"/>
      </w:rPr>
    </w:lvl>
    <w:lvl w:ilvl="4" w:tplc="19D43660" w:tentative="1">
      <w:start w:val="1"/>
      <w:numFmt w:val="bullet"/>
      <w:lvlText w:val="o"/>
      <w:lvlJc w:val="left"/>
      <w:pPr>
        <w:tabs>
          <w:tab w:val="num" w:pos="3600"/>
        </w:tabs>
        <w:ind w:left="3600" w:hanging="360"/>
      </w:pPr>
      <w:rPr>
        <w:rFonts w:ascii="Courier New" w:hAnsi="Courier New" w:cs="Courier New" w:hint="default"/>
      </w:rPr>
    </w:lvl>
    <w:lvl w:ilvl="5" w:tplc="6EAE852C" w:tentative="1">
      <w:start w:val="1"/>
      <w:numFmt w:val="bullet"/>
      <w:lvlText w:val=""/>
      <w:lvlJc w:val="left"/>
      <w:pPr>
        <w:tabs>
          <w:tab w:val="num" w:pos="4320"/>
        </w:tabs>
        <w:ind w:left="4320" w:hanging="360"/>
      </w:pPr>
      <w:rPr>
        <w:rFonts w:ascii="Wingdings" w:hAnsi="Wingdings" w:hint="default"/>
      </w:rPr>
    </w:lvl>
    <w:lvl w:ilvl="6" w:tplc="712414E0" w:tentative="1">
      <w:start w:val="1"/>
      <w:numFmt w:val="bullet"/>
      <w:lvlText w:val=""/>
      <w:lvlJc w:val="left"/>
      <w:pPr>
        <w:tabs>
          <w:tab w:val="num" w:pos="5040"/>
        </w:tabs>
        <w:ind w:left="5040" w:hanging="360"/>
      </w:pPr>
      <w:rPr>
        <w:rFonts w:ascii="Symbol" w:hAnsi="Symbol" w:hint="default"/>
      </w:rPr>
    </w:lvl>
    <w:lvl w:ilvl="7" w:tplc="180CF860" w:tentative="1">
      <w:start w:val="1"/>
      <w:numFmt w:val="bullet"/>
      <w:lvlText w:val="o"/>
      <w:lvlJc w:val="left"/>
      <w:pPr>
        <w:tabs>
          <w:tab w:val="num" w:pos="5760"/>
        </w:tabs>
        <w:ind w:left="5760" w:hanging="360"/>
      </w:pPr>
      <w:rPr>
        <w:rFonts w:ascii="Courier New" w:hAnsi="Courier New" w:cs="Courier New" w:hint="default"/>
      </w:rPr>
    </w:lvl>
    <w:lvl w:ilvl="8" w:tplc="47FE474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DF194C"/>
    <w:multiLevelType w:val="hybridMultilevel"/>
    <w:tmpl w:val="7B2A79F4"/>
    <w:lvl w:ilvl="0" w:tplc="F4502126">
      <w:start w:val="1"/>
      <w:numFmt w:val="upperLetter"/>
      <w:pStyle w:val="NumberedCapit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5B877E1"/>
    <w:multiLevelType w:val="hybridMultilevel"/>
    <w:tmpl w:val="9800BA5E"/>
    <w:lvl w:ilvl="0" w:tplc="8A86DA7E">
      <w:start w:val="1"/>
      <w:numFmt w:val="lowerRoman"/>
      <w:pStyle w:val="Normalnumbered2"/>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47496C82"/>
    <w:multiLevelType w:val="multilevel"/>
    <w:tmpl w:val="AFE0A28C"/>
    <w:name w:val="AGSAlph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5040"/>
        </w:tabs>
        <w:ind w:left="4320" w:hanging="1440"/>
      </w:pPr>
      <w:rPr>
        <w:rFonts w:ascii="Arial" w:hAnsi="Arial" w:cs="Arial"/>
        <w:sz w:val="22"/>
      </w:rPr>
    </w:lvl>
  </w:abstractNum>
  <w:abstractNum w:abstractNumId="33" w15:restartNumberingAfterBreak="0">
    <w:nsid w:val="47E727A0"/>
    <w:multiLevelType w:val="hybridMultilevel"/>
    <w:tmpl w:val="523409E6"/>
    <w:name w:val="AGSClause"/>
    <w:lvl w:ilvl="0" w:tplc="9BE08BC6">
      <w:start w:val="1"/>
      <w:numFmt w:val="decimal"/>
      <w:pStyle w:val="Keryl"/>
      <w:lvlText w:val="%1."/>
      <w:lvlJc w:val="left"/>
      <w:pPr>
        <w:tabs>
          <w:tab w:val="num" w:pos="720"/>
        </w:tabs>
        <w:ind w:left="927" w:hanging="567"/>
      </w:pPr>
      <w:rPr>
        <w:rFonts w:hint="default"/>
        <w:b w:val="0"/>
      </w:rPr>
    </w:lvl>
    <w:lvl w:ilvl="1" w:tplc="9C84DE4A">
      <w:start w:val="1"/>
      <w:numFmt w:val="lowerLetter"/>
      <w:lvlText w:val="%2."/>
      <w:lvlJc w:val="left"/>
      <w:pPr>
        <w:tabs>
          <w:tab w:val="num" w:pos="1440"/>
        </w:tabs>
        <w:ind w:left="1440" w:hanging="360"/>
      </w:pPr>
    </w:lvl>
    <w:lvl w:ilvl="2" w:tplc="7FB6D456">
      <w:start w:val="1"/>
      <w:numFmt w:val="lowerRoman"/>
      <w:lvlText w:val="%3."/>
      <w:lvlJc w:val="right"/>
      <w:pPr>
        <w:tabs>
          <w:tab w:val="num" w:pos="2160"/>
        </w:tabs>
        <w:ind w:left="2160" w:hanging="180"/>
      </w:pPr>
      <w:rPr>
        <w:rFonts w:hint="default"/>
        <w:b w:val="0"/>
      </w:rPr>
    </w:lvl>
    <w:lvl w:ilvl="3" w:tplc="65667904" w:tentative="1">
      <w:start w:val="1"/>
      <w:numFmt w:val="decimal"/>
      <w:lvlText w:val="%4."/>
      <w:lvlJc w:val="left"/>
      <w:pPr>
        <w:tabs>
          <w:tab w:val="num" w:pos="2880"/>
        </w:tabs>
        <w:ind w:left="2880" w:hanging="360"/>
      </w:pPr>
    </w:lvl>
    <w:lvl w:ilvl="4" w:tplc="FDA08834" w:tentative="1">
      <w:start w:val="1"/>
      <w:numFmt w:val="lowerLetter"/>
      <w:lvlText w:val="%5."/>
      <w:lvlJc w:val="left"/>
      <w:pPr>
        <w:tabs>
          <w:tab w:val="num" w:pos="3600"/>
        </w:tabs>
        <w:ind w:left="3600" w:hanging="360"/>
      </w:pPr>
    </w:lvl>
    <w:lvl w:ilvl="5" w:tplc="BD0881F2" w:tentative="1">
      <w:start w:val="1"/>
      <w:numFmt w:val="lowerRoman"/>
      <w:lvlText w:val="%6."/>
      <w:lvlJc w:val="right"/>
      <w:pPr>
        <w:tabs>
          <w:tab w:val="num" w:pos="4320"/>
        </w:tabs>
        <w:ind w:left="4320" w:hanging="180"/>
      </w:pPr>
    </w:lvl>
    <w:lvl w:ilvl="6" w:tplc="8236E42C" w:tentative="1">
      <w:start w:val="1"/>
      <w:numFmt w:val="decimal"/>
      <w:lvlText w:val="%7."/>
      <w:lvlJc w:val="left"/>
      <w:pPr>
        <w:tabs>
          <w:tab w:val="num" w:pos="5040"/>
        </w:tabs>
        <w:ind w:left="5040" w:hanging="360"/>
      </w:pPr>
    </w:lvl>
    <w:lvl w:ilvl="7" w:tplc="025CD7B6" w:tentative="1">
      <w:start w:val="1"/>
      <w:numFmt w:val="lowerLetter"/>
      <w:lvlText w:val="%8."/>
      <w:lvlJc w:val="left"/>
      <w:pPr>
        <w:tabs>
          <w:tab w:val="num" w:pos="5760"/>
        </w:tabs>
        <w:ind w:left="5760" w:hanging="360"/>
      </w:pPr>
    </w:lvl>
    <w:lvl w:ilvl="8" w:tplc="E3724142" w:tentative="1">
      <w:start w:val="1"/>
      <w:numFmt w:val="lowerRoman"/>
      <w:lvlText w:val="%9."/>
      <w:lvlJc w:val="right"/>
      <w:pPr>
        <w:tabs>
          <w:tab w:val="num" w:pos="6480"/>
        </w:tabs>
        <w:ind w:left="6480" w:hanging="180"/>
      </w:pPr>
    </w:lvl>
  </w:abstractNum>
  <w:abstractNum w:abstractNumId="34" w15:restartNumberingAfterBreak="0">
    <w:nsid w:val="481342D4"/>
    <w:multiLevelType w:val="hybridMultilevel"/>
    <w:tmpl w:val="2DEE6F5A"/>
    <w:lvl w:ilvl="0" w:tplc="332EF748">
      <w:start w:val="1"/>
      <w:numFmt w:val="lowerLetter"/>
      <w:pStyle w:val="NumberedAlpha"/>
      <w:lvlText w:val="%1)"/>
      <w:lvlJc w:val="left"/>
      <w:pPr>
        <w:ind w:left="2778" w:hanging="360"/>
      </w:pPr>
    </w:lvl>
    <w:lvl w:ilvl="1" w:tplc="08090019" w:tentative="1">
      <w:start w:val="1"/>
      <w:numFmt w:val="lowerLetter"/>
      <w:lvlText w:val="%2."/>
      <w:lvlJc w:val="left"/>
      <w:pPr>
        <w:ind w:left="3498" w:hanging="360"/>
      </w:pPr>
    </w:lvl>
    <w:lvl w:ilvl="2" w:tplc="0809001B" w:tentative="1">
      <w:start w:val="1"/>
      <w:numFmt w:val="lowerRoman"/>
      <w:lvlText w:val="%3."/>
      <w:lvlJc w:val="right"/>
      <w:pPr>
        <w:ind w:left="4218" w:hanging="180"/>
      </w:pPr>
    </w:lvl>
    <w:lvl w:ilvl="3" w:tplc="0809000F" w:tentative="1">
      <w:start w:val="1"/>
      <w:numFmt w:val="decimal"/>
      <w:lvlText w:val="%4."/>
      <w:lvlJc w:val="left"/>
      <w:pPr>
        <w:ind w:left="4938" w:hanging="360"/>
      </w:pPr>
    </w:lvl>
    <w:lvl w:ilvl="4" w:tplc="08090019" w:tentative="1">
      <w:start w:val="1"/>
      <w:numFmt w:val="lowerLetter"/>
      <w:lvlText w:val="%5."/>
      <w:lvlJc w:val="left"/>
      <w:pPr>
        <w:ind w:left="5658" w:hanging="360"/>
      </w:pPr>
    </w:lvl>
    <w:lvl w:ilvl="5" w:tplc="0809001B" w:tentative="1">
      <w:start w:val="1"/>
      <w:numFmt w:val="lowerRoman"/>
      <w:lvlText w:val="%6."/>
      <w:lvlJc w:val="right"/>
      <w:pPr>
        <w:ind w:left="6378" w:hanging="180"/>
      </w:pPr>
    </w:lvl>
    <w:lvl w:ilvl="6" w:tplc="0809000F" w:tentative="1">
      <w:start w:val="1"/>
      <w:numFmt w:val="decimal"/>
      <w:lvlText w:val="%7."/>
      <w:lvlJc w:val="left"/>
      <w:pPr>
        <w:ind w:left="7098" w:hanging="360"/>
      </w:pPr>
    </w:lvl>
    <w:lvl w:ilvl="7" w:tplc="08090019" w:tentative="1">
      <w:start w:val="1"/>
      <w:numFmt w:val="lowerLetter"/>
      <w:lvlText w:val="%8."/>
      <w:lvlJc w:val="left"/>
      <w:pPr>
        <w:ind w:left="7818" w:hanging="360"/>
      </w:pPr>
    </w:lvl>
    <w:lvl w:ilvl="8" w:tplc="0809001B" w:tentative="1">
      <w:start w:val="1"/>
      <w:numFmt w:val="lowerRoman"/>
      <w:lvlText w:val="%9."/>
      <w:lvlJc w:val="right"/>
      <w:pPr>
        <w:ind w:left="8538" w:hanging="180"/>
      </w:pPr>
    </w:lvl>
  </w:abstractNum>
  <w:abstractNum w:abstractNumId="35" w15:restartNumberingAfterBreak="0">
    <w:nsid w:val="4FE24DAC"/>
    <w:multiLevelType w:val="hybridMultilevel"/>
    <w:tmpl w:val="FECA1CAC"/>
    <w:name w:val="AGSSchedule"/>
    <w:lvl w:ilvl="0" w:tplc="FFFFFFFF">
      <w:start w:val="1"/>
      <w:numFmt w:val="bullet"/>
      <w:lvlText w:val=""/>
      <w:lvlJc w:val="left"/>
      <w:pPr>
        <w:tabs>
          <w:tab w:val="num" w:pos="1080"/>
        </w:tabs>
        <w:ind w:left="1080" w:hanging="360"/>
      </w:pPr>
      <w:rPr>
        <w:rFonts w:ascii="Symbol" w:hAnsi="Symbol" w:hint="default"/>
        <w:color w:val="auto"/>
        <w:sz w:val="18"/>
      </w:rPr>
    </w:lvl>
    <w:lvl w:ilvl="1" w:tplc="E5EE698C">
      <w:start w:val="1"/>
      <w:numFmt w:val="bullet"/>
      <w:lvlText w:val=""/>
      <w:lvlJc w:val="left"/>
      <w:pPr>
        <w:tabs>
          <w:tab w:val="num" w:pos="1800"/>
        </w:tabs>
        <w:ind w:left="1800" w:hanging="360"/>
      </w:pPr>
      <w:rPr>
        <w:rFonts w:ascii="Symbol" w:hAnsi="Symbol" w:hint="default"/>
        <w:color w:val="auto"/>
        <w:sz w:val="18"/>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52584A19"/>
    <w:multiLevelType w:val="hybridMultilevel"/>
    <w:tmpl w:val="258E37F4"/>
    <w:name w:val="AGSPart2"/>
    <w:lvl w:ilvl="0" w:tplc="A3EE4CF6">
      <w:start w:val="1"/>
      <w:numFmt w:val="bullet"/>
      <w:lvlText w:val="–"/>
      <w:lvlJc w:val="left"/>
      <w:pPr>
        <w:tabs>
          <w:tab w:val="num" w:pos="1210"/>
        </w:tabs>
        <w:ind w:left="1210" w:hanging="360"/>
      </w:pPr>
      <w:rPr>
        <w:rFonts w:ascii="Coronet (W1)" w:hAnsi="Coronet (W1)" w:hint="default"/>
        <w:sz w:val="24"/>
      </w:rPr>
    </w:lvl>
    <w:lvl w:ilvl="1" w:tplc="0C090019" w:tentative="1">
      <w:start w:val="1"/>
      <w:numFmt w:val="bullet"/>
      <w:lvlText w:val="o"/>
      <w:lvlJc w:val="left"/>
      <w:pPr>
        <w:tabs>
          <w:tab w:val="num" w:pos="1893"/>
        </w:tabs>
        <w:ind w:left="1893" w:hanging="360"/>
      </w:pPr>
      <w:rPr>
        <w:rFonts w:ascii="Courier New" w:hAnsi="Courier New" w:cs="Courier New" w:hint="default"/>
      </w:rPr>
    </w:lvl>
    <w:lvl w:ilvl="2" w:tplc="0C09001B" w:tentative="1">
      <w:start w:val="1"/>
      <w:numFmt w:val="bullet"/>
      <w:lvlText w:val=""/>
      <w:lvlJc w:val="left"/>
      <w:pPr>
        <w:tabs>
          <w:tab w:val="num" w:pos="2613"/>
        </w:tabs>
        <w:ind w:left="2613" w:hanging="360"/>
      </w:pPr>
      <w:rPr>
        <w:rFonts w:ascii="Wingdings" w:hAnsi="Wingdings" w:hint="default"/>
      </w:rPr>
    </w:lvl>
    <w:lvl w:ilvl="3" w:tplc="0C09000F" w:tentative="1">
      <w:start w:val="1"/>
      <w:numFmt w:val="bullet"/>
      <w:lvlText w:val=""/>
      <w:lvlJc w:val="left"/>
      <w:pPr>
        <w:tabs>
          <w:tab w:val="num" w:pos="3333"/>
        </w:tabs>
        <w:ind w:left="3333" w:hanging="360"/>
      </w:pPr>
      <w:rPr>
        <w:rFonts w:ascii="Symbol" w:hAnsi="Symbol" w:hint="default"/>
      </w:rPr>
    </w:lvl>
    <w:lvl w:ilvl="4" w:tplc="0C090019" w:tentative="1">
      <w:start w:val="1"/>
      <w:numFmt w:val="bullet"/>
      <w:lvlText w:val="o"/>
      <w:lvlJc w:val="left"/>
      <w:pPr>
        <w:tabs>
          <w:tab w:val="num" w:pos="4053"/>
        </w:tabs>
        <w:ind w:left="4053" w:hanging="360"/>
      </w:pPr>
      <w:rPr>
        <w:rFonts w:ascii="Courier New" w:hAnsi="Courier New" w:cs="Courier New" w:hint="default"/>
      </w:rPr>
    </w:lvl>
    <w:lvl w:ilvl="5" w:tplc="0C09001B" w:tentative="1">
      <w:start w:val="1"/>
      <w:numFmt w:val="bullet"/>
      <w:lvlText w:val=""/>
      <w:lvlJc w:val="left"/>
      <w:pPr>
        <w:tabs>
          <w:tab w:val="num" w:pos="4773"/>
        </w:tabs>
        <w:ind w:left="4773" w:hanging="360"/>
      </w:pPr>
      <w:rPr>
        <w:rFonts w:ascii="Wingdings" w:hAnsi="Wingdings" w:hint="default"/>
      </w:rPr>
    </w:lvl>
    <w:lvl w:ilvl="6" w:tplc="0C09000F" w:tentative="1">
      <w:start w:val="1"/>
      <w:numFmt w:val="bullet"/>
      <w:lvlText w:val=""/>
      <w:lvlJc w:val="left"/>
      <w:pPr>
        <w:tabs>
          <w:tab w:val="num" w:pos="5493"/>
        </w:tabs>
        <w:ind w:left="5493" w:hanging="360"/>
      </w:pPr>
      <w:rPr>
        <w:rFonts w:ascii="Symbol" w:hAnsi="Symbol" w:hint="default"/>
      </w:rPr>
    </w:lvl>
    <w:lvl w:ilvl="7" w:tplc="0C090019" w:tentative="1">
      <w:start w:val="1"/>
      <w:numFmt w:val="bullet"/>
      <w:lvlText w:val="o"/>
      <w:lvlJc w:val="left"/>
      <w:pPr>
        <w:tabs>
          <w:tab w:val="num" w:pos="6213"/>
        </w:tabs>
        <w:ind w:left="6213" w:hanging="360"/>
      </w:pPr>
      <w:rPr>
        <w:rFonts w:ascii="Courier New" w:hAnsi="Courier New" w:cs="Courier New" w:hint="default"/>
      </w:rPr>
    </w:lvl>
    <w:lvl w:ilvl="8" w:tplc="0C09001B" w:tentative="1">
      <w:start w:val="1"/>
      <w:numFmt w:val="bullet"/>
      <w:lvlText w:val=""/>
      <w:lvlJc w:val="left"/>
      <w:pPr>
        <w:tabs>
          <w:tab w:val="num" w:pos="6933"/>
        </w:tabs>
        <w:ind w:left="6933" w:hanging="360"/>
      </w:pPr>
      <w:rPr>
        <w:rFonts w:ascii="Wingdings" w:hAnsi="Wingdings" w:hint="default"/>
      </w:rPr>
    </w:lvl>
  </w:abstractNum>
  <w:abstractNum w:abstractNumId="37" w15:restartNumberingAfterBreak="0">
    <w:nsid w:val="58213B22"/>
    <w:multiLevelType w:val="hybridMultilevel"/>
    <w:tmpl w:val="EE8AD5D8"/>
    <w:lvl w:ilvl="0" w:tplc="22D24546">
      <w:start w:val="2"/>
      <w:numFmt w:val="bullet"/>
      <w:pStyle w:val="NormalDash"/>
      <w:lvlText w:val="–"/>
      <w:lvlJc w:val="left"/>
      <w:pPr>
        <w:ind w:left="1145" w:hanging="360"/>
      </w:pPr>
      <w:rPr>
        <w:rFonts w:ascii="Coronet (W1)" w:eastAsia="Coronet (W1)" w:hAnsi="Coronet (W1)" w:cs="Coronet (W1)"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8" w15:restartNumberingAfterBreak="0">
    <w:nsid w:val="61751018"/>
    <w:multiLevelType w:val="multilevel"/>
    <w:tmpl w:val="D93C5058"/>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39" w15:restartNumberingAfterBreak="0">
    <w:nsid w:val="68E43EEB"/>
    <w:multiLevelType w:val="hybridMultilevel"/>
    <w:tmpl w:val="F1D4F85E"/>
    <w:lvl w:ilvl="0" w:tplc="F37EB588">
      <w:start w:val="1"/>
      <w:numFmt w:val="bullet"/>
      <w:pStyle w:val="NormalBullet"/>
      <w:lvlText w:val=""/>
      <w:lvlJc w:val="left"/>
      <w:pPr>
        <w:ind w:left="1794" w:hanging="360"/>
      </w:pPr>
      <w:rPr>
        <w:rFonts w:ascii="Symbol" w:hAnsi="Symbol" w:hint="default"/>
        <w:color w:val="auto"/>
      </w:rPr>
    </w:lvl>
    <w:lvl w:ilvl="1" w:tplc="08090003">
      <w:start w:val="1"/>
      <w:numFmt w:val="bullet"/>
      <w:lvlText w:val="o"/>
      <w:lvlJc w:val="left"/>
      <w:pPr>
        <w:ind w:left="2514" w:hanging="360"/>
      </w:pPr>
      <w:rPr>
        <w:rFonts w:ascii="Courier New" w:hAnsi="Courier New" w:cs="Courier New" w:hint="default"/>
      </w:rPr>
    </w:lvl>
    <w:lvl w:ilvl="2" w:tplc="08090005">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40" w15:restartNumberingAfterBreak="0">
    <w:nsid w:val="6B7D7421"/>
    <w:multiLevelType w:val="hybridMultilevel"/>
    <w:tmpl w:val="B5E46DF8"/>
    <w:lvl w:ilvl="0" w:tplc="292CEFF8">
      <w:start w:val="1"/>
      <w:numFmt w:val="decimal"/>
      <w:pStyle w:val="NormalDeclareNumbered"/>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2313" w:hanging="360"/>
      </w:pPr>
    </w:lvl>
    <w:lvl w:ilvl="2" w:tplc="0809001B" w:tentative="1">
      <w:start w:val="1"/>
      <w:numFmt w:val="lowerRoman"/>
      <w:lvlText w:val="%3."/>
      <w:lvlJc w:val="right"/>
      <w:pPr>
        <w:ind w:left="3033" w:hanging="180"/>
      </w:pPr>
    </w:lvl>
    <w:lvl w:ilvl="3" w:tplc="0809000F" w:tentative="1">
      <w:start w:val="1"/>
      <w:numFmt w:val="decimal"/>
      <w:lvlText w:val="%4."/>
      <w:lvlJc w:val="left"/>
      <w:pPr>
        <w:ind w:left="3753" w:hanging="360"/>
      </w:pPr>
    </w:lvl>
    <w:lvl w:ilvl="4" w:tplc="08090019" w:tentative="1">
      <w:start w:val="1"/>
      <w:numFmt w:val="lowerLetter"/>
      <w:lvlText w:val="%5."/>
      <w:lvlJc w:val="left"/>
      <w:pPr>
        <w:ind w:left="4473" w:hanging="360"/>
      </w:pPr>
    </w:lvl>
    <w:lvl w:ilvl="5" w:tplc="0809001B" w:tentative="1">
      <w:start w:val="1"/>
      <w:numFmt w:val="lowerRoman"/>
      <w:lvlText w:val="%6."/>
      <w:lvlJc w:val="right"/>
      <w:pPr>
        <w:ind w:left="5193" w:hanging="180"/>
      </w:pPr>
    </w:lvl>
    <w:lvl w:ilvl="6" w:tplc="0809000F" w:tentative="1">
      <w:start w:val="1"/>
      <w:numFmt w:val="decimal"/>
      <w:lvlText w:val="%7."/>
      <w:lvlJc w:val="left"/>
      <w:pPr>
        <w:ind w:left="5913" w:hanging="360"/>
      </w:pPr>
    </w:lvl>
    <w:lvl w:ilvl="7" w:tplc="08090019" w:tentative="1">
      <w:start w:val="1"/>
      <w:numFmt w:val="lowerLetter"/>
      <w:lvlText w:val="%8."/>
      <w:lvlJc w:val="left"/>
      <w:pPr>
        <w:ind w:left="6633" w:hanging="360"/>
      </w:pPr>
    </w:lvl>
    <w:lvl w:ilvl="8" w:tplc="0809001B" w:tentative="1">
      <w:start w:val="1"/>
      <w:numFmt w:val="lowerRoman"/>
      <w:lvlText w:val="%9."/>
      <w:lvlJc w:val="right"/>
      <w:pPr>
        <w:ind w:left="7353" w:hanging="180"/>
      </w:pPr>
    </w:lvl>
  </w:abstractNum>
  <w:abstractNum w:abstractNumId="41" w15:restartNumberingAfterBreak="0">
    <w:nsid w:val="6F1A0C0B"/>
    <w:multiLevelType w:val="hybridMultilevel"/>
    <w:tmpl w:val="62721164"/>
    <w:name w:val="AGSHL"/>
    <w:lvl w:ilvl="0" w:tplc="4F501D98">
      <w:start w:val="1"/>
      <w:numFmt w:val="decimal"/>
      <w:lvlText w:val="%1."/>
      <w:lvlJc w:val="left"/>
      <w:pPr>
        <w:tabs>
          <w:tab w:val="num" w:pos="360"/>
        </w:tabs>
        <w:ind w:left="360" w:hanging="360"/>
      </w:pPr>
      <w:rPr>
        <w:rFonts w:hint="default"/>
        <w:sz w:val="22"/>
        <w:szCs w:val="22"/>
      </w:rPr>
    </w:lvl>
    <w:lvl w:ilvl="1" w:tplc="93BE8920" w:tentative="1">
      <w:start w:val="1"/>
      <w:numFmt w:val="lowerLetter"/>
      <w:lvlText w:val="%2."/>
      <w:lvlJc w:val="left"/>
      <w:pPr>
        <w:tabs>
          <w:tab w:val="num" w:pos="1440"/>
        </w:tabs>
        <w:ind w:left="1440" w:hanging="360"/>
      </w:pPr>
    </w:lvl>
    <w:lvl w:ilvl="2" w:tplc="14AAFA42" w:tentative="1">
      <w:start w:val="1"/>
      <w:numFmt w:val="lowerRoman"/>
      <w:lvlText w:val="%3."/>
      <w:lvlJc w:val="right"/>
      <w:pPr>
        <w:tabs>
          <w:tab w:val="num" w:pos="2160"/>
        </w:tabs>
        <w:ind w:left="2160" w:hanging="180"/>
      </w:pPr>
    </w:lvl>
    <w:lvl w:ilvl="3" w:tplc="80DE5E86" w:tentative="1">
      <w:start w:val="1"/>
      <w:numFmt w:val="decimal"/>
      <w:lvlText w:val="%4."/>
      <w:lvlJc w:val="left"/>
      <w:pPr>
        <w:tabs>
          <w:tab w:val="num" w:pos="2880"/>
        </w:tabs>
        <w:ind w:left="2880" w:hanging="360"/>
      </w:pPr>
    </w:lvl>
    <w:lvl w:ilvl="4" w:tplc="9A0A0784" w:tentative="1">
      <w:start w:val="1"/>
      <w:numFmt w:val="lowerLetter"/>
      <w:lvlText w:val="%5."/>
      <w:lvlJc w:val="left"/>
      <w:pPr>
        <w:tabs>
          <w:tab w:val="num" w:pos="3600"/>
        </w:tabs>
        <w:ind w:left="3600" w:hanging="360"/>
      </w:pPr>
    </w:lvl>
    <w:lvl w:ilvl="5" w:tplc="A40CFA6A" w:tentative="1">
      <w:start w:val="1"/>
      <w:numFmt w:val="lowerRoman"/>
      <w:lvlText w:val="%6."/>
      <w:lvlJc w:val="right"/>
      <w:pPr>
        <w:tabs>
          <w:tab w:val="num" w:pos="4320"/>
        </w:tabs>
        <w:ind w:left="4320" w:hanging="180"/>
      </w:pPr>
    </w:lvl>
    <w:lvl w:ilvl="6" w:tplc="6B24CD98" w:tentative="1">
      <w:start w:val="1"/>
      <w:numFmt w:val="decimal"/>
      <w:lvlText w:val="%7."/>
      <w:lvlJc w:val="left"/>
      <w:pPr>
        <w:tabs>
          <w:tab w:val="num" w:pos="5040"/>
        </w:tabs>
        <w:ind w:left="5040" w:hanging="360"/>
      </w:pPr>
    </w:lvl>
    <w:lvl w:ilvl="7" w:tplc="C5D4CF06" w:tentative="1">
      <w:start w:val="1"/>
      <w:numFmt w:val="lowerLetter"/>
      <w:lvlText w:val="%8."/>
      <w:lvlJc w:val="left"/>
      <w:pPr>
        <w:tabs>
          <w:tab w:val="num" w:pos="5760"/>
        </w:tabs>
        <w:ind w:left="5760" w:hanging="360"/>
      </w:pPr>
    </w:lvl>
    <w:lvl w:ilvl="8" w:tplc="D7B4B398" w:tentative="1">
      <w:start w:val="1"/>
      <w:numFmt w:val="lowerRoman"/>
      <w:lvlText w:val="%9."/>
      <w:lvlJc w:val="right"/>
      <w:pPr>
        <w:tabs>
          <w:tab w:val="num" w:pos="6480"/>
        </w:tabs>
        <w:ind w:left="6480" w:hanging="180"/>
      </w:pPr>
    </w:lvl>
  </w:abstractNum>
  <w:abstractNum w:abstractNumId="42" w15:restartNumberingAfterBreak="0">
    <w:nsid w:val="737B0312"/>
    <w:multiLevelType w:val="hybridMultilevel"/>
    <w:tmpl w:val="EAB6E296"/>
    <w:lvl w:ilvl="0" w:tplc="3E022174">
      <w:start w:val="1"/>
      <w:numFmt w:val="bullet"/>
      <w:pStyle w:val="Normalbullet0"/>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80775E4"/>
    <w:multiLevelType w:val="hybridMultilevel"/>
    <w:tmpl w:val="F112E27A"/>
    <w:name w:val="AGSPart22"/>
    <w:lvl w:ilvl="0" w:tplc="E5EE698C">
      <w:start w:val="1"/>
      <w:numFmt w:val="bullet"/>
      <w:lvlText w:val="–"/>
      <w:lvlJc w:val="left"/>
      <w:pPr>
        <w:tabs>
          <w:tab w:val="num" w:pos="1210"/>
        </w:tabs>
        <w:ind w:left="1210" w:hanging="360"/>
      </w:pPr>
      <w:rPr>
        <w:rFonts w:ascii="Coronet (W1)" w:hAnsi="Coronet (W1)" w:hint="default"/>
        <w:sz w:val="24"/>
      </w:rPr>
    </w:lvl>
    <w:lvl w:ilvl="1" w:tplc="0C090003" w:tentative="1">
      <w:start w:val="1"/>
      <w:numFmt w:val="bullet"/>
      <w:lvlText w:val="o"/>
      <w:lvlJc w:val="left"/>
      <w:pPr>
        <w:tabs>
          <w:tab w:val="num" w:pos="1893"/>
        </w:tabs>
        <w:ind w:left="1893" w:hanging="360"/>
      </w:pPr>
      <w:rPr>
        <w:rFonts w:ascii="Courier New" w:hAnsi="Courier New" w:cs="Courier New" w:hint="default"/>
      </w:rPr>
    </w:lvl>
    <w:lvl w:ilvl="2" w:tplc="0C090005" w:tentative="1">
      <w:start w:val="1"/>
      <w:numFmt w:val="bullet"/>
      <w:lvlText w:val=""/>
      <w:lvlJc w:val="left"/>
      <w:pPr>
        <w:tabs>
          <w:tab w:val="num" w:pos="2613"/>
        </w:tabs>
        <w:ind w:left="2613" w:hanging="360"/>
      </w:pPr>
      <w:rPr>
        <w:rFonts w:ascii="Wingdings" w:hAnsi="Wingdings" w:hint="default"/>
      </w:rPr>
    </w:lvl>
    <w:lvl w:ilvl="3" w:tplc="0C090001" w:tentative="1">
      <w:start w:val="1"/>
      <w:numFmt w:val="bullet"/>
      <w:lvlText w:val=""/>
      <w:lvlJc w:val="left"/>
      <w:pPr>
        <w:tabs>
          <w:tab w:val="num" w:pos="3333"/>
        </w:tabs>
        <w:ind w:left="3333" w:hanging="360"/>
      </w:pPr>
      <w:rPr>
        <w:rFonts w:ascii="Symbol" w:hAnsi="Symbol"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44" w15:restartNumberingAfterBreak="0">
    <w:nsid w:val="7BDD1D47"/>
    <w:multiLevelType w:val="hybridMultilevel"/>
    <w:tmpl w:val="ACACE59C"/>
    <w:name w:val="AGSTBDash"/>
    <w:lvl w:ilvl="0" w:tplc="D584DB60">
      <w:start w:val="1"/>
      <w:numFmt w:val="bullet"/>
      <w:lvlText w:val="–"/>
      <w:lvlJc w:val="left"/>
      <w:pPr>
        <w:tabs>
          <w:tab w:val="num" w:pos="1440"/>
        </w:tabs>
        <w:ind w:left="1440" w:hanging="360"/>
      </w:pPr>
      <w:rPr>
        <w:rFonts w:ascii="Coronet (W1)" w:hAnsi="Coronet (W1)" w:hint="default"/>
        <w:sz w:val="24"/>
      </w:rPr>
    </w:lvl>
    <w:lvl w:ilvl="1" w:tplc="879E5D92" w:tentative="1">
      <w:start w:val="1"/>
      <w:numFmt w:val="bullet"/>
      <w:lvlText w:val="o"/>
      <w:lvlJc w:val="left"/>
      <w:pPr>
        <w:tabs>
          <w:tab w:val="num" w:pos="2123"/>
        </w:tabs>
        <w:ind w:left="2123" w:hanging="360"/>
      </w:pPr>
      <w:rPr>
        <w:rFonts w:ascii="Courier New" w:hAnsi="Courier New" w:cs="Courier New" w:hint="default"/>
      </w:rPr>
    </w:lvl>
    <w:lvl w:ilvl="2" w:tplc="21B438F6" w:tentative="1">
      <w:start w:val="1"/>
      <w:numFmt w:val="bullet"/>
      <w:lvlText w:val=""/>
      <w:lvlJc w:val="left"/>
      <w:pPr>
        <w:tabs>
          <w:tab w:val="num" w:pos="2843"/>
        </w:tabs>
        <w:ind w:left="2843" w:hanging="360"/>
      </w:pPr>
      <w:rPr>
        <w:rFonts w:ascii="Wingdings" w:hAnsi="Wingdings" w:hint="default"/>
      </w:rPr>
    </w:lvl>
    <w:lvl w:ilvl="3" w:tplc="B0DC99C8" w:tentative="1">
      <w:start w:val="1"/>
      <w:numFmt w:val="bullet"/>
      <w:lvlText w:val=""/>
      <w:lvlJc w:val="left"/>
      <w:pPr>
        <w:tabs>
          <w:tab w:val="num" w:pos="3563"/>
        </w:tabs>
        <w:ind w:left="3563" w:hanging="360"/>
      </w:pPr>
      <w:rPr>
        <w:rFonts w:ascii="Symbol" w:hAnsi="Symbol" w:hint="default"/>
      </w:rPr>
    </w:lvl>
    <w:lvl w:ilvl="4" w:tplc="30300BD8" w:tentative="1">
      <w:start w:val="1"/>
      <w:numFmt w:val="bullet"/>
      <w:lvlText w:val="o"/>
      <w:lvlJc w:val="left"/>
      <w:pPr>
        <w:tabs>
          <w:tab w:val="num" w:pos="4283"/>
        </w:tabs>
        <w:ind w:left="4283" w:hanging="360"/>
      </w:pPr>
      <w:rPr>
        <w:rFonts w:ascii="Courier New" w:hAnsi="Courier New" w:cs="Courier New" w:hint="default"/>
      </w:rPr>
    </w:lvl>
    <w:lvl w:ilvl="5" w:tplc="DE26E5DA" w:tentative="1">
      <w:start w:val="1"/>
      <w:numFmt w:val="bullet"/>
      <w:lvlText w:val=""/>
      <w:lvlJc w:val="left"/>
      <w:pPr>
        <w:tabs>
          <w:tab w:val="num" w:pos="5003"/>
        </w:tabs>
        <w:ind w:left="5003" w:hanging="360"/>
      </w:pPr>
      <w:rPr>
        <w:rFonts w:ascii="Wingdings" w:hAnsi="Wingdings" w:hint="default"/>
      </w:rPr>
    </w:lvl>
    <w:lvl w:ilvl="6" w:tplc="91804904" w:tentative="1">
      <w:start w:val="1"/>
      <w:numFmt w:val="bullet"/>
      <w:lvlText w:val=""/>
      <w:lvlJc w:val="left"/>
      <w:pPr>
        <w:tabs>
          <w:tab w:val="num" w:pos="5723"/>
        </w:tabs>
        <w:ind w:left="5723" w:hanging="360"/>
      </w:pPr>
      <w:rPr>
        <w:rFonts w:ascii="Symbol" w:hAnsi="Symbol" w:hint="default"/>
      </w:rPr>
    </w:lvl>
    <w:lvl w:ilvl="7" w:tplc="8B141FE2" w:tentative="1">
      <w:start w:val="1"/>
      <w:numFmt w:val="bullet"/>
      <w:lvlText w:val="o"/>
      <w:lvlJc w:val="left"/>
      <w:pPr>
        <w:tabs>
          <w:tab w:val="num" w:pos="6443"/>
        </w:tabs>
        <w:ind w:left="6443" w:hanging="360"/>
      </w:pPr>
      <w:rPr>
        <w:rFonts w:ascii="Courier New" w:hAnsi="Courier New" w:cs="Courier New" w:hint="default"/>
      </w:rPr>
    </w:lvl>
    <w:lvl w:ilvl="8" w:tplc="85126E12" w:tentative="1">
      <w:start w:val="1"/>
      <w:numFmt w:val="bullet"/>
      <w:lvlText w:val=""/>
      <w:lvlJc w:val="left"/>
      <w:pPr>
        <w:tabs>
          <w:tab w:val="num" w:pos="7163"/>
        </w:tabs>
        <w:ind w:left="7163" w:hanging="360"/>
      </w:pPr>
      <w:rPr>
        <w:rFonts w:ascii="Wingdings" w:hAnsi="Wingdings" w:hint="default"/>
      </w:rPr>
    </w:lvl>
  </w:abstractNum>
  <w:abstractNum w:abstractNumId="45" w15:restartNumberingAfterBreak="0">
    <w:nsid w:val="7C8E366C"/>
    <w:multiLevelType w:val="hybridMultilevel"/>
    <w:tmpl w:val="394EDFCC"/>
    <w:name w:val="AGSClause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D5A41B4"/>
    <w:multiLevelType w:val="hybridMultilevel"/>
    <w:tmpl w:val="9DD69A8C"/>
    <w:lvl w:ilvl="0" w:tplc="8542B5A4">
      <w:start w:val="1"/>
      <w:numFmt w:val="bullet"/>
      <w:pStyle w:val="bulletDotNormal"/>
      <w:lvlText w:val=""/>
      <w:lvlJc w:val="left"/>
      <w:pPr>
        <w:ind w:left="1370" w:hanging="360"/>
      </w:pPr>
      <w:rPr>
        <w:rFonts w:ascii="Symbol" w:hAnsi="Symbol" w:hint="default"/>
      </w:rPr>
    </w:lvl>
    <w:lvl w:ilvl="1" w:tplc="08090003">
      <w:start w:val="1"/>
      <w:numFmt w:val="bullet"/>
      <w:lvlText w:val="o"/>
      <w:lvlJc w:val="left"/>
      <w:pPr>
        <w:ind w:left="2090" w:hanging="360"/>
      </w:pPr>
      <w:rPr>
        <w:rFonts w:ascii="Courier New" w:hAnsi="Courier New" w:cs="Courier New" w:hint="default"/>
      </w:rPr>
    </w:lvl>
    <w:lvl w:ilvl="2" w:tplc="08090005">
      <w:start w:val="1"/>
      <w:numFmt w:val="bullet"/>
      <w:lvlText w:val=""/>
      <w:lvlJc w:val="left"/>
      <w:pPr>
        <w:ind w:left="2810" w:hanging="360"/>
      </w:pPr>
      <w:rPr>
        <w:rFonts w:ascii="Wingdings" w:hAnsi="Wingdings" w:hint="default"/>
      </w:rPr>
    </w:lvl>
    <w:lvl w:ilvl="3" w:tplc="08090001" w:tentative="1">
      <w:start w:val="1"/>
      <w:numFmt w:val="bullet"/>
      <w:lvlText w:val=""/>
      <w:lvlJc w:val="left"/>
      <w:pPr>
        <w:ind w:left="3530" w:hanging="360"/>
      </w:pPr>
      <w:rPr>
        <w:rFonts w:ascii="Symbol" w:hAnsi="Symbol" w:hint="default"/>
      </w:rPr>
    </w:lvl>
    <w:lvl w:ilvl="4" w:tplc="08090003" w:tentative="1">
      <w:start w:val="1"/>
      <w:numFmt w:val="bullet"/>
      <w:lvlText w:val="o"/>
      <w:lvlJc w:val="left"/>
      <w:pPr>
        <w:ind w:left="4250" w:hanging="360"/>
      </w:pPr>
      <w:rPr>
        <w:rFonts w:ascii="Courier New" w:hAnsi="Courier New" w:cs="Courier New" w:hint="default"/>
      </w:rPr>
    </w:lvl>
    <w:lvl w:ilvl="5" w:tplc="08090005" w:tentative="1">
      <w:start w:val="1"/>
      <w:numFmt w:val="bullet"/>
      <w:lvlText w:val=""/>
      <w:lvlJc w:val="left"/>
      <w:pPr>
        <w:ind w:left="4970" w:hanging="360"/>
      </w:pPr>
      <w:rPr>
        <w:rFonts w:ascii="Wingdings" w:hAnsi="Wingdings" w:hint="default"/>
      </w:rPr>
    </w:lvl>
    <w:lvl w:ilvl="6" w:tplc="08090001" w:tentative="1">
      <w:start w:val="1"/>
      <w:numFmt w:val="bullet"/>
      <w:lvlText w:val=""/>
      <w:lvlJc w:val="left"/>
      <w:pPr>
        <w:ind w:left="5690" w:hanging="360"/>
      </w:pPr>
      <w:rPr>
        <w:rFonts w:ascii="Symbol" w:hAnsi="Symbol" w:hint="default"/>
      </w:rPr>
    </w:lvl>
    <w:lvl w:ilvl="7" w:tplc="08090003" w:tentative="1">
      <w:start w:val="1"/>
      <w:numFmt w:val="bullet"/>
      <w:lvlText w:val="o"/>
      <w:lvlJc w:val="left"/>
      <w:pPr>
        <w:ind w:left="6410" w:hanging="360"/>
      </w:pPr>
      <w:rPr>
        <w:rFonts w:ascii="Courier New" w:hAnsi="Courier New" w:cs="Courier New" w:hint="default"/>
      </w:rPr>
    </w:lvl>
    <w:lvl w:ilvl="8" w:tplc="08090005" w:tentative="1">
      <w:start w:val="1"/>
      <w:numFmt w:val="bullet"/>
      <w:lvlText w:val=""/>
      <w:lvlJc w:val="left"/>
      <w:pPr>
        <w:ind w:left="7130" w:hanging="360"/>
      </w:pPr>
      <w:rPr>
        <w:rFonts w:ascii="Wingdings" w:hAnsi="Wingdings" w:hint="default"/>
      </w:rPr>
    </w:lvl>
  </w:abstractNum>
  <w:abstractNum w:abstractNumId="47" w15:restartNumberingAfterBreak="0">
    <w:nsid w:val="7DC376E6"/>
    <w:multiLevelType w:val="hybridMultilevel"/>
    <w:tmpl w:val="592EBD3A"/>
    <w:lvl w:ilvl="0" w:tplc="72B65082">
      <w:start w:val="1"/>
      <w:numFmt w:val="lowerRoman"/>
      <w:pStyle w:val="QuoteiII"/>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21"/>
  </w:num>
  <w:num w:numId="2">
    <w:abstractNumId w:val="23"/>
  </w:num>
  <w:num w:numId="3">
    <w:abstractNumId w:val="19"/>
  </w:num>
  <w:num w:numId="4">
    <w:abstractNumId w:val="2"/>
  </w:num>
  <w:num w:numId="5">
    <w:abstractNumId w:val="10"/>
  </w:num>
  <w:num w:numId="6">
    <w:abstractNumId w:val="26"/>
  </w:num>
  <w:num w:numId="7">
    <w:abstractNumId w:val="3"/>
  </w:num>
  <w:num w:numId="8">
    <w:abstractNumId w:val="16"/>
  </w:num>
  <w:num w:numId="9">
    <w:abstractNumId w:val="24"/>
  </w:num>
  <w:num w:numId="10">
    <w:abstractNumId w:val="9"/>
  </w:num>
  <w:num w:numId="11">
    <w:abstractNumId w:val="15"/>
  </w:num>
  <w:num w:numId="12">
    <w:abstractNumId w:val="7"/>
  </w:num>
  <w:num w:numId="13">
    <w:abstractNumId w:val="32"/>
  </w:num>
  <w:num w:numId="14">
    <w:abstractNumId w:val="6"/>
  </w:num>
  <w:num w:numId="15">
    <w:abstractNumId w:val="38"/>
  </w:num>
  <w:num w:numId="16">
    <w:abstractNumId w:val="1"/>
  </w:num>
  <w:num w:numId="17">
    <w:abstractNumId w:val="33"/>
  </w:num>
  <w:num w:numId="18">
    <w:abstractNumId w:val="11"/>
  </w:num>
  <w:num w:numId="19">
    <w:abstractNumId w:val="30"/>
  </w:num>
  <w:num w:numId="20">
    <w:abstractNumId w:val="40"/>
  </w:num>
  <w:num w:numId="21">
    <w:abstractNumId w:val="4"/>
  </w:num>
  <w:num w:numId="22">
    <w:abstractNumId w:val="39"/>
  </w:num>
  <w:num w:numId="23">
    <w:abstractNumId w:val="28"/>
  </w:num>
  <w:num w:numId="24">
    <w:abstractNumId w:val="46"/>
  </w:num>
  <w:num w:numId="25">
    <w:abstractNumId w:val="25"/>
  </w:num>
  <w:num w:numId="26">
    <w:abstractNumId w:val="47"/>
  </w:num>
  <w:num w:numId="27">
    <w:abstractNumId w:val="31"/>
  </w:num>
  <w:num w:numId="28">
    <w:abstractNumId w:val="42"/>
  </w:num>
  <w:num w:numId="29">
    <w:abstractNumId w:val="8"/>
  </w:num>
  <w:num w:numId="30">
    <w:abstractNumId w:val="34"/>
  </w:num>
  <w:num w:numId="31">
    <w:abstractNumId w:val="27"/>
  </w:num>
  <w:num w:numId="32">
    <w:abstractNumId w:val="37"/>
  </w:num>
  <w:num w:numId="33">
    <w:abstractNumId w:val="13"/>
  </w:num>
  <w:num w:numId="34">
    <w:abstractNumId w:val="18"/>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0NzY0MzI3tbS0NDFV0lEKTi0uzszPAykwrAUAMhjkoiwAAAA="/>
    <w:docVar w:name="EN.InstantFormat" w:val="&lt;ENInstantFormat&gt;&lt;Enabled&gt;1&lt;/Enabled&gt;&lt;ScanUnformatted&gt;1&lt;/ScanUnformatted&gt;&lt;ScanChanges&gt;1&lt;/ScanChanges&gt;&lt;Suspended&gt;0&lt;/Suspended&gt;&lt;/ENInstantFormat&gt;"/>
    <w:docVar w:name="EN.Layout" w:val="&lt;ENLayout&gt;&lt;Style&gt;Vancouver R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wvwvxesr5pfesue2wvnp2x98pxa0tfsts9fa&quot;&gt;DVA.GWS.SyncLibrary.v0.8_ToShareCouncil&lt;record-ids&gt;&lt;item&gt;21&lt;/item&gt;&lt;item&gt;23&lt;/item&gt;&lt;item&gt;24&lt;/item&gt;&lt;item&gt;25&lt;/item&gt;&lt;item&gt;30&lt;/item&gt;&lt;item&gt;32&lt;/item&gt;&lt;item&gt;37&lt;/item&gt;&lt;item&gt;41&lt;/item&gt;&lt;item&gt;46&lt;/item&gt;&lt;item&gt;47&lt;/item&gt;&lt;item&gt;50&lt;/item&gt;&lt;item&gt;59&lt;/item&gt;&lt;item&gt;60&lt;/item&gt;&lt;item&gt;66&lt;/item&gt;&lt;item&gt;74&lt;/item&gt;&lt;item&gt;78&lt;/item&gt;&lt;item&gt;91&lt;/item&gt;&lt;item&gt;97&lt;/item&gt;&lt;item&gt;101&lt;/item&gt;&lt;item&gt;102&lt;/item&gt;&lt;item&gt;103&lt;/item&gt;&lt;item&gt;109&lt;/item&gt;&lt;item&gt;111&lt;/item&gt;&lt;item&gt;117&lt;/item&gt;&lt;item&gt;120&lt;/item&gt;&lt;item&gt;122&lt;/item&gt;&lt;item&gt;129&lt;/item&gt;&lt;item&gt;139&lt;/item&gt;&lt;item&gt;141&lt;/item&gt;&lt;item&gt;142&lt;/item&gt;&lt;item&gt;147&lt;/item&gt;&lt;item&gt;151&lt;/item&gt;&lt;item&gt;159&lt;/item&gt;&lt;item&gt;160&lt;/item&gt;&lt;item&gt;162&lt;/item&gt;&lt;item&gt;164&lt;/item&gt;&lt;item&gt;165&lt;/item&gt;&lt;item&gt;180&lt;/item&gt;&lt;item&gt;181&lt;/item&gt;&lt;item&gt;186&lt;/item&gt;&lt;item&gt;187&lt;/item&gt;&lt;item&gt;189&lt;/item&gt;&lt;item&gt;190&lt;/item&gt;&lt;item&gt;215&lt;/item&gt;&lt;item&gt;230&lt;/item&gt;&lt;item&gt;231&lt;/item&gt;&lt;item&gt;233&lt;/item&gt;&lt;item&gt;240&lt;/item&gt;&lt;item&gt;247&lt;/item&gt;&lt;item&gt;258&lt;/item&gt;&lt;item&gt;262&lt;/item&gt;&lt;item&gt;271&lt;/item&gt;&lt;item&gt;274&lt;/item&gt;&lt;item&gt;296&lt;/item&gt;&lt;item&gt;297&lt;/item&gt;&lt;item&gt;298&lt;/item&gt;&lt;item&gt;303&lt;/item&gt;&lt;item&gt;305&lt;/item&gt;&lt;item&gt;312&lt;/item&gt;&lt;item&gt;317&lt;/item&gt;&lt;item&gt;322&lt;/item&gt;&lt;item&gt;324&lt;/item&gt;&lt;item&gt;344&lt;/item&gt;&lt;item&gt;345&lt;/item&gt;&lt;item&gt;347&lt;/item&gt;&lt;item&gt;368&lt;/item&gt;&lt;item&gt;372&lt;/item&gt;&lt;item&gt;373&lt;/item&gt;&lt;item&gt;374&lt;/item&gt;&lt;item&gt;443&lt;/item&gt;&lt;item&gt;446&lt;/item&gt;&lt;item&gt;493&lt;/item&gt;&lt;item&gt;496&lt;/item&gt;&lt;item&gt;497&lt;/item&gt;&lt;item&gt;610&lt;/item&gt;&lt;item&gt;612&lt;/item&gt;&lt;item&gt;627&lt;/item&gt;&lt;item&gt;639&lt;/item&gt;&lt;item&gt;668&lt;/item&gt;&lt;item&gt;701&lt;/item&gt;&lt;item&gt;742&lt;/item&gt;&lt;item&gt;743&lt;/item&gt;&lt;item&gt;744&lt;/item&gt;&lt;item&gt;753&lt;/item&gt;&lt;item&gt;754&lt;/item&gt;&lt;item&gt;758&lt;/item&gt;&lt;item&gt;759&lt;/item&gt;&lt;item&gt;764&lt;/item&gt;&lt;item&gt;767&lt;/item&gt;&lt;item&gt;769&lt;/item&gt;&lt;item&gt;782&lt;/item&gt;&lt;item&gt;785&lt;/item&gt;&lt;item&gt;786&lt;/item&gt;&lt;item&gt;1572&lt;/item&gt;&lt;item&gt;1573&lt;/item&gt;&lt;item&gt;1584&lt;/item&gt;&lt;item&gt;1585&lt;/item&gt;&lt;item&gt;1589&lt;/item&gt;&lt;item&gt;1611&lt;/item&gt;&lt;item&gt;1612&lt;/item&gt;&lt;item&gt;1615&lt;/item&gt;&lt;item&gt;1621&lt;/item&gt;&lt;item&gt;1653&lt;/item&gt;&lt;item&gt;1656&lt;/item&gt;&lt;item&gt;1657&lt;/item&gt;&lt;item&gt;1662&lt;/item&gt;&lt;item&gt;1670&lt;/item&gt;&lt;item&gt;1702&lt;/item&gt;&lt;item&gt;1703&lt;/item&gt;&lt;item&gt;1704&lt;/item&gt;&lt;item&gt;1705&lt;/item&gt;&lt;item&gt;1706&lt;/item&gt;&lt;item&gt;1707&lt;/item&gt;&lt;item&gt;1724&lt;/item&gt;&lt;item&gt;1725&lt;/item&gt;&lt;item&gt;1726&lt;/item&gt;&lt;item&gt;1730&lt;/item&gt;&lt;item&gt;1731&lt;/item&gt;&lt;item&gt;1737&lt;/item&gt;&lt;item&gt;1815&lt;/item&gt;&lt;item&gt;1863&lt;/item&gt;&lt;item&gt;1913&lt;/item&gt;&lt;item&gt;1930&lt;/item&gt;&lt;item&gt;1934&lt;/item&gt;&lt;item&gt;2037&lt;/item&gt;&lt;item&gt;2285&lt;/item&gt;&lt;item&gt;2286&lt;/item&gt;&lt;item&gt;2287&lt;/item&gt;&lt;item&gt;2316&lt;/item&gt;&lt;item&gt;2320&lt;/item&gt;&lt;item&gt;2321&lt;/item&gt;&lt;item&gt;2509&lt;/item&gt;&lt;item&gt;2510&lt;/item&gt;&lt;item&gt;2521&lt;/item&gt;&lt;item&gt;2527&lt;/item&gt;&lt;item&gt;2529&lt;/item&gt;&lt;item&gt;2538&lt;/item&gt;&lt;item&gt;2553&lt;/item&gt;&lt;item&gt;2554&lt;/item&gt;&lt;item&gt;2560&lt;/item&gt;&lt;item&gt;2565&lt;/item&gt;&lt;item&gt;2578&lt;/item&gt;&lt;item&gt;2588&lt;/item&gt;&lt;item&gt;2591&lt;/item&gt;&lt;item&gt;2957&lt;/item&gt;&lt;item&gt;2964&lt;/item&gt;&lt;item&gt;2972&lt;/item&gt;&lt;item&gt;2973&lt;/item&gt;&lt;item&gt;2974&lt;/item&gt;&lt;item&gt;2975&lt;/item&gt;&lt;item&gt;2991&lt;/item&gt;&lt;item&gt;2999&lt;/item&gt;&lt;item&gt;3000&lt;/item&gt;&lt;item&gt;3004&lt;/item&gt;&lt;item&gt;3005&lt;/item&gt;&lt;item&gt;3006&lt;/item&gt;&lt;item&gt;3007&lt;/item&gt;&lt;item&gt;3019&lt;/item&gt;&lt;item&gt;3021&lt;/item&gt;&lt;item&gt;3045&lt;/item&gt;&lt;item&gt;3080&lt;/item&gt;&lt;item&gt;3087&lt;/item&gt;&lt;item&gt;3089&lt;/item&gt;&lt;item&gt;3090&lt;/item&gt;&lt;item&gt;3094&lt;/item&gt;&lt;item&gt;3095&lt;/item&gt;&lt;item&gt;3096&lt;/item&gt;&lt;item&gt;3097&lt;/item&gt;&lt;item&gt;3099&lt;/item&gt;&lt;/record-ids&gt;&lt;/item&gt;&lt;/Libraries&gt;"/>
    <w:docVar w:name="filename" w:val="BYD\BYD\44898438\1"/>
  </w:docVars>
  <w:rsids>
    <w:rsidRoot w:val="00865B09"/>
    <w:rsid w:val="000004F3"/>
    <w:rsid w:val="00000E77"/>
    <w:rsid w:val="00002203"/>
    <w:rsid w:val="000025BF"/>
    <w:rsid w:val="000032D8"/>
    <w:rsid w:val="00003B1E"/>
    <w:rsid w:val="00004096"/>
    <w:rsid w:val="000042B4"/>
    <w:rsid w:val="00004822"/>
    <w:rsid w:val="00004DD8"/>
    <w:rsid w:val="00004FBA"/>
    <w:rsid w:val="00005BC8"/>
    <w:rsid w:val="000060DD"/>
    <w:rsid w:val="00006A0B"/>
    <w:rsid w:val="00007152"/>
    <w:rsid w:val="0000730B"/>
    <w:rsid w:val="000075AE"/>
    <w:rsid w:val="000079D0"/>
    <w:rsid w:val="000100C3"/>
    <w:rsid w:val="0001035F"/>
    <w:rsid w:val="00010CB9"/>
    <w:rsid w:val="00011B34"/>
    <w:rsid w:val="00012747"/>
    <w:rsid w:val="00013AC7"/>
    <w:rsid w:val="00013F7C"/>
    <w:rsid w:val="00014C20"/>
    <w:rsid w:val="00014D15"/>
    <w:rsid w:val="00014F82"/>
    <w:rsid w:val="00015C7E"/>
    <w:rsid w:val="0001603C"/>
    <w:rsid w:val="00020E1C"/>
    <w:rsid w:val="00020E92"/>
    <w:rsid w:val="00021009"/>
    <w:rsid w:val="000217E5"/>
    <w:rsid w:val="0002296F"/>
    <w:rsid w:val="00022CFE"/>
    <w:rsid w:val="00022F95"/>
    <w:rsid w:val="00023283"/>
    <w:rsid w:val="00025765"/>
    <w:rsid w:val="000260C9"/>
    <w:rsid w:val="00026727"/>
    <w:rsid w:val="00026D52"/>
    <w:rsid w:val="0002709B"/>
    <w:rsid w:val="0002721E"/>
    <w:rsid w:val="000272AD"/>
    <w:rsid w:val="00027529"/>
    <w:rsid w:val="000277C2"/>
    <w:rsid w:val="00027A8F"/>
    <w:rsid w:val="00027C88"/>
    <w:rsid w:val="00027E0D"/>
    <w:rsid w:val="0003001E"/>
    <w:rsid w:val="00030EB1"/>
    <w:rsid w:val="000311AB"/>
    <w:rsid w:val="00031B70"/>
    <w:rsid w:val="00032062"/>
    <w:rsid w:val="00032E64"/>
    <w:rsid w:val="000330CF"/>
    <w:rsid w:val="00035E05"/>
    <w:rsid w:val="0003677A"/>
    <w:rsid w:val="00036BBF"/>
    <w:rsid w:val="000371B6"/>
    <w:rsid w:val="00037FF3"/>
    <w:rsid w:val="0004085A"/>
    <w:rsid w:val="00040925"/>
    <w:rsid w:val="00040953"/>
    <w:rsid w:val="00040B7A"/>
    <w:rsid w:val="00041456"/>
    <w:rsid w:val="00042DED"/>
    <w:rsid w:val="00043168"/>
    <w:rsid w:val="00043492"/>
    <w:rsid w:val="0004376D"/>
    <w:rsid w:val="000438EA"/>
    <w:rsid w:val="00043A62"/>
    <w:rsid w:val="000444C2"/>
    <w:rsid w:val="00044519"/>
    <w:rsid w:val="00045327"/>
    <w:rsid w:val="00045377"/>
    <w:rsid w:val="00045558"/>
    <w:rsid w:val="00045668"/>
    <w:rsid w:val="000458C4"/>
    <w:rsid w:val="00047815"/>
    <w:rsid w:val="00050C86"/>
    <w:rsid w:val="00051FB1"/>
    <w:rsid w:val="000520C0"/>
    <w:rsid w:val="00053073"/>
    <w:rsid w:val="00053786"/>
    <w:rsid w:val="000549CF"/>
    <w:rsid w:val="00055618"/>
    <w:rsid w:val="00055976"/>
    <w:rsid w:val="0005698B"/>
    <w:rsid w:val="00056D24"/>
    <w:rsid w:val="00061DD6"/>
    <w:rsid w:val="00062BE7"/>
    <w:rsid w:val="00062CA0"/>
    <w:rsid w:val="000631E1"/>
    <w:rsid w:val="000634DC"/>
    <w:rsid w:val="000641DB"/>
    <w:rsid w:val="0006528D"/>
    <w:rsid w:val="00066552"/>
    <w:rsid w:val="00066AF2"/>
    <w:rsid w:val="00067285"/>
    <w:rsid w:val="000676A4"/>
    <w:rsid w:val="000677BB"/>
    <w:rsid w:val="0007017B"/>
    <w:rsid w:val="0007093F"/>
    <w:rsid w:val="00070C78"/>
    <w:rsid w:val="000710AE"/>
    <w:rsid w:val="00071951"/>
    <w:rsid w:val="000732A5"/>
    <w:rsid w:val="00073740"/>
    <w:rsid w:val="00073EC8"/>
    <w:rsid w:val="00073ED7"/>
    <w:rsid w:val="0007461F"/>
    <w:rsid w:val="000750F3"/>
    <w:rsid w:val="0007521F"/>
    <w:rsid w:val="000757B6"/>
    <w:rsid w:val="00076905"/>
    <w:rsid w:val="00077322"/>
    <w:rsid w:val="00077486"/>
    <w:rsid w:val="0007756C"/>
    <w:rsid w:val="000777CD"/>
    <w:rsid w:val="00077BB5"/>
    <w:rsid w:val="00077F7D"/>
    <w:rsid w:val="000830DA"/>
    <w:rsid w:val="000860DB"/>
    <w:rsid w:val="0008650A"/>
    <w:rsid w:val="00087B05"/>
    <w:rsid w:val="00087B60"/>
    <w:rsid w:val="00087DFC"/>
    <w:rsid w:val="0009070D"/>
    <w:rsid w:val="00090756"/>
    <w:rsid w:val="00090C65"/>
    <w:rsid w:val="00091AAC"/>
    <w:rsid w:val="00091C5C"/>
    <w:rsid w:val="00092AF4"/>
    <w:rsid w:val="00094763"/>
    <w:rsid w:val="000947CE"/>
    <w:rsid w:val="00094885"/>
    <w:rsid w:val="0009761C"/>
    <w:rsid w:val="00097E65"/>
    <w:rsid w:val="000A0849"/>
    <w:rsid w:val="000A0EF1"/>
    <w:rsid w:val="000A1F8A"/>
    <w:rsid w:val="000A2020"/>
    <w:rsid w:val="000A2358"/>
    <w:rsid w:val="000A3247"/>
    <w:rsid w:val="000A39EB"/>
    <w:rsid w:val="000A3ED1"/>
    <w:rsid w:val="000A3FDB"/>
    <w:rsid w:val="000A415C"/>
    <w:rsid w:val="000A41B5"/>
    <w:rsid w:val="000A4572"/>
    <w:rsid w:val="000A5B83"/>
    <w:rsid w:val="000A6C89"/>
    <w:rsid w:val="000A6D1E"/>
    <w:rsid w:val="000A740D"/>
    <w:rsid w:val="000A78D4"/>
    <w:rsid w:val="000B0232"/>
    <w:rsid w:val="000B0FB1"/>
    <w:rsid w:val="000B1B6C"/>
    <w:rsid w:val="000B1CF6"/>
    <w:rsid w:val="000B35AF"/>
    <w:rsid w:val="000B3EAC"/>
    <w:rsid w:val="000B4497"/>
    <w:rsid w:val="000B4DE3"/>
    <w:rsid w:val="000B50AB"/>
    <w:rsid w:val="000B5436"/>
    <w:rsid w:val="000B5828"/>
    <w:rsid w:val="000B642F"/>
    <w:rsid w:val="000B7A28"/>
    <w:rsid w:val="000B7A82"/>
    <w:rsid w:val="000B7BD0"/>
    <w:rsid w:val="000B7E8F"/>
    <w:rsid w:val="000B7F7B"/>
    <w:rsid w:val="000B7FBF"/>
    <w:rsid w:val="000C044A"/>
    <w:rsid w:val="000C04CA"/>
    <w:rsid w:val="000C0B14"/>
    <w:rsid w:val="000C170E"/>
    <w:rsid w:val="000C3169"/>
    <w:rsid w:val="000C3489"/>
    <w:rsid w:val="000C3D1D"/>
    <w:rsid w:val="000C3ED0"/>
    <w:rsid w:val="000C6773"/>
    <w:rsid w:val="000C7824"/>
    <w:rsid w:val="000D0E00"/>
    <w:rsid w:val="000D1C1D"/>
    <w:rsid w:val="000D3A70"/>
    <w:rsid w:val="000D3AD5"/>
    <w:rsid w:val="000D3E1D"/>
    <w:rsid w:val="000D4381"/>
    <w:rsid w:val="000D44ED"/>
    <w:rsid w:val="000D488D"/>
    <w:rsid w:val="000D4E41"/>
    <w:rsid w:val="000D5111"/>
    <w:rsid w:val="000D531D"/>
    <w:rsid w:val="000E020B"/>
    <w:rsid w:val="000E029F"/>
    <w:rsid w:val="000E0F44"/>
    <w:rsid w:val="000E1001"/>
    <w:rsid w:val="000E13B2"/>
    <w:rsid w:val="000E1F36"/>
    <w:rsid w:val="000E2141"/>
    <w:rsid w:val="000E217A"/>
    <w:rsid w:val="000E2371"/>
    <w:rsid w:val="000E4E49"/>
    <w:rsid w:val="000E4FB1"/>
    <w:rsid w:val="000E5EAB"/>
    <w:rsid w:val="000F0A72"/>
    <w:rsid w:val="000F0E67"/>
    <w:rsid w:val="000F1894"/>
    <w:rsid w:val="000F3D0B"/>
    <w:rsid w:val="000F405F"/>
    <w:rsid w:val="000F5BF0"/>
    <w:rsid w:val="000F609C"/>
    <w:rsid w:val="00100EFD"/>
    <w:rsid w:val="001017F5"/>
    <w:rsid w:val="00101C6D"/>
    <w:rsid w:val="001020EC"/>
    <w:rsid w:val="00103DF3"/>
    <w:rsid w:val="00104A32"/>
    <w:rsid w:val="00105731"/>
    <w:rsid w:val="00105C81"/>
    <w:rsid w:val="00106BD7"/>
    <w:rsid w:val="001074F6"/>
    <w:rsid w:val="00107A5D"/>
    <w:rsid w:val="00107DAA"/>
    <w:rsid w:val="00110F7A"/>
    <w:rsid w:val="00111488"/>
    <w:rsid w:val="001115D3"/>
    <w:rsid w:val="00111FF4"/>
    <w:rsid w:val="0011277B"/>
    <w:rsid w:val="001135D0"/>
    <w:rsid w:val="00113DC0"/>
    <w:rsid w:val="00114FFD"/>
    <w:rsid w:val="00115C09"/>
    <w:rsid w:val="00116D61"/>
    <w:rsid w:val="001175BE"/>
    <w:rsid w:val="001178AF"/>
    <w:rsid w:val="00120217"/>
    <w:rsid w:val="00122612"/>
    <w:rsid w:val="00123149"/>
    <w:rsid w:val="00124163"/>
    <w:rsid w:val="00124A89"/>
    <w:rsid w:val="00124E11"/>
    <w:rsid w:val="00125D32"/>
    <w:rsid w:val="00126D1C"/>
    <w:rsid w:val="0012741D"/>
    <w:rsid w:val="00127655"/>
    <w:rsid w:val="00127916"/>
    <w:rsid w:val="00127A76"/>
    <w:rsid w:val="00127A98"/>
    <w:rsid w:val="00127ABF"/>
    <w:rsid w:val="0013028F"/>
    <w:rsid w:val="0013054A"/>
    <w:rsid w:val="00131514"/>
    <w:rsid w:val="00131B5B"/>
    <w:rsid w:val="0013263D"/>
    <w:rsid w:val="00132D34"/>
    <w:rsid w:val="001340B1"/>
    <w:rsid w:val="00136DED"/>
    <w:rsid w:val="0013755A"/>
    <w:rsid w:val="00137C51"/>
    <w:rsid w:val="00140107"/>
    <w:rsid w:val="001417FD"/>
    <w:rsid w:val="001420B1"/>
    <w:rsid w:val="00142277"/>
    <w:rsid w:val="00142303"/>
    <w:rsid w:val="001424A8"/>
    <w:rsid w:val="001424FC"/>
    <w:rsid w:val="0014277B"/>
    <w:rsid w:val="00142A37"/>
    <w:rsid w:val="00142BC3"/>
    <w:rsid w:val="0014491D"/>
    <w:rsid w:val="00145A7B"/>
    <w:rsid w:val="00146205"/>
    <w:rsid w:val="001466CB"/>
    <w:rsid w:val="001467AB"/>
    <w:rsid w:val="0014692C"/>
    <w:rsid w:val="00146B3C"/>
    <w:rsid w:val="00146FD5"/>
    <w:rsid w:val="0014753E"/>
    <w:rsid w:val="001504FE"/>
    <w:rsid w:val="00150B54"/>
    <w:rsid w:val="001520FB"/>
    <w:rsid w:val="00152407"/>
    <w:rsid w:val="001533C1"/>
    <w:rsid w:val="001535A1"/>
    <w:rsid w:val="001535D3"/>
    <w:rsid w:val="00153CB1"/>
    <w:rsid w:val="00153FA7"/>
    <w:rsid w:val="001540AE"/>
    <w:rsid w:val="001556B5"/>
    <w:rsid w:val="00155E24"/>
    <w:rsid w:val="001566B7"/>
    <w:rsid w:val="00156E7D"/>
    <w:rsid w:val="00157DB0"/>
    <w:rsid w:val="001608AC"/>
    <w:rsid w:val="00161CEC"/>
    <w:rsid w:val="00162AE8"/>
    <w:rsid w:val="00162E6E"/>
    <w:rsid w:val="00163247"/>
    <w:rsid w:val="00163402"/>
    <w:rsid w:val="00163CEC"/>
    <w:rsid w:val="00164645"/>
    <w:rsid w:val="00165CA2"/>
    <w:rsid w:val="00165D06"/>
    <w:rsid w:val="0016608E"/>
    <w:rsid w:val="00166488"/>
    <w:rsid w:val="00167253"/>
    <w:rsid w:val="0016760C"/>
    <w:rsid w:val="001677FA"/>
    <w:rsid w:val="00170192"/>
    <w:rsid w:val="00170594"/>
    <w:rsid w:val="00170795"/>
    <w:rsid w:val="00170F00"/>
    <w:rsid w:val="00170F18"/>
    <w:rsid w:val="00171D00"/>
    <w:rsid w:val="00172239"/>
    <w:rsid w:val="00173B33"/>
    <w:rsid w:val="0017465B"/>
    <w:rsid w:val="00174E64"/>
    <w:rsid w:val="00176004"/>
    <w:rsid w:val="0017646A"/>
    <w:rsid w:val="00177622"/>
    <w:rsid w:val="0018085B"/>
    <w:rsid w:val="0018091E"/>
    <w:rsid w:val="00180A02"/>
    <w:rsid w:val="00180D08"/>
    <w:rsid w:val="00180D27"/>
    <w:rsid w:val="00182188"/>
    <w:rsid w:val="0018437A"/>
    <w:rsid w:val="00184E14"/>
    <w:rsid w:val="001854D5"/>
    <w:rsid w:val="00186881"/>
    <w:rsid w:val="001871D5"/>
    <w:rsid w:val="001877FE"/>
    <w:rsid w:val="00190610"/>
    <w:rsid w:val="00191738"/>
    <w:rsid w:val="00191ABA"/>
    <w:rsid w:val="00191EAE"/>
    <w:rsid w:val="00192149"/>
    <w:rsid w:val="00192B69"/>
    <w:rsid w:val="00192D94"/>
    <w:rsid w:val="001933CB"/>
    <w:rsid w:val="00193839"/>
    <w:rsid w:val="00194690"/>
    <w:rsid w:val="00195508"/>
    <w:rsid w:val="0019560B"/>
    <w:rsid w:val="0019569B"/>
    <w:rsid w:val="00197036"/>
    <w:rsid w:val="00197BF3"/>
    <w:rsid w:val="001A03C2"/>
    <w:rsid w:val="001A1154"/>
    <w:rsid w:val="001A169E"/>
    <w:rsid w:val="001A2DEE"/>
    <w:rsid w:val="001A2E50"/>
    <w:rsid w:val="001A33C6"/>
    <w:rsid w:val="001A3BEC"/>
    <w:rsid w:val="001A3D68"/>
    <w:rsid w:val="001A4572"/>
    <w:rsid w:val="001A4DC5"/>
    <w:rsid w:val="001A4F23"/>
    <w:rsid w:val="001A526D"/>
    <w:rsid w:val="001A6232"/>
    <w:rsid w:val="001A637B"/>
    <w:rsid w:val="001A6581"/>
    <w:rsid w:val="001A66F9"/>
    <w:rsid w:val="001A6AA5"/>
    <w:rsid w:val="001A7DDD"/>
    <w:rsid w:val="001A7DF5"/>
    <w:rsid w:val="001B0E2C"/>
    <w:rsid w:val="001B1732"/>
    <w:rsid w:val="001B2747"/>
    <w:rsid w:val="001B2D45"/>
    <w:rsid w:val="001B3406"/>
    <w:rsid w:val="001B4271"/>
    <w:rsid w:val="001B48A6"/>
    <w:rsid w:val="001B504F"/>
    <w:rsid w:val="001B5191"/>
    <w:rsid w:val="001B5659"/>
    <w:rsid w:val="001B69B3"/>
    <w:rsid w:val="001B6AE4"/>
    <w:rsid w:val="001B7035"/>
    <w:rsid w:val="001B7B29"/>
    <w:rsid w:val="001B7F21"/>
    <w:rsid w:val="001C1F8B"/>
    <w:rsid w:val="001C3BB9"/>
    <w:rsid w:val="001C4742"/>
    <w:rsid w:val="001C4776"/>
    <w:rsid w:val="001C6420"/>
    <w:rsid w:val="001C67BA"/>
    <w:rsid w:val="001C754A"/>
    <w:rsid w:val="001C77A6"/>
    <w:rsid w:val="001D0177"/>
    <w:rsid w:val="001D079C"/>
    <w:rsid w:val="001D0A69"/>
    <w:rsid w:val="001D0CEA"/>
    <w:rsid w:val="001D20DE"/>
    <w:rsid w:val="001D2BA5"/>
    <w:rsid w:val="001D2C05"/>
    <w:rsid w:val="001D2C2B"/>
    <w:rsid w:val="001D2CF7"/>
    <w:rsid w:val="001D4AAB"/>
    <w:rsid w:val="001D4F24"/>
    <w:rsid w:val="001D5287"/>
    <w:rsid w:val="001D55FA"/>
    <w:rsid w:val="001D589A"/>
    <w:rsid w:val="001D5BD2"/>
    <w:rsid w:val="001D5E85"/>
    <w:rsid w:val="001D66F4"/>
    <w:rsid w:val="001D6883"/>
    <w:rsid w:val="001D6AE7"/>
    <w:rsid w:val="001D7037"/>
    <w:rsid w:val="001E051A"/>
    <w:rsid w:val="001E09A9"/>
    <w:rsid w:val="001E0FD9"/>
    <w:rsid w:val="001E1386"/>
    <w:rsid w:val="001E147D"/>
    <w:rsid w:val="001E227C"/>
    <w:rsid w:val="001E33A9"/>
    <w:rsid w:val="001E357C"/>
    <w:rsid w:val="001E3678"/>
    <w:rsid w:val="001E427B"/>
    <w:rsid w:val="001E4B25"/>
    <w:rsid w:val="001E4EEE"/>
    <w:rsid w:val="001E54BC"/>
    <w:rsid w:val="001E5727"/>
    <w:rsid w:val="001E5CDC"/>
    <w:rsid w:val="001E5D0A"/>
    <w:rsid w:val="001E69A1"/>
    <w:rsid w:val="001E7338"/>
    <w:rsid w:val="001E747D"/>
    <w:rsid w:val="001F090B"/>
    <w:rsid w:val="001F1257"/>
    <w:rsid w:val="001F1359"/>
    <w:rsid w:val="001F16CD"/>
    <w:rsid w:val="001F1FC2"/>
    <w:rsid w:val="001F23B5"/>
    <w:rsid w:val="001F2453"/>
    <w:rsid w:val="001F35B0"/>
    <w:rsid w:val="001F3F51"/>
    <w:rsid w:val="001F5179"/>
    <w:rsid w:val="001F545A"/>
    <w:rsid w:val="001F6230"/>
    <w:rsid w:val="001F6AA9"/>
    <w:rsid w:val="001F7E96"/>
    <w:rsid w:val="00200148"/>
    <w:rsid w:val="00200C88"/>
    <w:rsid w:val="00202843"/>
    <w:rsid w:val="00202BDB"/>
    <w:rsid w:val="002030AA"/>
    <w:rsid w:val="00204D85"/>
    <w:rsid w:val="00206D13"/>
    <w:rsid w:val="00207088"/>
    <w:rsid w:val="00207E6E"/>
    <w:rsid w:val="002103F6"/>
    <w:rsid w:val="00210730"/>
    <w:rsid w:val="00210772"/>
    <w:rsid w:val="00210E20"/>
    <w:rsid w:val="002115AA"/>
    <w:rsid w:val="00211676"/>
    <w:rsid w:val="00211797"/>
    <w:rsid w:val="002117F1"/>
    <w:rsid w:val="002125EE"/>
    <w:rsid w:val="002126E2"/>
    <w:rsid w:val="00212B16"/>
    <w:rsid w:val="00212F32"/>
    <w:rsid w:val="00213999"/>
    <w:rsid w:val="002140E4"/>
    <w:rsid w:val="00214F5D"/>
    <w:rsid w:val="00215445"/>
    <w:rsid w:val="00215788"/>
    <w:rsid w:val="0021685D"/>
    <w:rsid w:val="00217747"/>
    <w:rsid w:val="00217B67"/>
    <w:rsid w:val="00217EF0"/>
    <w:rsid w:val="00217F67"/>
    <w:rsid w:val="00220004"/>
    <w:rsid w:val="00220ABA"/>
    <w:rsid w:val="00221570"/>
    <w:rsid w:val="0022187C"/>
    <w:rsid w:val="00222475"/>
    <w:rsid w:val="00222EA5"/>
    <w:rsid w:val="002230F9"/>
    <w:rsid w:val="002235CD"/>
    <w:rsid w:val="00223857"/>
    <w:rsid w:val="00224F55"/>
    <w:rsid w:val="002261B0"/>
    <w:rsid w:val="0022656A"/>
    <w:rsid w:val="002275D9"/>
    <w:rsid w:val="0023071B"/>
    <w:rsid w:val="00230821"/>
    <w:rsid w:val="0023235F"/>
    <w:rsid w:val="00232795"/>
    <w:rsid w:val="00232D9D"/>
    <w:rsid w:val="00232FA3"/>
    <w:rsid w:val="00233338"/>
    <w:rsid w:val="0023485B"/>
    <w:rsid w:val="0023585A"/>
    <w:rsid w:val="00235AED"/>
    <w:rsid w:val="00235F8E"/>
    <w:rsid w:val="00236351"/>
    <w:rsid w:val="002368E8"/>
    <w:rsid w:val="002369A3"/>
    <w:rsid w:val="002372C5"/>
    <w:rsid w:val="002375B0"/>
    <w:rsid w:val="002375DE"/>
    <w:rsid w:val="002375F4"/>
    <w:rsid w:val="00237958"/>
    <w:rsid w:val="00237C33"/>
    <w:rsid w:val="00237EB6"/>
    <w:rsid w:val="00237F85"/>
    <w:rsid w:val="002417E1"/>
    <w:rsid w:val="00242366"/>
    <w:rsid w:val="002425FF"/>
    <w:rsid w:val="0024284F"/>
    <w:rsid w:val="002429D9"/>
    <w:rsid w:val="00242F01"/>
    <w:rsid w:val="002431B1"/>
    <w:rsid w:val="002436ED"/>
    <w:rsid w:val="00243EAD"/>
    <w:rsid w:val="00245172"/>
    <w:rsid w:val="00245FA3"/>
    <w:rsid w:val="002465F7"/>
    <w:rsid w:val="0024796B"/>
    <w:rsid w:val="00247FCA"/>
    <w:rsid w:val="002504A7"/>
    <w:rsid w:val="00250ED3"/>
    <w:rsid w:val="00252CA1"/>
    <w:rsid w:val="00252CD9"/>
    <w:rsid w:val="00253536"/>
    <w:rsid w:val="0025415A"/>
    <w:rsid w:val="00254247"/>
    <w:rsid w:val="002559FA"/>
    <w:rsid w:val="00256AFA"/>
    <w:rsid w:val="00257E48"/>
    <w:rsid w:val="00260BDA"/>
    <w:rsid w:val="00261C8A"/>
    <w:rsid w:val="00261DD9"/>
    <w:rsid w:val="00262197"/>
    <w:rsid w:val="00262996"/>
    <w:rsid w:val="00262C30"/>
    <w:rsid w:val="00263B61"/>
    <w:rsid w:val="00263FAC"/>
    <w:rsid w:val="002642E1"/>
    <w:rsid w:val="002644DC"/>
    <w:rsid w:val="00265455"/>
    <w:rsid w:val="00265987"/>
    <w:rsid w:val="00266EAD"/>
    <w:rsid w:val="002707F7"/>
    <w:rsid w:val="00270DFC"/>
    <w:rsid w:val="00271085"/>
    <w:rsid w:val="00271775"/>
    <w:rsid w:val="00271A9D"/>
    <w:rsid w:val="00271EB0"/>
    <w:rsid w:val="002723BA"/>
    <w:rsid w:val="00272E7A"/>
    <w:rsid w:val="002743E7"/>
    <w:rsid w:val="002754DE"/>
    <w:rsid w:val="00275930"/>
    <w:rsid w:val="00275D41"/>
    <w:rsid w:val="002769B2"/>
    <w:rsid w:val="002770BB"/>
    <w:rsid w:val="00277CB0"/>
    <w:rsid w:val="00277DAC"/>
    <w:rsid w:val="0028039D"/>
    <w:rsid w:val="002805AA"/>
    <w:rsid w:val="00280FB2"/>
    <w:rsid w:val="002812CE"/>
    <w:rsid w:val="0028198A"/>
    <w:rsid w:val="002827A8"/>
    <w:rsid w:val="00282E62"/>
    <w:rsid w:val="00283450"/>
    <w:rsid w:val="002837D6"/>
    <w:rsid w:val="00283852"/>
    <w:rsid w:val="00284054"/>
    <w:rsid w:val="0028498C"/>
    <w:rsid w:val="00284B90"/>
    <w:rsid w:val="00285CF2"/>
    <w:rsid w:val="00286924"/>
    <w:rsid w:val="00286D08"/>
    <w:rsid w:val="00286D54"/>
    <w:rsid w:val="0029029D"/>
    <w:rsid w:val="0029109D"/>
    <w:rsid w:val="0029151C"/>
    <w:rsid w:val="00291678"/>
    <w:rsid w:val="00291B1C"/>
    <w:rsid w:val="00291CA9"/>
    <w:rsid w:val="00292A31"/>
    <w:rsid w:val="00293906"/>
    <w:rsid w:val="002940B3"/>
    <w:rsid w:val="002944E3"/>
    <w:rsid w:val="00295736"/>
    <w:rsid w:val="0029667B"/>
    <w:rsid w:val="0029681C"/>
    <w:rsid w:val="002975BB"/>
    <w:rsid w:val="002A1C0D"/>
    <w:rsid w:val="002A292C"/>
    <w:rsid w:val="002A3181"/>
    <w:rsid w:val="002A32A8"/>
    <w:rsid w:val="002A32CA"/>
    <w:rsid w:val="002A428D"/>
    <w:rsid w:val="002A4F0C"/>
    <w:rsid w:val="002A5343"/>
    <w:rsid w:val="002A5E25"/>
    <w:rsid w:val="002A6592"/>
    <w:rsid w:val="002A6D3D"/>
    <w:rsid w:val="002A79ED"/>
    <w:rsid w:val="002A7BC4"/>
    <w:rsid w:val="002A7E95"/>
    <w:rsid w:val="002B05B4"/>
    <w:rsid w:val="002B0D6A"/>
    <w:rsid w:val="002B1288"/>
    <w:rsid w:val="002B1526"/>
    <w:rsid w:val="002B1AC3"/>
    <w:rsid w:val="002B2624"/>
    <w:rsid w:val="002B3029"/>
    <w:rsid w:val="002B30DC"/>
    <w:rsid w:val="002B3230"/>
    <w:rsid w:val="002B4F81"/>
    <w:rsid w:val="002B57D2"/>
    <w:rsid w:val="002B606C"/>
    <w:rsid w:val="002B63B0"/>
    <w:rsid w:val="002B67EE"/>
    <w:rsid w:val="002B70F9"/>
    <w:rsid w:val="002C0385"/>
    <w:rsid w:val="002C0D1F"/>
    <w:rsid w:val="002C11A4"/>
    <w:rsid w:val="002C23BD"/>
    <w:rsid w:val="002C2D15"/>
    <w:rsid w:val="002C362E"/>
    <w:rsid w:val="002C3BA8"/>
    <w:rsid w:val="002C4A50"/>
    <w:rsid w:val="002C5908"/>
    <w:rsid w:val="002C5CBF"/>
    <w:rsid w:val="002C617B"/>
    <w:rsid w:val="002C61D6"/>
    <w:rsid w:val="002C633A"/>
    <w:rsid w:val="002C654B"/>
    <w:rsid w:val="002C667A"/>
    <w:rsid w:val="002C6B45"/>
    <w:rsid w:val="002C7128"/>
    <w:rsid w:val="002D0717"/>
    <w:rsid w:val="002D1E4B"/>
    <w:rsid w:val="002D1EEB"/>
    <w:rsid w:val="002D46BF"/>
    <w:rsid w:val="002D4C99"/>
    <w:rsid w:val="002D5E71"/>
    <w:rsid w:val="002D6359"/>
    <w:rsid w:val="002D6493"/>
    <w:rsid w:val="002D7088"/>
    <w:rsid w:val="002D73C5"/>
    <w:rsid w:val="002D7A4D"/>
    <w:rsid w:val="002D7D00"/>
    <w:rsid w:val="002E0B74"/>
    <w:rsid w:val="002E1740"/>
    <w:rsid w:val="002E193E"/>
    <w:rsid w:val="002E1B0D"/>
    <w:rsid w:val="002E2113"/>
    <w:rsid w:val="002E27BE"/>
    <w:rsid w:val="002E2B69"/>
    <w:rsid w:val="002E2CD2"/>
    <w:rsid w:val="002E3077"/>
    <w:rsid w:val="002E386B"/>
    <w:rsid w:val="002E4476"/>
    <w:rsid w:val="002E449A"/>
    <w:rsid w:val="002E6604"/>
    <w:rsid w:val="002E79E0"/>
    <w:rsid w:val="002E7AB6"/>
    <w:rsid w:val="002E7F80"/>
    <w:rsid w:val="002F063B"/>
    <w:rsid w:val="002F0E97"/>
    <w:rsid w:val="002F2589"/>
    <w:rsid w:val="002F26D8"/>
    <w:rsid w:val="002F3F07"/>
    <w:rsid w:val="002F4145"/>
    <w:rsid w:val="002F4384"/>
    <w:rsid w:val="002F4B20"/>
    <w:rsid w:val="002F4D41"/>
    <w:rsid w:val="002F559D"/>
    <w:rsid w:val="002F61FF"/>
    <w:rsid w:val="002F776D"/>
    <w:rsid w:val="002F7DFC"/>
    <w:rsid w:val="0030060E"/>
    <w:rsid w:val="003006F7"/>
    <w:rsid w:val="00301C94"/>
    <w:rsid w:val="00302089"/>
    <w:rsid w:val="003023D3"/>
    <w:rsid w:val="003070A1"/>
    <w:rsid w:val="003078EA"/>
    <w:rsid w:val="00307DAD"/>
    <w:rsid w:val="00310FAC"/>
    <w:rsid w:val="00312757"/>
    <w:rsid w:val="003129A1"/>
    <w:rsid w:val="0031458D"/>
    <w:rsid w:val="0031586A"/>
    <w:rsid w:val="00315A05"/>
    <w:rsid w:val="00315BC5"/>
    <w:rsid w:val="00317871"/>
    <w:rsid w:val="00317D04"/>
    <w:rsid w:val="003208A5"/>
    <w:rsid w:val="00320AAF"/>
    <w:rsid w:val="00320F66"/>
    <w:rsid w:val="00323342"/>
    <w:rsid w:val="00324169"/>
    <w:rsid w:val="0032669B"/>
    <w:rsid w:val="003323DE"/>
    <w:rsid w:val="0033275E"/>
    <w:rsid w:val="003329B8"/>
    <w:rsid w:val="00332F72"/>
    <w:rsid w:val="00332F8C"/>
    <w:rsid w:val="003332B7"/>
    <w:rsid w:val="00333AD2"/>
    <w:rsid w:val="00333C08"/>
    <w:rsid w:val="00333FD4"/>
    <w:rsid w:val="003347D4"/>
    <w:rsid w:val="00334BFA"/>
    <w:rsid w:val="0033641A"/>
    <w:rsid w:val="00336D9A"/>
    <w:rsid w:val="003441E2"/>
    <w:rsid w:val="003444A0"/>
    <w:rsid w:val="003444BF"/>
    <w:rsid w:val="00345319"/>
    <w:rsid w:val="003460D7"/>
    <w:rsid w:val="003500A0"/>
    <w:rsid w:val="003501BB"/>
    <w:rsid w:val="003505FF"/>
    <w:rsid w:val="00351118"/>
    <w:rsid w:val="003524BD"/>
    <w:rsid w:val="00355834"/>
    <w:rsid w:val="0035733E"/>
    <w:rsid w:val="003623AF"/>
    <w:rsid w:val="00362652"/>
    <w:rsid w:val="003631C4"/>
    <w:rsid w:val="00363245"/>
    <w:rsid w:val="00364634"/>
    <w:rsid w:val="0036466D"/>
    <w:rsid w:val="003652D8"/>
    <w:rsid w:val="003653DE"/>
    <w:rsid w:val="00366E8F"/>
    <w:rsid w:val="0036753A"/>
    <w:rsid w:val="003722C8"/>
    <w:rsid w:val="00373DAF"/>
    <w:rsid w:val="0037568B"/>
    <w:rsid w:val="00375842"/>
    <w:rsid w:val="0037610F"/>
    <w:rsid w:val="00380639"/>
    <w:rsid w:val="00381709"/>
    <w:rsid w:val="00382350"/>
    <w:rsid w:val="00382B44"/>
    <w:rsid w:val="00383329"/>
    <w:rsid w:val="00383FE2"/>
    <w:rsid w:val="00384CAA"/>
    <w:rsid w:val="00385490"/>
    <w:rsid w:val="00385B22"/>
    <w:rsid w:val="00386C20"/>
    <w:rsid w:val="00387273"/>
    <w:rsid w:val="00387F92"/>
    <w:rsid w:val="0039060D"/>
    <w:rsid w:val="00391BC7"/>
    <w:rsid w:val="00393A93"/>
    <w:rsid w:val="00394DE2"/>
    <w:rsid w:val="00395532"/>
    <w:rsid w:val="0039564E"/>
    <w:rsid w:val="0039568B"/>
    <w:rsid w:val="00395ABB"/>
    <w:rsid w:val="00395FEB"/>
    <w:rsid w:val="00396C48"/>
    <w:rsid w:val="003A00DA"/>
    <w:rsid w:val="003A1893"/>
    <w:rsid w:val="003A2631"/>
    <w:rsid w:val="003A2A24"/>
    <w:rsid w:val="003A2BAB"/>
    <w:rsid w:val="003A51EE"/>
    <w:rsid w:val="003A622A"/>
    <w:rsid w:val="003A67A3"/>
    <w:rsid w:val="003A6D3E"/>
    <w:rsid w:val="003A7374"/>
    <w:rsid w:val="003B06AE"/>
    <w:rsid w:val="003B1998"/>
    <w:rsid w:val="003B215A"/>
    <w:rsid w:val="003B380E"/>
    <w:rsid w:val="003B3E7F"/>
    <w:rsid w:val="003B49EA"/>
    <w:rsid w:val="003B4AB0"/>
    <w:rsid w:val="003B4D9A"/>
    <w:rsid w:val="003B646C"/>
    <w:rsid w:val="003B7337"/>
    <w:rsid w:val="003B7BC3"/>
    <w:rsid w:val="003B7E2D"/>
    <w:rsid w:val="003C0112"/>
    <w:rsid w:val="003C01AF"/>
    <w:rsid w:val="003C0A3A"/>
    <w:rsid w:val="003C0A8A"/>
    <w:rsid w:val="003C1243"/>
    <w:rsid w:val="003C1871"/>
    <w:rsid w:val="003C1F78"/>
    <w:rsid w:val="003C25B2"/>
    <w:rsid w:val="003C3976"/>
    <w:rsid w:val="003C3D54"/>
    <w:rsid w:val="003C43CB"/>
    <w:rsid w:val="003C5DCA"/>
    <w:rsid w:val="003C6DD3"/>
    <w:rsid w:val="003C7499"/>
    <w:rsid w:val="003C7687"/>
    <w:rsid w:val="003C7AA6"/>
    <w:rsid w:val="003C7CA3"/>
    <w:rsid w:val="003C7D1C"/>
    <w:rsid w:val="003D1AF7"/>
    <w:rsid w:val="003D1F5E"/>
    <w:rsid w:val="003D31DC"/>
    <w:rsid w:val="003D323F"/>
    <w:rsid w:val="003D3853"/>
    <w:rsid w:val="003D402A"/>
    <w:rsid w:val="003D40BE"/>
    <w:rsid w:val="003D444B"/>
    <w:rsid w:val="003D4AD5"/>
    <w:rsid w:val="003D5C00"/>
    <w:rsid w:val="003D6927"/>
    <w:rsid w:val="003D7104"/>
    <w:rsid w:val="003D73E7"/>
    <w:rsid w:val="003E04A4"/>
    <w:rsid w:val="003E0E54"/>
    <w:rsid w:val="003E1A4F"/>
    <w:rsid w:val="003E2132"/>
    <w:rsid w:val="003E22F2"/>
    <w:rsid w:val="003E249C"/>
    <w:rsid w:val="003E2A06"/>
    <w:rsid w:val="003E2E3F"/>
    <w:rsid w:val="003E42B9"/>
    <w:rsid w:val="003E4AE2"/>
    <w:rsid w:val="003E4D0D"/>
    <w:rsid w:val="003E4E31"/>
    <w:rsid w:val="003E52E8"/>
    <w:rsid w:val="003E5489"/>
    <w:rsid w:val="003E5616"/>
    <w:rsid w:val="003F1172"/>
    <w:rsid w:val="003F120F"/>
    <w:rsid w:val="003F1694"/>
    <w:rsid w:val="003F1CB6"/>
    <w:rsid w:val="003F3271"/>
    <w:rsid w:val="003F3F2D"/>
    <w:rsid w:val="003F40D6"/>
    <w:rsid w:val="003F6953"/>
    <w:rsid w:val="003F7227"/>
    <w:rsid w:val="003F74AD"/>
    <w:rsid w:val="003F7C4D"/>
    <w:rsid w:val="00400E0D"/>
    <w:rsid w:val="004015D1"/>
    <w:rsid w:val="004016D6"/>
    <w:rsid w:val="00401837"/>
    <w:rsid w:val="00401C9C"/>
    <w:rsid w:val="00401E58"/>
    <w:rsid w:val="00402095"/>
    <w:rsid w:val="00402EC6"/>
    <w:rsid w:val="00404ABA"/>
    <w:rsid w:val="00404FED"/>
    <w:rsid w:val="0040665B"/>
    <w:rsid w:val="00407550"/>
    <w:rsid w:val="00407AF5"/>
    <w:rsid w:val="004107AC"/>
    <w:rsid w:val="00411666"/>
    <w:rsid w:val="00412160"/>
    <w:rsid w:val="00412377"/>
    <w:rsid w:val="0041239C"/>
    <w:rsid w:val="00413CF3"/>
    <w:rsid w:val="00414B9D"/>
    <w:rsid w:val="004155B7"/>
    <w:rsid w:val="00415949"/>
    <w:rsid w:val="0041604A"/>
    <w:rsid w:val="0041635D"/>
    <w:rsid w:val="004166EE"/>
    <w:rsid w:val="00417803"/>
    <w:rsid w:val="00417AF5"/>
    <w:rsid w:val="00420F58"/>
    <w:rsid w:val="00421207"/>
    <w:rsid w:val="00421965"/>
    <w:rsid w:val="00422333"/>
    <w:rsid w:val="0042292F"/>
    <w:rsid w:val="00422D20"/>
    <w:rsid w:val="00423331"/>
    <w:rsid w:val="00424128"/>
    <w:rsid w:val="004251DE"/>
    <w:rsid w:val="00425D92"/>
    <w:rsid w:val="0042657D"/>
    <w:rsid w:val="004265B6"/>
    <w:rsid w:val="004276D3"/>
    <w:rsid w:val="0042785B"/>
    <w:rsid w:val="00427FCE"/>
    <w:rsid w:val="00430FB8"/>
    <w:rsid w:val="00431A10"/>
    <w:rsid w:val="00432EC5"/>
    <w:rsid w:val="004344B6"/>
    <w:rsid w:val="00434CD5"/>
    <w:rsid w:val="004354C0"/>
    <w:rsid w:val="00435879"/>
    <w:rsid w:val="00435B31"/>
    <w:rsid w:val="004363AB"/>
    <w:rsid w:val="00436C7D"/>
    <w:rsid w:val="00437C45"/>
    <w:rsid w:val="004416D6"/>
    <w:rsid w:val="004417C0"/>
    <w:rsid w:val="00442C66"/>
    <w:rsid w:val="00442CF5"/>
    <w:rsid w:val="00443E07"/>
    <w:rsid w:val="004442F4"/>
    <w:rsid w:val="004456C7"/>
    <w:rsid w:val="00445DE3"/>
    <w:rsid w:val="00446655"/>
    <w:rsid w:val="00446D63"/>
    <w:rsid w:val="00447D77"/>
    <w:rsid w:val="00450612"/>
    <w:rsid w:val="00450B0B"/>
    <w:rsid w:val="00450B0F"/>
    <w:rsid w:val="00451122"/>
    <w:rsid w:val="00452273"/>
    <w:rsid w:val="004523F3"/>
    <w:rsid w:val="00452D76"/>
    <w:rsid w:val="004532D1"/>
    <w:rsid w:val="00453AD7"/>
    <w:rsid w:val="004544EA"/>
    <w:rsid w:val="00454627"/>
    <w:rsid w:val="004564FD"/>
    <w:rsid w:val="0046087E"/>
    <w:rsid w:val="0046172A"/>
    <w:rsid w:val="00461CEA"/>
    <w:rsid w:val="00462602"/>
    <w:rsid w:val="00462753"/>
    <w:rsid w:val="004632D2"/>
    <w:rsid w:val="00463D13"/>
    <w:rsid w:val="004641DC"/>
    <w:rsid w:val="0046421C"/>
    <w:rsid w:val="00464536"/>
    <w:rsid w:val="0046501A"/>
    <w:rsid w:val="00466D5F"/>
    <w:rsid w:val="00467E7B"/>
    <w:rsid w:val="00470D8D"/>
    <w:rsid w:val="00472034"/>
    <w:rsid w:val="00472586"/>
    <w:rsid w:val="00473190"/>
    <w:rsid w:val="00473460"/>
    <w:rsid w:val="00473808"/>
    <w:rsid w:val="0047577C"/>
    <w:rsid w:val="00476E80"/>
    <w:rsid w:val="00480478"/>
    <w:rsid w:val="00482750"/>
    <w:rsid w:val="00483C8E"/>
    <w:rsid w:val="004841A2"/>
    <w:rsid w:val="004849E8"/>
    <w:rsid w:val="004852DE"/>
    <w:rsid w:val="00485420"/>
    <w:rsid w:val="00485AA7"/>
    <w:rsid w:val="004867A6"/>
    <w:rsid w:val="00487C12"/>
    <w:rsid w:val="00490882"/>
    <w:rsid w:val="00490C62"/>
    <w:rsid w:val="00491202"/>
    <w:rsid w:val="00491988"/>
    <w:rsid w:val="004934BC"/>
    <w:rsid w:val="0049415A"/>
    <w:rsid w:val="00494C19"/>
    <w:rsid w:val="00494FAB"/>
    <w:rsid w:val="00495128"/>
    <w:rsid w:val="00496161"/>
    <w:rsid w:val="00496B9B"/>
    <w:rsid w:val="00496CCB"/>
    <w:rsid w:val="00496D7C"/>
    <w:rsid w:val="00497AAF"/>
    <w:rsid w:val="00497C6D"/>
    <w:rsid w:val="004A0554"/>
    <w:rsid w:val="004A103A"/>
    <w:rsid w:val="004A157F"/>
    <w:rsid w:val="004A3211"/>
    <w:rsid w:val="004A3BC2"/>
    <w:rsid w:val="004A5B3C"/>
    <w:rsid w:val="004A5FF1"/>
    <w:rsid w:val="004A61B0"/>
    <w:rsid w:val="004A6778"/>
    <w:rsid w:val="004A73C3"/>
    <w:rsid w:val="004A7A1A"/>
    <w:rsid w:val="004B04FB"/>
    <w:rsid w:val="004B052F"/>
    <w:rsid w:val="004B17EB"/>
    <w:rsid w:val="004B2D40"/>
    <w:rsid w:val="004B3ECD"/>
    <w:rsid w:val="004B4323"/>
    <w:rsid w:val="004B4675"/>
    <w:rsid w:val="004B4E72"/>
    <w:rsid w:val="004B532F"/>
    <w:rsid w:val="004B56EE"/>
    <w:rsid w:val="004B57C5"/>
    <w:rsid w:val="004B6AF4"/>
    <w:rsid w:val="004B6D65"/>
    <w:rsid w:val="004B72AF"/>
    <w:rsid w:val="004B72D7"/>
    <w:rsid w:val="004B7AEA"/>
    <w:rsid w:val="004C014C"/>
    <w:rsid w:val="004C0458"/>
    <w:rsid w:val="004C081E"/>
    <w:rsid w:val="004C0BDF"/>
    <w:rsid w:val="004C1A8F"/>
    <w:rsid w:val="004C2723"/>
    <w:rsid w:val="004C2F8D"/>
    <w:rsid w:val="004C3D70"/>
    <w:rsid w:val="004C40EE"/>
    <w:rsid w:val="004C4FC9"/>
    <w:rsid w:val="004C4FDD"/>
    <w:rsid w:val="004C4FFF"/>
    <w:rsid w:val="004C5A9B"/>
    <w:rsid w:val="004C5F43"/>
    <w:rsid w:val="004C6B47"/>
    <w:rsid w:val="004C70C3"/>
    <w:rsid w:val="004C7B4A"/>
    <w:rsid w:val="004D130A"/>
    <w:rsid w:val="004D18E5"/>
    <w:rsid w:val="004D19EE"/>
    <w:rsid w:val="004D1C32"/>
    <w:rsid w:val="004D2C68"/>
    <w:rsid w:val="004D3512"/>
    <w:rsid w:val="004D48D0"/>
    <w:rsid w:val="004D60C7"/>
    <w:rsid w:val="004D667E"/>
    <w:rsid w:val="004D6BBE"/>
    <w:rsid w:val="004D6BCA"/>
    <w:rsid w:val="004D708D"/>
    <w:rsid w:val="004E086A"/>
    <w:rsid w:val="004E1985"/>
    <w:rsid w:val="004E1B1E"/>
    <w:rsid w:val="004E1BEB"/>
    <w:rsid w:val="004E1C51"/>
    <w:rsid w:val="004E33B6"/>
    <w:rsid w:val="004E3B58"/>
    <w:rsid w:val="004E3FFE"/>
    <w:rsid w:val="004E4CA1"/>
    <w:rsid w:val="004E5FA8"/>
    <w:rsid w:val="004E6D1E"/>
    <w:rsid w:val="004F0266"/>
    <w:rsid w:val="004F048E"/>
    <w:rsid w:val="004F0CC9"/>
    <w:rsid w:val="004F1294"/>
    <w:rsid w:val="004F1F20"/>
    <w:rsid w:val="004F6780"/>
    <w:rsid w:val="004F7C3A"/>
    <w:rsid w:val="00500115"/>
    <w:rsid w:val="00500331"/>
    <w:rsid w:val="00500F38"/>
    <w:rsid w:val="00501237"/>
    <w:rsid w:val="0050128F"/>
    <w:rsid w:val="0050131C"/>
    <w:rsid w:val="00501D63"/>
    <w:rsid w:val="00503920"/>
    <w:rsid w:val="0050400A"/>
    <w:rsid w:val="00504A32"/>
    <w:rsid w:val="005067B6"/>
    <w:rsid w:val="00506A73"/>
    <w:rsid w:val="00507FF5"/>
    <w:rsid w:val="0051064E"/>
    <w:rsid w:val="00511364"/>
    <w:rsid w:val="00512CD4"/>
    <w:rsid w:val="00513820"/>
    <w:rsid w:val="00514525"/>
    <w:rsid w:val="005146E4"/>
    <w:rsid w:val="00515344"/>
    <w:rsid w:val="00515769"/>
    <w:rsid w:val="00515F5C"/>
    <w:rsid w:val="00516DC7"/>
    <w:rsid w:val="0052052E"/>
    <w:rsid w:val="0052057F"/>
    <w:rsid w:val="005209EB"/>
    <w:rsid w:val="00521682"/>
    <w:rsid w:val="00521953"/>
    <w:rsid w:val="00521FA4"/>
    <w:rsid w:val="005231C3"/>
    <w:rsid w:val="0052360B"/>
    <w:rsid w:val="00523C0F"/>
    <w:rsid w:val="005246B9"/>
    <w:rsid w:val="0052478E"/>
    <w:rsid w:val="00524B42"/>
    <w:rsid w:val="005252CB"/>
    <w:rsid w:val="005253C9"/>
    <w:rsid w:val="005253EA"/>
    <w:rsid w:val="00526080"/>
    <w:rsid w:val="00526BCB"/>
    <w:rsid w:val="005300F5"/>
    <w:rsid w:val="00530523"/>
    <w:rsid w:val="00530B28"/>
    <w:rsid w:val="00530EB0"/>
    <w:rsid w:val="0053131D"/>
    <w:rsid w:val="00533E05"/>
    <w:rsid w:val="00534833"/>
    <w:rsid w:val="0053545D"/>
    <w:rsid w:val="00536C44"/>
    <w:rsid w:val="005370A5"/>
    <w:rsid w:val="00540447"/>
    <w:rsid w:val="005406D8"/>
    <w:rsid w:val="005412E1"/>
    <w:rsid w:val="0054184B"/>
    <w:rsid w:val="00542CE6"/>
    <w:rsid w:val="00543318"/>
    <w:rsid w:val="00543A96"/>
    <w:rsid w:val="005441C6"/>
    <w:rsid w:val="0054441D"/>
    <w:rsid w:val="00544F71"/>
    <w:rsid w:val="0054552F"/>
    <w:rsid w:val="00545B34"/>
    <w:rsid w:val="00545C99"/>
    <w:rsid w:val="0054794D"/>
    <w:rsid w:val="00547EE2"/>
    <w:rsid w:val="00547FA5"/>
    <w:rsid w:val="00550490"/>
    <w:rsid w:val="00551C1A"/>
    <w:rsid w:val="00552CC5"/>
    <w:rsid w:val="0055387A"/>
    <w:rsid w:val="00553945"/>
    <w:rsid w:val="005549E7"/>
    <w:rsid w:val="00554C26"/>
    <w:rsid w:val="00556611"/>
    <w:rsid w:val="005573F0"/>
    <w:rsid w:val="00557A89"/>
    <w:rsid w:val="00557DF9"/>
    <w:rsid w:val="005608C7"/>
    <w:rsid w:val="00560A0C"/>
    <w:rsid w:val="005623CD"/>
    <w:rsid w:val="00562706"/>
    <w:rsid w:val="0056342D"/>
    <w:rsid w:val="00565ACF"/>
    <w:rsid w:val="00566195"/>
    <w:rsid w:val="00567B06"/>
    <w:rsid w:val="0057118C"/>
    <w:rsid w:val="00571BF8"/>
    <w:rsid w:val="00572A64"/>
    <w:rsid w:val="00573432"/>
    <w:rsid w:val="00574443"/>
    <w:rsid w:val="00574F93"/>
    <w:rsid w:val="00575454"/>
    <w:rsid w:val="005757B4"/>
    <w:rsid w:val="0057591D"/>
    <w:rsid w:val="00575EC4"/>
    <w:rsid w:val="005760F6"/>
    <w:rsid w:val="0057730D"/>
    <w:rsid w:val="0058089C"/>
    <w:rsid w:val="005808E3"/>
    <w:rsid w:val="00580968"/>
    <w:rsid w:val="00580B3D"/>
    <w:rsid w:val="00581EF0"/>
    <w:rsid w:val="00582622"/>
    <w:rsid w:val="00582ABF"/>
    <w:rsid w:val="00583A1F"/>
    <w:rsid w:val="005842AF"/>
    <w:rsid w:val="005842F5"/>
    <w:rsid w:val="00584520"/>
    <w:rsid w:val="005846B1"/>
    <w:rsid w:val="00585F8D"/>
    <w:rsid w:val="00587B16"/>
    <w:rsid w:val="00587C25"/>
    <w:rsid w:val="00590231"/>
    <w:rsid w:val="00590457"/>
    <w:rsid w:val="0059143E"/>
    <w:rsid w:val="00591806"/>
    <w:rsid w:val="00591E97"/>
    <w:rsid w:val="00591FDE"/>
    <w:rsid w:val="00592FB1"/>
    <w:rsid w:val="00593015"/>
    <w:rsid w:val="00593302"/>
    <w:rsid w:val="0059467C"/>
    <w:rsid w:val="00594724"/>
    <w:rsid w:val="005949AC"/>
    <w:rsid w:val="005950A1"/>
    <w:rsid w:val="005950EC"/>
    <w:rsid w:val="00595538"/>
    <w:rsid w:val="00597205"/>
    <w:rsid w:val="00597ADF"/>
    <w:rsid w:val="005A0707"/>
    <w:rsid w:val="005A2C86"/>
    <w:rsid w:val="005A2DF4"/>
    <w:rsid w:val="005A3F0A"/>
    <w:rsid w:val="005A5184"/>
    <w:rsid w:val="005A590C"/>
    <w:rsid w:val="005A6B95"/>
    <w:rsid w:val="005B01EF"/>
    <w:rsid w:val="005B0CF4"/>
    <w:rsid w:val="005B0F07"/>
    <w:rsid w:val="005B1CDD"/>
    <w:rsid w:val="005B1E68"/>
    <w:rsid w:val="005B24E5"/>
    <w:rsid w:val="005B2FD8"/>
    <w:rsid w:val="005B36D8"/>
    <w:rsid w:val="005B5A05"/>
    <w:rsid w:val="005B5A51"/>
    <w:rsid w:val="005B7321"/>
    <w:rsid w:val="005C0695"/>
    <w:rsid w:val="005C0C51"/>
    <w:rsid w:val="005C1DC9"/>
    <w:rsid w:val="005C2175"/>
    <w:rsid w:val="005C369E"/>
    <w:rsid w:val="005C3FE2"/>
    <w:rsid w:val="005C4C49"/>
    <w:rsid w:val="005C5D1E"/>
    <w:rsid w:val="005C5D97"/>
    <w:rsid w:val="005C6FC7"/>
    <w:rsid w:val="005C70B4"/>
    <w:rsid w:val="005C7130"/>
    <w:rsid w:val="005C74F9"/>
    <w:rsid w:val="005C7ECF"/>
    <w:rsid w:val="005C7FA9"/>
    <w:rsid w:val="005D03EE"/>
    <w:rsid w:val="005D06F4"/>
    <w:rsid w:val="005D21F9"/>
    <w:rsid w:val="005D2529"/>
    <w:rsid w:val="005D29C8"/>
    <w:rsid w:val="005D3389"/>
    <w:rsid w:val="005D3899"/>
    <w:rsid w:val="005D3944"/>
    <w:rsid w:val="005D3B72"/>
    <w:rsid w:val="005D4BD5"/>
    <w:rsid w:val="005D4CD3"/>
    <w:rsid w:val="005D56E6"/>
    <w:rsid w:val="005D6130"/>
    <w:rsid w:val="005D6B66"/>
    <w:rsid w:val="005D72B2"/>
    <w:rsid w:val="005E049B"/>
    <w:rsid w:val="005E094B"/>
    <w:rsid w:val="005E0BBE"/>
    <w:rsid w:val="005E0CAC"/>
    <w:rsid w:val="005E1181"/>
    <w:rsid w:val="005E17F4"/>
    <w:rsid w:val="005E1871"/>
    <w:rsid w:val="005E19DB"/>
    <w:rsid w:val="005E252B"/>
    <w:rsid w:val="005E32E3"/>
    <w:rsid w:val="005E3BB7"/>
    <w:rsid w:val="005E3DF9"/>
    <w:rsid w:val="005E3F57"/>
    <w:rsid w:val="005E47A1"/>
    <w:rsid w:val="005E4803"/>
    <w:rsid w:val="005E5D5F"/>
    <w:rsid w:val="005E6A46"/>
    <w:rsid w:val="005E7420"/>
    <w:rsid w:val="005F1259"/>
    <w:rsid w:val="005F24B9"/>
    <w:rsid w:val="005F2BDD"/>
    <w:rsid w:val="005F3A20"/>
    <w:rsid w:val="005F4BFB"/>
    <w:rsid w:val="005F5418"/>
    <w:rsid w:val="005F5429"/>
    <w:rsid w:val="005F5F80"/>
    <w:rsid w:val="005F5F91"/>
    <w:rsid w:val="005F5FDD"/>
    <w:rsid w:val="005F5FE3"/>
    <w:rsid w:val="005F6357"/>
    <w:rsid w:val="005F6A3D"/>
    <w:rsid w:val="005F73EE"/>
    <w:rsid w:val="00600A04"/>
    <w:rsid w:val="00600AD3"/>
    <w:rsid w:val="00601117"/>
    <w:rsid w:val="00601677"/>
    <w:rsid w:val="0060167A"/>
    <w:rsid w:val="00602E13"/>
    <w:rsid w:val="00603026"/>
    <w:rsid w:val="00603227"/>
    <w:rsid w:val="00603A2D"/>
    <w:rsid w:val="00604B18"/>
    <w:rsid w:val="00604D2D"/>
    <w:rsid w:val="00605053"/>
    <w:rsid w:val="00606ED0"/>
    <w:rsid w:val="00610898"/>
    <w:rsid w:val="00610B39"/>
    <w:rsid w:val="00611305"/>
    <w:rsid w:val="00611A04"/>
    <w:rsid w:val="00611B19"/>
    <w:rsid w:val="00611EED"/>
    <w:rsid w:val="006145E2"/>
    <w:rsid w:val="00614A7F"/>
    <w:rsid w:val="00614F1B"/>
    <w:rsid w:val="0061501C"/>
    <w:rsid w:val="006153A9"/>
    <w:rsid w:val="00615623"/>
    <w:rsid w:val="00617BA0"/>
    <w:rsid w:val="00617CA3"/>
    <w:rsid w:val="00621403"/>
    <w:rsid w:val="006227A2"/>
    <w:rsid w:val="00623128"/>
    <w:rsid w:val="00623167"/>
    <w:rsid w:val="0062382B"/>
    <w:rsid w:val="006241B6"/>
    <w:rsid w:val="0062459D"/>
    <w:rsid w:val="00624F94"/>
    <w:rsid w:val="0062586E"/>
    <w:rsid w:val="00626342"/>
    <w:rsid w:val="0062797F"/>
    <w:rsid w:val="006279C7"/>
    <w:rsid w:val="00627C5E"/>
    <w:rsid w:val="00630736"/>
    <w:rsid w:val="00630ABC"/>
    <w:rsid w:val="00630C1B"/>
    <w:rsid w:val="006316E6"/>
    <w:rsid w:val="0063209F"/>
    <w:rsid w:val="006328E9"/>
    <w:rsid w:val="006336AE"/>
    <w:rsid w:val="0063440D"/>
    <w:rsid w:val="0063479D"/>
    <w:rsid w:val="00634A22"/>
    <w:rsid w:val="00634B5C"/>
    <w:rsid w:val="00635BEC"/>
    <w:rsid w:val="00635F18"/>
    <w:rsid w:val="0063606C"/>
    <w:rsid w:val="0063712A"/>
    <w:rsid w:val="00637A67"/>
    <w:rsid w:val="0064039F"/>
    <w:rsid w:val="00641265"/>
    <w:rsid w:val="006413C0"/>
    <w:rsid w:val="00642C2B"/>
    <w:rsid w:val="0064583F"/>
    <w:rsid w:val="00645A45"/>
    <w:rsid w:val="00646AB5"/>
    <w:rsid w:val="006505BA"/>
    <w:rsid w:val="006519EB"/>
    <w:rsid w:val="006519EE"/>
    <w:rsid w:val="00651B82"/>
    <w:rsid w:val="00651CCC"/>
    <w:rsid w:val="00651E00"/>
    <w:rsid w:val="00653DB7"/>
    <w:rsid w:val="00653F0C"/>
    <w:rsid w:val="006546B7"/>
    <w:rsid w:val="006546E6"/>
    <w:rsid w:val="006547BB"/>
    <w:rsid w:val="00654A06"/>
    <w:rsid w:val="00655804"/>
    <w:rsid w:val="006559F0"/>
    <w:rsid w:val="0065600B"/>
    <w:rsid w:val="0065629D"/>
    <w:rsid w:val="00656F50"/>
    <w:rsid w:val="006574AD"/>
    <w:rsid w:val="00661CF1"/>
    <w:rsid w:val="00661E53"/>
    <w:rsid w:val="00662798"/>
    <w:rsid w:val="006635E0"/>
    <w:rsid w:val="00664CC5"/>
    <w:rsid w:val="0066528A"/>
    <w:rsid w:val="00665371"/>
    <w:rsid w:val="0066692E"/>
    <w:rsid w:val="006670CC"/>
    <w:rsid w:val="0066727D"/>
    <w:rsid w:val="00667DC5"/>
    <w:rsid w:val="00667DC6"/>
    <w:rsid w:val="006706A5"/>
    <w:rsid w:val="006709E8"/>
    <w:rsid w:val="00670A6E"/>
    <w:rsid w:val="00671538"/>
    <w:rsid w:val="00671943"/>
    <w:rsid w:val="00671BD7"/>
    <w:rsid w:val="006723C5"/>
    <w:rsid w:val="00672C90"/>
    <w:rsid w:val="006731A8"/>
    <w:rsid w:val="00673649"/>
    <w:rsid w:val="0067389A"/>
    <w:rsid w:val="006745EC"/>
    <w:rsid w:val="00674AA8"/>
    <w:rsid w:val="00674BAB"/>
    <w:rsid w:val="006755F0"/>
    <w:rsid w:val="00675E1D"/>
    <w:rsid w:val="00676656"/>
    <w:rsid w:val="0067670A"/>
    <w:rsid w:val="00676A88"/>
    <w:rsid w:val="00676CF8"/>
    <w:rsid w:val="00676D24"/>
    <w:rsid w:val="006773F1"/>
    <w:rsid w:val="0068099A"/>
    <w:rsid w:val="0068194B"/>
    <w:rsid w:val="006819C1"/>
    <w:rsid w:val="00681F21"/>
    <w:rsid w:val="00682324"/>
    <w:rsid w:val="00682675"/>
    <w:rsid w:val="00682D32"/>
    <w:rsid w:val="006858EA"/>
    <w:rsid w:val="006860D8"/>
    <w:rsid w:val="006863D0"/>
    <w:rsid w:val="0068675F"/>
    <w:rsid w:val="00686DD1"/>
    <w:rsid w:val="00687C9C"/>
    <w:rsid w:val="00690572"/>
    <w:rsid w:val="00690C4F"/>
    <w:rsid w:val="00691702"/>
    <w:rsid w:val="006917EC"/>
    <w:rsid w:val="00691CF7"/>
    <w:rsid w:val="00691F7A"/>
    <w:rsid w:val="00692EBE"/>
    <w:rsid w:val="00692F38"/>
    <w:rsid w:val="00693223"/>
    <w:rsid w:val="00693C28"/>
    <w:rsid w:val="00693E5C"/>
    <w:rsid w:val="00693EF7"/>
    <w:rsid w:val="00694167"/>
    <w:rsid w:val="006946F3"/>
    <w:rsid w:val="00694C5F"/>
    <w:rsid w:val="0069528B"/>
    <w:rsid w:val="00695334"/>
    <w:rsid w:val="00695959"/>
    <w:rsid w:val="00697E5A"/>
    <w:rsid w:val="006A0D35"/>
    <w:rsid w:val="006A0EC7"/>
    <w:rsid w:val="006A0F5D"/>
    <w:rsid w:val="006A12A9"/>
    <w:rsid w:val="006A28D0"/>
    <w:rsid w:val="006A2D45"/>
    <w:rsid w:val="006A2F2C"/>
    <w:rsid w:val="006A37C4"/>
    <w:rsid w:val="006A3EEF"/>
    <w:rsid w:val="006A4272"/>
    <w:rsid w:val="006A46C7"/>
    <w:rsid w:val="006A46FF"/>
    <w:rsid w:val="006A4728"/>
    <w:rsid w:val="006A4872"/>
    <w:rsid w:val="006A4B3E"/>
    <w:rsid w:val="006A572B"/>
    <w:rsid w:val="006A7DF9"/>
    <w:rsid w:val="006B0107"/>
    <w:rsid w:val="006B2292"/>
    <w:rsid w:val="006B4930"/>
    <w:rsid w:val="006B4A62"/>
    <w:rsid w:val="006B5E83"/>
    <w:rsid w:val="006B6AEC"/>
    <w:rsid w:val="006B7126"/>
    <w:rsid w:val="006C0085"/>
    <w:rsid w:val="006C09EA"/>
    <w:rsid w:val="006C181B"/>
    <w:rsid w:val="006C2D3D"/>
    <w:rsid w:val="006C34AD"/>
    <w:rsid w:val="006C3F46"/>
    <w:rsid w:val="006C3F4A"/>
    <w:rsid w:val="006C3F73"/>
    <w:rsid w:val="006C43CA"/>
    <w:rsid w:val="006C520D"/>
    <w:rsid w:val="006C59B5"/>
    <w:rsid w:val="006C64CD"/>
    <w:rsid w:val="006D0016"/>
    <w:rsid w:val="006D05FE"/>
    <w:rsid w:val="006D2291"/>
    <w:rsid w:val="006D35E1"/>
    <w:rsid w:val="006D3CA2"/>
    <w:rsid w:val="006D4341"/>
    <w:rsid w:val="006D4BB2"/>
    <w:rsid w:val="006D4FE9"/>
    <w:rsid w:val="006D52F3"/>
    <w:rsid w:val="006E2695"/>
    <w:rsid w:val="006E274D"/>
    <w:rsid w:val="006E2CD3"/>
    <w:rsid w:val="006E2DE9"/>
    <w:rsid w:val="006E331E"/>
    <w:rsid w:val="006E3E5C"/>
    <w:rsid w:val="006E4F97"/>
    <w:rsid w:val="006E67B1"/>
    <w:rsid w:val="006E68D1"/>
    <w:rsid w:val="006F06B0"/>
    <w:rsid w:val="006F17B3"/>
    <w:rsid w:val="006F1DA3"/>
    <w:rsid w:val="006F321A"/>
    <w:rsid w:val="006F35AB"/>
    <w:rsid w:val="006F37DD"/>
    <w:rsid w:val="006F43ED"/>
    <w:rsid w:val="006F5101"/>
    <w:rsid w:val="006F51B0"/>
    <w:rsid w:val="006F5201"/>
    <w:rsid w:val="006F56C3"/>
    <w:rsid w:val="006F62DE"/>
    <w:rsid w:val="006F76B4"/>
    <w:rsid w:val="00700207"/>
    <w:rsid w:val="007005D7"/>
    <w:rsid w:val="00700AF5"/>
    <w:rsid w:val="00700B3C"/>
    <w:rsid w:val="007017DE"/>
    <w:rsid w:val="007039CB"/>
    <w:rsid w:val="00703A2D"/>
    <w:rsid w:val="00704BB9"/>
    <w:rsid w:val="0070554F"/>
    <w:rsid w:val="00707E1F"/>
    <w:rsid w:val="00707EEE"/>
    <w:rsid w:val="0071332E"/>
    <w:rsid w:val="00715531"/>
    <w:rsid w:val="00715924"/>
    <w:rsid w:val="00716C56"/>
    <w:rsid w:val="007204AF"/>
    <w:rsid w:val="00720904"/>
    <w:rsid w:val="00720967"/>
    <w:rsid w:val="00720EC1"/>
    <w:rsid w:val="00721E0A"/>
    <w:rsid w:val="007226B1"/>
    <w:rsid w:val="00722760"/>
    <w:rsid w:val="00722C16"/>
    <w:rsid w:val="0072304B"/>
    <w:rsid w:val="00723AA5"/>
    <w:rsid w:val="00723BB4"/>
    <w:rsid w:val="007244A4"/>
    <w:rsid w:val="0072647E"/>
    <w:rsid w:val="00727D26"/>
    <w:rsid w:val="007306CE"/>
    <w:rsid w:val="00730AB2"/>
    <w:rsid w:val="007318E4"/>
    <w:rsid w:val="0073215F"/>
    <w:rsid w:val="0073297C"/>
    <w:rsid w:val="0073335C"/>
    <w:rsid w:val="00733490"/>
    <w:rsid w:val="00733975"/>
    <w:rsid w:val="007340FD"/>
    <w:rsid w:val="00734568"/>
    <w:rsid w:val="00735302"/>
    <w:rsid w:val="00735F11"/>
    <w:rsid w:val="00737465"/>
    <w:rsid w:val="00737B8B"/>
    <w:rsid w:val="007420D3"/>
    <w:rsid w:val="00742690"/>
    <w:rsid w:val="00743D07"/>
    <w:rsid w:val="00743F75"/>
    <w:rsid w:val="0074627E"/>
    <w:rsid w:val="00746A93"/>
    <w:rsid w:val="00746FA5"/>
    <w:rsid w:val="007474E8"/>
    <w:rsid w:val="0074787A"/>
    <w:rsid w:val="00747DA8"/>
    <w:rsid w:val="00750977"/>
    <w:rsid w:val="00750B2A"/>
    <w:rsid w:val="00750E1D"/>
    <w:rsid w:val="00751D45"/>
    <w:rsid w:val="007521BC"/>
    <w:rsid w:val="00752BA2"/>
    <w:rsid w:val="007532CC"/>
    <w:rsid w:val="00753E12"/>
    <w:rsid w:val="00754258"/>
    <w:rsid w:val="007559E6"/>
    <w:rsid w:val="00755C9C"/>
    <w:rsid w:val="00756476"/>
    <w:rsid w:val="007574B3"/>
    <w:rsid w:val="00757D4A"/>
    <w:rsid w:val="007620AE"/>
    <w:rsid w:val="00762618"/>
    <w:rsid w:val="00762A1B"/>
    <w:rsid w:val="00764252"/>
    <w:rsid w:val="007647E5"/>
    <w:rsid w:val="007655F1"/>
    <w:rsid w:val="007656D3"/>
    <w:rsid w:val="007660F4"/>
    <w:rsid w:val="00766615"/>
    <w:rsid w:val="007669A4"/>
    <w:rsid w:val="007711C3"/>
    <w:rsid w:val="00773D9D"/>
    <w:rsid w:val="00774343"/>
    <w:rsid w:val="0077584A"/>
    <w:rsid w:val="00776B32"/>
    <w:rsid w:val="007810F3"/>
    <w:rsid w:val="00782D00"/>
    <w:rsid w:val="00783209"/>
    <w:rsid w:val="00783E7B"/>
    <w:rsid w:val="007841A3"/>
    <w:rsid w:val="007847EA"/>
    <w:rsid w:val="0078491A"/>
    <w:rsid w:val="0078575A"/>
    <w:rsid w:val="0078597C"/>
    <w:rsid w:val="00785D8F"/>
    <w:rsid w:val="00785E87"/>
    <w:rsid w:val="00786A3B"/>
    <w:rsid w:val="007908DA"/>
    <w:rsid w:val="00790CEF"/>
    <w:rsid w:val="00792892"/>
    <w:rsid w:val="00792C2B"/>
    <w:rsid w:val="00793A12"/>
    <w:rsid w:val="00794108"/>
    <w:rsid w:val="00795387"/>
    <w:rsid w:val="00795585"/>
    <w:rsid w:val="007964AA"/>
    <w:rsid w:val="00796B54"/>
    <w:rsid w:val="00797F84"/>
    <w:rsid w:val="007A0157"/>
    <w:rsid w:val="007A2331"/>
    <w:rsid w:val="007A28ED"/>
    <w:rsid w:val="007A2967"/>
    <w:rsid w:val="007A2D2D"/>
    <w:rsid w:val="007A3DDB"/>
    <w:rsid w:val="007A4C3C"/>
    <w:rsid w:val="007A50B5"/>
    <w:rsid w:val="007A5867"/>
    <w:rsid w:val="007A72B5"/>
    <w:rsid w:val="007A72EF"/>
    <w:rsid w:val="007B10AC"/>
    <w:rsid w:val="007B16B0"/>
    <w:rsid w:val="007B1801"/>
    <w:rsid w:val="007B183D"/>
    <w:rsid w:val="007B257C"/>
    <w:rsid w:val="007B3108"/>
    <w:rsid w:val="007B5DA7"/>
    <w:rsid w:val="007B6674"/>
    <w:rsid w:val="007B6847"/>
    <w:rsid w:val="007B6F00"/>
    <w:rsid w:val="007B7637"/>
    <w:rsid w:val="007B7C91"/>
    <w:rsid w:val="007C1944"/>
    <w:rsid w:val="007C28B8"/>
    <w:rsid w:val="007C3794"/>
    <w:rsid w:val="007C39FD"/>
    <w:rsid w:val="007C425F"/>
    <w:rsid w:val="007C44C6"/>
    <w:rsid w:val="007C4A28"/>
    <w:rsid w:val="007C4BB0"/>
    <w:rsid w:val="007C4C76"/>
    <w:rsid w:val="007C626B"/>
    <w:rsid w:val="007C6E73"/>
    <w:rsid w:val="007C6ED6"/>
    <w:rsid w:val="007C72CB"/>
    <w:rsid w:val="007C7548"/>
    <w:rsid w:val="007C7E5E"/>
    <w:rsid w:val="007D0608"/>
    <w:rsid w:val="007D1989"/>
    <w:rsid w:val="007D4047"/>
    <w:rsid w:val="007D4EAA"/>
    <w:rsid w:val="007D5042"/>
    <w:rsid w:val="007D540E"/>
    <w:rsid w:val="007D5751"/>
    <w:rsid w:val="007D647D"/>
    <w:rsid w:val="007D659E"/>
    <w:rsid w:val="007D6CAA"/>
    <w:rsid w:val="007D6E4E"/>
    <w:rsid w:val="007D6FAE"/>
    <w:rsid w:val="007D718F"/>
    <w:rsid w:val="007D7AAF"/>
    <w:rsid w:val="007E0382"/>
    <w:rsid w:val="007E0AE5"/>
    <w:rsid w:val="007E183F"/>
    <w:rsid w:val="007E1973"/>
    <w:rsid w:val="007E1E41"/>
    <w:rsid w:val="007E2D4E"/>
    <w:rsid w:val="007E34FB"/>
    <w:rsid w:val="007E4454"/>
    <w:rsid w:val="007E5626"/>
    <w:rsid w:val="007E59FB"/>
    <w:rsid w:val="007E635D"/>
    <w:rsid w:val="007E67CE"/>
    <w:rsid w:val="007E686F"/>
    <w:rsid w:val="007E76E4"/>
    <w:rsid w:val="007E7E04"/>
    <w:rsid w:val="007F03DE"/>
    <w:rsid w:val="007F22FC"/>
    <w:rsid w:val="007F2FB7"/>
    <w:rsid w:val="007F322D"/>
    <w:rsid w:val="007F4D7B"/>
    <w:rsid w:val="007F5DAE"/>
    <w:rsid w:val="007F6880"/>
    <w:rsid w:val="007F6B29"/>
    <w:rsid w:val="007F7279"/>
    <w:rsid w:val="007F7301"/>
    <w:rsid w:val="0080008E"/>
    <w:rsid w:val="00800496"/>
    <w:rsid w:val="00800C20"/>
    <w:rsid w:val="00800F4F"/>
    <w:rsid w:val="00801228"/>
    <w:rsid w:val="00801431"/>
    <w:rsid w:val="0080175D"/>
    <w:rsid w:val="00801BEC"/>
    <w:rsid w:val="0080256C"/>
    <w:rsid w:val="008026AF"/>
    <w:rsid w:val="00802850"/>
    <w:rsid w:val="008029B4"/>
    <w:rsid w:val="00803AF5"/>
    <w:rsid w:val="008052E7"/>
    <w:rsid w:val="00805330"/>
    <w:rsid w:val="00806AA2"/>
    <w:rsid w:val="008072AD"/>
    <w:rsid w:val="00807D0D"/>
    <w:rsid w:val="00807E2B"/>
    <w:rsid w:val="00810B91"/>
    <w:rsid w:val="00810DED"/>
    <w:rsid w:val="00811404"/>
    <w:rsid w:val="008116A4"/>
    <w:rsid w:val="0081199B"/>
    <w:rsid w:val="00811F69"/>
    <w:rsid w:val="008127D9"/>
    <w:rsid w:val="00812EDA"/>
    <w:rsid w:val="00814338"/>
    <w:rsid w:val="00816030"/>
    <w:rsid w:val="00816073"/>
    <w:rsid w:val="008174BA"/>
    <w:rsid w:val="00817605"/>
    <w:rsid w:val="00817A60"/>
    <w:rsid w:val="00820824"/>
    <w:rsid w:val="008211FD"/>
    <w:rsid w:val="00821399"/>
    <w:rsid w:val="00821674"/>
    <w:rsid w:val="00821AA9"/>
    <w:rsid w:val="00821E6A"/>
    <w:rsid w:val="008222BE"/>
    <w:rsid w:val="00823A00"/>
    <w:rsid w:val="008248D3"/>
    <w:rsid w:val="00825BDA"/>
    <w:rsid w:val="00826301"/>
    <w:rsid w:val="008265FF"/>
    <w:rsid w:val="00826E91"/>
    <w:rsid w:val="0082729F"/>
    <w:rsid w:val="00827731"/>
    <w:rsid w:val="00830A7B"/>
    <w:rsid w:val="00830F4F"/>
    <w:rsid w:val="008317DB"/>
    <w:rsid w:val="00832232"/>
    <w:rsid w:val="00832354"/>
    <w:rsid w:val="008328EB"/>
    <w:rsid w:val="00832ED9"/>
    <w:rsid w:val="00832F3C"/>
    <w:rsid w:val="0083334D"/>
    <w:rsid w:val="00833758"/>
    <w:rsid w:val="0083431A"/>
    <w:rsid w:val="00834FA4"/>
    <w:rsid w:val="008352B8"/>
    <w:rsid w:val="0083706D"/>
    <w:rsid w:val="0083735B"/>
    <w:rsid w:val="0083785A"/>
    <w:rsid w:val="00837CA6"/>
    <w:rsid w:val="00837EC0"/>
    <w:rsid w:val="0084069B"/>
    <w:rsid w:val="00840A06"/>
    <w:rsid w:val="00840D03"/>
    <w:rsid w:val="00840E15"/>
    <w:rsid w:val="00841C1F"/>
    <w:rsid w:val="008429EA"/>
    <w:rsid w:val="00842E35"/>
    <w:rsid w:val="00842ECD"/>
    <w:rsid w:val="00843BFF"/>
    <w:rsid w:val="0084414B"/>
    <w:rsid w:val="00844413"/>
    <w:rsid w:val="00844586"/>
    <w:rsid w:val="008445FF"/>
    <w:rsid w:val="00845003"/>
    <w:rsid w:val="0084793B"/>
    <w:rsid w:val="008502FD"/>
    <w:rsid w:val="00851083"/>
    <w:rsid w:val="008520EF"/>
    <w:rsid w:val="00852198"/>
    <w:rsid w:val="0085439A"/>
    <w:rsid w:val="00854D27"/>
    <w:rsid w:val="00855D52"/>
    <w:rsid w:val="00855F0F"/>
    <w:rsid w:val="00857F31"/>
    <w:rsid w:val="00860E25"/>
    <w:rsid w:val="00861874"/>
    <w:rsid w:val="00861CBA"/>
    <w:rsid w:val="008650A1"/>
    <w:rsid w:val="00865B09"/>
    <w:rsid w:val="008666C7"/>
    <w:rsid w:val="00867B55"/>
    <w:rsid w:val="008706D8"/>
    <w:rsid w:val="0087251D"/>
    <w:rsid w:val="00872831"/>
    <w:rsid w:val="00872EE7"/>
    <w:rsid w:val="008730CB"/>
    <w:rsid w:val="00873823"/>
    <w:rsid w:val="00875A24"/>
    <w:rsid w:val="00875B48"/>
    <w:rsid w:val="00876288"/>
    <w:rsid w:val="008768D3"/>
    <w:rsid w:val="00876DDF"/>
    <w:rsid w:val="00876FC5"/>
    <w:rsid w:val="00877191"/>
    <w:rsid w:val="00877571"/>
    <w:rsid w:val="00877DEF"/>
    <w:rsid w:val="00880857"/>
    <w:rsid w:val="00880A41"/>
    <w:rsid w:val="00880B99"/>
    <w:rsid w:val="00884061"/>
    <w:rsid w:val="00884295"/>
    <w:rsid w:val="0088499D"/>
    <w:rsid w:val="00885E01"/>
    <w:rsid w:val="008870CC"/>
    <w:rsid w:val="008870E9"/>
    <w:rsid w:val="008873B6"/>
    <w:rsid w:val="00887E60"/>
    <w:rsid w:val="00887FD9"/>
    <w:rsid w:val="0089007E"/>
    <w:rsid w:val="00890994"/>
    <w:rsid w:val="00890E66"/>
    <w:rsid w:val="00891E54"/>
    <w:rsid w:val="00892FB1"/>
    <w:rsid w:val="00893D5D"/>
    <w:rsid w:val="00894744"/>
    <w:rsid w:val="00894FCC"/>
    <w:rsid w:val="00895198"/>
    <w:rsid w:val="008953B9"/>
    <w:rsid w:val="00895E9A"/>
    <w:rsid w:val="00896B47"/>
    <w:rsid w:val="00896CCA"/>
    <w:rsid w:val="00896DF4"/>
    <w:rsid w:val="008A06B3"/>
    <w:rsid w:val="008A0795"/>
    <w:rsid w:val="008A10AF"/>
    <w:rsid w:val="008A1264"/>
    <w:rsid w:val="008A14B5"/>
    <w:rsid w:val="008A1C16"/>
    <w:rsid w:val="008A2654"/>
    <w:rsid w:val="008A3A49"/>
    <w:rsid w:val="008A3A71"/>
    <w:rsid w:val="008A45F0"/>
    <w:rsid w:val="008A4869"/>
    <w:rsid w:val="008A6409"/>
    <w:rsid w:val="008A66F2"/>
    <w:rsid w:val="008A6CFC"/>
    <w:rsid w:val="008A77FE"/>
    <w:rsid w:val="008A79AE"/>
    <w:rsid w:val="008B02A7"/>
    <w:rsid w:val="008B0449"/>
    <w:rsid w:val="008B0F2A"/>
    <w:rsid w:val="008B16EB"/>
    <w:rsid w:val="008B2671"/>
    <w:rsid w:val="008B26FF"/>
    <w:rsid w:val="008B2AD7"/>
    <w:rsid w:val="008B3702"/>
    <w:rsid w:val="008B3D96"/>
    <w:rsid w:val="008B586F"/>
    <w:rsid w:val="008B6732"/>
    <w:rsid w:val="008B7698"/>
    <w:rsid w:val="008C0675"/>
    <w:rsid w:val="008C0763"/>
    <w:rsid w:val="008C3179"/>
    <w:rsid w:val="008C33BE"/>
    <w:rsid w:val="008C34CA"/>
    <w:rsid w:val="008C3A42"/>
    <w:rsid w:val="008C3F94"/>
    <w:rsid w:val="008C400F"/>
    <w:rsid w:val="008C4880"/>
    <w:rsid w:val="008C4AA0"/>
    <w:rsid w:val="008C4F1D"/>
    <w:rsid w:val="008C6257"/>
    <w:rsid w:val="008C6731"/>
    <w:rsid w:val="008D02BC"/>
    <w:rsid w:val="008D0F94"/>
    <w:rsid w:val="008D1DC9"/>
    <w:rsid w:val="008D385E"/>
    <w:rsid w:val="008D3A33"/>
    <w:rsid w:val="008D3BF3"/>
    <w:rsid w:val="008D3CC5"/>
    <w:rsid w:val="008D436B"/>
    <w:rsid w:val="008D489C"/>
    <w:rsid w:val="008D586E"/>
    <w:rsid w:val="008D5AC5"/>
    <w:rsid w:val="008D6627"/>
    <w:rsid w:val="008D71A6"/>
    <w:rsid w:val="008E0EA5"/>
    <w:rsid w:val="008E16A1"/>
    <w:rsid w:val="008E273D"/>
    <w:rsid w:val="008E37C5"/>
    <w:rsid w:val="008E5087"/>
    <w:rsid w:val="008E513C"/>
    <w:rsid w:val="008E5C97"/>
    <w:rsid w:val="008E61CC"/>
    <w:rsid w:val="008E643D"/>
    <w:rsid w:val="008E7160"/>
    <w:rsid w:val="008E72DD"/>
    <w:rsid w:val="008E7346"/>
    <w:rsid w:val="008F0BEC"/>
    <w:rsid w:val="008F11D7"/>
    <w:rsid w:val="008F1878"/>
    <w:rsid w:val="008F1BA1"/>
    <w:rsid w:val="008F238A"/>
    <w:rsid w:val="008F2C63"/>
    <w:rsid w:val="008F50F1"/>
    <w:rsid w:val="008F515D"/>
    <w:rsid w:val="008F52F3"/>
    <w:rsid w:val="008F5396"/>
    <w:rsid w:val="008F5714"/>
    <w:rsid w:val="008F6582"/>
    <w:rsid w:val="008F66F6"/>
    <w:rsid w:val="008F6F9D"/>
    <w:rsid w:val="008F73AF"/>
    <w:rsid w:val="008F75FF"/>
    <w:rsid w:val="008F7871"/>
    <w:rsid w:val="008F78CF"/>
    <w:rsid w:val="008F7A10"/>
    <w:rsid w:val="00900091"/>
    <w:rsid w:val="00902C2A"/>
    <w:rsid w:val="00902EC6"/>
    <w:rsid w:val="00903FEB"/>
    <w:rsid w:val="0090461B"/>
    <w:rsid w:val="00905080"/>
    <w:rsid w:val="009068C0"/>
    <w:rsid w:val="00907BA2"/>
    <w:rsid w:val="00907D59"/>
    <w:rsid w:val="00907F90"/>
    <w:rsid w:val="0091040D"/>
    <w:rsid w:val="009105AE"/>
    <w:rsid w:val="00910DB9"/>
    <w:rsid w:val="0091242C"/>
    <w:rsid w:val="00912F30"/>
    <w:rsid w:val="00912F91"/>
    <w:rsid w:val="00913F51"/>
    <w:rsid w:val="00914385"/>
    <w:rsid w:val="00914452"/>
    <w:rsid w:val="009146F0"/>
    <w:rsid w:val="00914F90"/>
    <w:rsid w:val="009160CE"/>
    <w:rsid w:val="00916B45"/>
    <w:rsid w:val="00917053"/>
    <w:rsid w:val="0091708C"/>
    <w:rsid w:val="00917D8F"/>
    <w:rsid w:val="00917DBC"/>
    <w:rsid w:val="009207A4"/>
    <w:rsid w:val="00920FFA"/>
    <w:rsid w:val="009216D1"/>
    <w:rsid w:val="00921F8D"/>
    <w:rsid w:val="009222F7"/>
    <w:rsid w:val="009229A7"/>
    <w:rsid w:val="00922A5A"/>
    <w:rsid w:val="00922F8F"/>
    <w:rsid w:val="00923AFD"/>
    <w:rsid w:val="00923CA3"/>
    <w:rsid w:val="00924429"/>
    <w:rsid w:val="009246E1"/>
    <w:rsid w:val="009246E7"/>
    <w:rsid w:val="0092491A"/>
    <w:rsid w:val="009251C5"/>
    <w:rsid w:val="00925331"/>
    <w:rsid w:val="009260ED"/>
    <w:rsid w:val="00926390"/>
    <w:rsid w:val="00926409"/>
    <w:rsid w:val="00926564"/>
    <w:rsid w:val="00926651"/>
    <w:rsid w:val="00930481"/>
    <w:rsid w:val="0093244E"/>
    <w:rsid w:val="00932B7C"/>
    <w:rsid w:val="00932DC5"/>
    <w:rsid w:val="00934214"/>
    <w:rsid w:val="00934663"/>
    <w:rsid w:val="0093494B"/>
    <w:rsid w:val="00934C72"/>
    <w:rsid w:val="00934E20"/>
    <w:rsid w:val="00935776"/>
    <w:rsid w:val="00935B38"/>
    <w:rsid w:val="00936470"/>
    <w:rsid w:val="00936676"/>
    <w:rsid w:val="00937D59"/>
    <w:rsid w:val="00942037"/>
    <w:rsid w:val="00942530"/>
    <w:rsid w:val="00942E03"/>
    <w:rsid w:val="0094371B"/>
    <w:rsid w:val="00943B03"/>
    <w:rsid w:val="00943D31"/>
    <w:rsid w:val="009444BC"/>
    <w:rsid w:val="00944675"/>
    <w:rsid w:val="009453C7"/>
    <w:rsid w:val="0094592D"/>
    <w:rsid w:val="00945945"/>
    <w:rsid w:val="00945AB3"/>
    <w:rsid w:val="00945E1A"/>
    <w:rsid w:val="0094661A"/>
    <w:rsid w:val="00947783"/>
    <w:rsid w:val="00947F50"/>
    <w:rsid w:val="0095030F"/>
    <w:rsid w:val="00950E3B"/>
    <w:rsid w:val="00950F29"/>
    <w:rsid w:val="00951803"/>
    <w:rsid w:val="00952BFE"/>
    <w:rsid w:val="0095425C"/>
    <w:rsid w:val="00955537"/>
    <w:rsid w:val="00955AB3"/>
    <w:rsid w:val="00956AAE"/>
    <w:rsid w:val="00956E34"/>
    <w:rsid w:val="00956FB3"/>
    <w:rsid w:val="0096050A"/>
    <w:rsid w:val="00962C20"/>
    <w:rsid w:val="00964A36"/>
    <w:rsid w:val="009654D5"/>
    <w:rsid w:val="00965508"/>
    <w:rsid w:val="00965917"/>
    <w:rsid w:val="00965E73"/>
    <w:rsid w:val="00966070"/>
    <w:rsid w:val="00966653"/>
    <w:rsid w:val="00966A10"/>
    <w:rsid w:val="00966F94"/>
    <w:rsid w:val="00966FBE"/>
    <w:rsid w:val="00967F33"/>
    <w:rsid w:val="00970005"/>
    <w:rsid w:val="00970C9E"/>
    <w:rsid w:val="00971432"/>
    <w:rsid w:val="00971B35"/>
    <w:rsid w:val="00971F6F"/>
    <w:rsid w:val="009722AC"/>
    <w:rsid w:val="0097248E"/>
    <w:rsid w:val="00973F94"/>
    <w:rsid w:val="0097426B"/>
    <w:rsid w:val="00974D10"/>
    <w:rsid w:val="00976F39"/>
    <w:rsid w:val="0098001A"/>
    <w:rsid w:val="00980C15"/>
    <w:rsid w:val="009818F6"/>
    <w:rsid w:val="00982683"/>
    <w:rsid w:val="00982961"/>
    <w:rsid w:val="00982F76"/>
    <w:rsid w:val="00983183"/>
    <w:rsid w:val="0098340C"/>
    <w:rsid w:val="00983BB8"/>
    <w:rsid w:val="009851E5"/>
    <w:rsid w:val="0098540B"/>
    <w:rsid w:val="00985BD3"/>
    <w:rsid w:val="00986E8D"/>
    <w:rsid w:val="0098746A"/>
    <w:rsid w:val="00987982"/>
    <w:rsid w:val="00987D44"/>
    <w:rsid w:val="00993187"/>
    <w:rsid w:val="00993358"/>
    <w:rsid w:val="009942DB"/>
    <w:rsid w:val="00994D2D"/>
    <w:rsid w:val="009957E2"/>
    <w:rsid w:val="00995808"/>
    <w:rsid w:val="00996EAC"/>
    <w:rsid w:val="00997EC9"/>
    <w:rsid w:val="009A0171"/>
    <w:rsid w:val="009A2B1E"/>
    <w:rsid w:val="009A340E"/>
    <w:rsid w:val="009A3551"/>
    <w:rsid w:val="009A37A8"/>
    <w:rsid w:val="009A5722"/>
    <w:rsid w:val="009A5937"/>
    <w:rsid w:val="009A60C6"/>
    <w:rsid w:val="009A623A"/>
    <w:rsid w:val="009A7008"/>
    <w:rsid w:val="009A7848"/>
    <w:rsid w:val="009A79F3"/>
    <w:rsid w:val="009B0733"/>
    <w:rsid w:val="009B15CC"/>
    <w:rsid w:val="009B2C81"/>
    <w:rsid w:val="009B41FA"/>
    <w:rsid w:val="009B41FF"/>
    <w:rsid w:val="009B529F"/>
    <w:rsid w:val="009B5749"/>
    <w:rsid w:val="009B586C"/>
    <w:rsid w:val="009B5D8F"/>
    <w:rsid w:val="009B6174"/>
    <w:rsid w:val="009B6CBB"/>
    <w:rsid w:val="009B6F26"/>
    <w:rsid w:val="009B749F"/>
    <w:rsid w:val="009B7C6F"/>
    <w:rsid w:val="009B7CD0"/>
    <w:rsid w:val="009C0708"/>
    <w:rsid w:val="009C0CBE"/>
    <w:rsid w:val="009C2F91"/>
    <w:rsid w:val="009C33AF"/>
    <w:rsid w:val="009C3462"/>
    <w:rsid w:val="009C47D1"/>
    <w:rsid w:val="009C4CAB"/>
    <w:rsid w:val="009C5C81"/>
    <w:rsid w:val="009C5E8F"/>
    <w:rsid w:val="009C7106"/>
    <w:rsid w:val="009D007A"/>
    <w:rsid w:val="009D0408"/>
    <w:rsid w:val="009D0CA1"/>
    <w:rsid w:val="009D1960"/>
    <w:rsid w:val="009D303F"/>
    <w:rsid w:val="009D3575"/>
    <w:rsid w:val="009D3DA5"/>
    <w:rsid w:val="009D47B6"/>
    <w:rsid w:val="009D5049"/>
    <w:rsid w:val="009D53B9"/>
    <w:rsid w:val="009D6AE1"/>
    <w:rsid w:val="009D6B98"/>
    <w:rsid w:val="009D6DD1"/>
    <w:rsid w:val="009D781E"/>
    <w:rsid w:val="009E0B1D"/>
    <w:rsid w:val="009E43CB"/>
    <w:rsid w:val="009E49D0"/>
    <w:rsid w:val="009E4F15"/>
    <w:rsid w:val="009E628D"/>
    <w:rsid w:val="009E6C1E"/>
    <w:rsid w:val="009E6C4A"/>
    <w:rsid w:val="009F062E"/>
    <w:rsid w:val="009F0768"/>
    <w:rsid w:val="009F0A82"/>
    <w:rsid w:val="009F10D5"/>
    <w:rsid w:val="009F1DFB"/>
    <w:rsid w:val="009F2D97"/>
    <w:rsid w:val="009F438A"/>
    <w:rsid w:val="009F4DB0"/>
    <w:rsid w:val="009F5232"/>
    <w:rsid w:val="009F6089"/>
    <w:rsid w:val="009F6437"/>
    <w:rsid w:val="009F6BB7"/>
    <w:rsid w:val="00A0011C"/>
    <w:rsid w:val="00A01246"/>
    <w:rsid w:val="00A01556"/>
    <w:rsid w:val="00A0171C"/>
    <w:rsid w:val="00A01C3B"/>
    <w:rsid w:val="00A01C3F"/>
    <w:rsid w:val="00A04B1A"/>
    <w:rsid w:val="00A0516D"/>
    <w:rsid w:val="00A051E2"/>
    <w:rsid w:val="00A055EC"/>
    <w:rsid w:val="00A05A9D"/>
    <w:rsid w:val="00A05B23"/>
    <w:rsid w:val="00A06BA1"/>
    <w:rsid w:val="00A06D36"/>
    <w:rsid w:val="00A06D96"/>
    <w:rsid w:val="00A06E67"/>
    <w:rsid w:val="00A071CA"/>
    <w:rsid w:val="00A0749B"/>
    <w:rsid w:val="00A07F03"/>
    <w:rsid w:val="00A07FD3"/>
    <w:rsid w:val="00A10007"/>
    <w:rsid w:val="00A100F6"/>
    <w:rsid w:val="00A1080B"/>
    <w:rsid w:val="00A10ECF"/>
    <w:rsid w:val="00A11501"/>
    <w:rsid w:val="00A12734"/>
    <w:rsid w:val="00A12821"/>
    <w:rsid w:val="00A12886"/>
    <w:rsid w:val="00A12930"/>
    <w:rsid w:val="00A14509"/>
    <w:rsid w:val="00A14A3A"/>
    <w:rsid w:val="00A15527"/>
    <w:rsid w:val="00A15BD7"/>
    <w:rsid w:val="00A16C94"/>
    <w:rsid w:val="00A17182"/>
    <w:rsid w:val="00A17EDA"/>
    <w:rsid w:val="00A20241"/>
    <w:rsid w:val="00A20B66"/>
    <w:rsid w:val="00A20D43"/>
    <w:rsid w:val="00A225C7"/>
    <w:rsid w:val="00A22C0F"/>
    <w:rsid w:val="00A24662"/>
    <w:rsid w:val="00A24672"/>
    <w:rsid w:val="00A24C43"/>
    <w:rsid w:val="00A24E39"/>
    <w:rsid w:val="00A24F11"/>
    <w:rsid w:val="00A25098"/>
    <w:rsid w:val="00A25D96"/>
    <w:rsid w:val="00A26950"/>
    <w:rsid w:val="00A26B02"/>
    <w:rsid w:val="00A27311"/>
    <w:rsid w:val="00A27EA6"/>
    <w:rsid w:val="00A3022F"/>
    <w:rsid w:val="00A31586"/>
    <w:rsid w:val="00A32E5B"/>
    <w:rsid w:val="00A33063"/>
    <w:rsid w:val="00A330E1"/>
    <w:rsid w:val="00A33493"/>
    <w:rsid w:val="00A33840"/>
    <w:rsid w:val="00A33C42"/>
    <w:rsid w:val="00A33D7F"/>
    <w:rsid w:val="00A3532D"/>
    <w:rsid w:val="00A35726"/>
    <w:rsid w:val="00A3629A"/>
    <w:rsid w:val="00A362CE"/>
    <w:rsid w:val="00A367BE"/>
    <w:rsid w:val="00A3702C"/>
    <w:rsid w:val="00A400CE"/>
    <w:rsid w:val="00A40BE1"/>
    <w:rsid w:val="00A41E86"/>
    <w:rsid w:val="00A41F1C"/>
    <w:rsid w:val="00A43140"/>
    <w:rsid w:val="00A4348B"/>
    <w:rsid w:val="00A439E8"/>
    <w:rsid w:val="00A43EC7"/>
    <w:rsid w:val="00A44298"/>
    <w:rsid w:val="00A443FC"/>
    <w:rsid w:val="00A45623"/>
    <w:rsid w:val="00A47125"/>
    <w:rsid w:val="00A47E60"/>
    <w:rsid w:val="00A50532"/>
    <w:rsid w:val="00A50F99"/>
    <w:rsid w:val="00A51E16"/>
    <w:rsid w:val="00A5388B"/>
    <w:rsid w:val="00A53E43"/>
    <w:rsid w:val="00A5407E"/>
    <w:rsid w:val="00A549B2"/>
    <w:rsid w:val="00A55556"/>
    <w:rsid w:val="00A564A0"/>
    <w:rsid w:val="00A57766"/>
    <w:rsid w:val="00A57BEA"/>
    <w:rsid w:val="00A60259"/>
    <w:rsid w:val="00A60FEE"/>
    <w:rsid w:val="00A61016"/>
    <w:rsid w:val="00A61093"/>
    <w:rsid w:val="00A61195"/>
    <w:rsid w:val="00A61E57"/>
    <w:rsid w:val="00A623A0"/>
    <w:rsid w:val="00A62E5C"/>
    <w:rsid w:val="00A63B98"/>
    <w:rsid w:val="00A64119"/>
    <w:rsid w:val="00A64125"/>
    <w:rsid w:val="00A676E6"/>
    <w:rsid w:val="00A702EA"/>
    <w:rsid w:val="00A706EE"/>
    <w:rsid w:val="00A72736"/>
    <w:rsid w:val="00A72D64"/>
    <w:rsid w:val="00A75D4E"/>
    <w:rsid w:val="00A75E11"/>
    <w:rsid w:val="00A75FE4"/>
    <w:rsid w:val="00A77082"/>
    <w:rsid w:val="00A77247"/>
    <w:rsid w:val="00A77E5C"/>
    <w:rsid w:val="00A80355"/>
    <w:rsid w:val="00A80870"/>
    <w:rsid w:val="00A80F74"/>
    <w:rsid w:val="00A81075"/>
    <w:rsid w:val="00A8169C"/>
    <w:rsid w:val="00A81EFC"/>
    <w:rsid w:val="00A8250B"/>
    <w:rsid w:val="00A8268F"/>
    <w:rsid w:val="00A82BF9"/>
    <w:rsid w:val="00A836A0"/>
    <w:rsid w:val="00A8422C"/>
    <w:rsid w:val="00A8486D"/>
    <w:rsid w:val="00A84968"/>
    <w:rsid w:val="00A84A24"/>
    <w:rsid w:val="00A855C8"/>
    <w:rsid w:val="00A85AC1"/>
    <w:rsid w:val="00A85CA2"/>
    <w:rsid w:val="00A86620"/>
    <w:rsid w:val="00A87374"/>
    <w:rsid w:val="00A9083A"/>
    <w:rsid w:val="00A910DD"/>
    <w:rsid w:val="00A91310"/>
    <w:rsid w:val="00A92833"/>
    <w:rsid w:val="00A92EF5"/>
    <w:rsid w:val="00A96378"/>
    <w:rsid w:val="00A966A8"/>
    <w:rsid w:val="00A974F6"/>
    <w:rsid w:val="00A97DDC"/>
    <w:rsid w:val="00AA03A2"/>
    <w:rsid w:val="00AA0853"/>
    <w:rsid w:val="00AA1BEE"/>
    <w:rsid w:val="00AA21FD"/>
    <w:rsid w:val="00AA2AEB"/>
    <w:rsid w:val="00AA3A0E"/>
    <w:rsid w:val="00AA3D7C"/>
    <w:rsid w:val="00AA485E"/>
    <w:rsid w:val="00AA5010"/>
    <w:rsid w:val="00AA5461"/>
    <w:rsid w:val="00AA5625"/>
    <w:rsid w:val="00AA6128"/>
    <w:rsid w:val="00AA6CC4"/>
    <w:rsid w:val="00AA6D94"/>
    <w:rsid w:val="00AA7844"/>
    <w:rsid w:val="00AB078B"/>
    <w:rsid w:val="00AB21AA"/>
    <w:rsid w:val="00AB3A7C"/>
    <w:rsid w:val="00AB5589"/>
    <w:rsid w:val="00AB5C0B"/>
    <w:rsid w:val="00AB60EC"/>
    <w:rsid w:val="00AB66F7"/>
    <w:rsid w:val="00AB6CB9"/>
    <w:rsid w:val="00AC025E"/>
    <w:rsid w:val="00AC10F8"/>
    <w:rsid w:val="00AC181A"/>
    <w:rsid w:val="00AC1C1B"/>
    <w:rsid w:val="00AC1D3F"/>
    <w:rsid w:val="00AC275C"/>
    <w:rsid w:val="00AC3B6A"/>
    <w:rsid w:val="00AC44EA"/>
    <w:rsid w:val="00AC4D01"/>
    <w:rsid w:val="00AC5950"/>
    <w:rsid w:val="00AC64A5"/>
    <w:rsid w:val="00AC6571"/>
    <w:rsid w:val="00AD1DA4"/>
    <w:rsid w:val="00AD2364"/>
    <w:rsid w:val="00AD2992"/>
    <w:rsid w:val="00AD3AD8"/>
    <w:rsid w:val="00AD4115"/>
    <w:rsid w:val="00AD4280"/>
    <w:rsid w:val="00AD5803"/>
    <w:rsid w:val="00AD5C31"/>
    <w:rsid w:val="00AD5F00"/>
    <w:rsid w:val="00AD5F8F"/>
    <w:rsid w:val="00AD67BA"/>
    <w:rsid w:val="00AD67E6"/>
    <w:rsid w:val="00AD6A53"/>
    <w:rsid w:val="00AD6B9A"/>
    <w:rsid w:val="00AD7365"/>
    <w:rsid w:val="00AD73FC"/>
    <w:rsid w:val="00AD7722"/>
    <w:rsid w:val="00AD7EB4"/>
    <w:rsid w:val="00AE01ED"/>
    <w:rsid w:val="00AE0A21"/>
    <w:rsid w:val="00AE0CBC"/>
    <w:rsid w:val="00AE1105"/>
    <w:rsid w:val="00AE1383"/>
    <w:rsid w:val="00AE15FB"/>
    <w:rsid w:val="00AE2B65"/>
    <w:rsid w:val="00AE2F6D"/>
    <w:rsid w:val="00AE3301"/>
    <w:rsid w:val="00AE499E"/>
    <w:rsid w:val="00AE7215"/>
    <w:rsid w:val="00AF0D11"/>
    <w:rsid w:val="00AF2D0E"/>
    <w:rsid w:val="00AF37CD"/>
    <w:rsid w:val="00AF40CE"/>
    <w:rsid w:val="00AF4104"/>
    <w:rsid w:val="00AF4DFE"/>
    <w:rsid w:val="00AF58AF"/>
    <w:rsid w:val="00AF647B"/>
    <w:rsid w:val="00AF67E8"/>
    <w:rsid w:val="00AF6D12"/>
    <w:rsid w:val="00AF6FDE"/>
    <w:rsid w:val="00B00174"/>
    <w:rsid w:val="00B0032B"/>
    <w:rsid w:val="00B0051B"/>
    <w:rsid w:val="00B009B4"/>
    <w:rsid w:val="00B00C4A"/>
    <w:rsid w:val="00B01554"/>
    <w:rsid w:val="00B02848"/>
    <w:rsid w:val="00B02D0D"/>
    <w:rsid w:val="00B02E28"/>
    <w:rsid w:val="00B031A7"/>
    <w:rsid w:val="00B032DF"/>
    <w:rsid w:val="00B0426D"/>
    <w:rsid w:val="00B04549"/>
    <w:rsid w:val="00B047A8"/>
    <w:rsid w:val="00B04929"/>
    <w:rsid w:val="00B0562E"/>
    <w:rsid w:val="00B05C30"/>
    <w:rsid w:val="00B05D49"/>
    <w:rsid w:val="00B0716A"/>
    <w:rsid w:val="00B07EAD"/>
    <w:rsid w:val="00B1039C"/>
    <w:rsid w:val="00B10DF1"/>
    <w:rsid w:val="00B11F8D"/>
    <w:rsid w:val="00B12976"/>
    <w:rsid w:val="00B13084"/>
    <w:rsid w:val="00B132B5"/>
    <w:rsid w:val="00B142A4"/>
    <w:rsid w:val="00B151B7"/>
    <w:rsid w:val="00B1520D"/>
    <w:rsid w:val="00B153C0"/>
    <w:rsid w:val="00B15FBC"/>
    <w:rsid w:val="00B16B39"/>
    <w:rsid w:val="00B16C5F"/>
    <w:rsid w:val="00B20BE4"/>
    <w:rsid w:val="00B2221C"/>
    <w:rsid w:val="00B239D1"/>
    <w:rsid w:val="00B23FC1"/>
    <w:rsid w:val="00B25281"/>
    <w:rsid w:val="00B254CE"/>
    <w:rsid w:val="00B256EC"/>
    <w:rsid w:val="00B26D62"/>
    <w:rsid w:val="00B26E05"/>
    <w:rsid w:val="00B272AE"/>
    <w:rsid w:val="00B301C6"/>
    <w:rsid w:val="00B30EFE"/>
    <w:rsid w:val="00B31A52"/>
    <w:rsid w:val="00B3252F"/>
    <w:rsid w:val="00B32964"/>
    <w:rsid w:val="00B33DE9"/>
    <w:rsid w:val="00B34F5C"/>
    <w:rsid w:val="00B350AA"/>
    <w:rsid w:val="00B3586B"/>
    <w:rsid w:val="00B35A08"/>
    <w:rsid w:val="00B36A85"/>
    <w:rsid w:val="00B36BA0"/>
    <w:rsid w:val="00B371A4"/>
    <w:rsid w:val="00B373FD"/>
    <w:rsid w:val="00B405C3"/>
    <w:rsid w:val="00B4096D"/>
    <w:rsid w:val="00B4147F"/>
    <w:rsid w:val="00B42AA9"/>
    <w:rsid w:val="00B441C7"/>
    <w:rsid w:val="00B45443"/>
    <w:rsid w:val="00B4724E"/>
    <w:rsid w:val="00B47580"/>
    <w:rsid w:val="00B475DE"/>
    <w:rsid w:val="00B47D7E"/>
    <w:rsid w:val="00B504D4"/>
    <w:rsid w:val="00B50D88"/>
    <w:rsid w:val="00B50DDA"/>
    <w:rsid w:val="00B51052"/>
    <w:rsid w:val="00B51236"/>
    <w:rsid w:val="00B51EFF"/>
    <w:rsid w:val="00B520AA"/>
    <w:rsid w:val="00B5255C"/>
    <w:rsid w:val="00B5286B"/>
    <w:rsid w:val="00B528A3"/>
    <w:rsid w:val="00B53649"/>
    <w:rsid w:val="00B53E84"/>
    <w:rsid w:val="00B543B6"/>
    <w:rsid w:val="00B54A7D"/>
    <w:rsid w:val="00B55701"/>
    <w:rsid w:val="00B557C5"/>
    <w:rsid w:val="00B5660D"/>
    <w:rsid w:val="00B57291"/>
    <w:rsid w:val="00B60156"/>
    <w:rsid w:val="00B60B1A"/>
    <w:rsid w:val="00B60F4D"/>
    <w:rsid w:val="00B61AB9"/>
    <w:rsid w:val="00B62675"/>
    <w:rsid w:val="00B63CF9"/>
    <w:rsid w:val="00B642E2"/>
    <w:rsid w:val="00B64DC9"/>
    <w:rsid w:val="00B651D6"/>
    <w:rsid w:val="00B671C6"/>
    <w:rsid w:val="00B672AD"/>
    <w:rsid w:val="00B67476"/>
    <w:rsid w:val="00B678E1"/>
    <w:rsid w:val="00B67C92"/>
    <w:rsid w:val="00B71125"/>
    <w:rsid w:val="00B71400"/>
    <w:rsid w:val="00B71D99"/>
    <w:rsid w:val="00B72231"/>
    <w:rsid w:val="00B72C12"/>
    <w:rsid w:val="00B73373"/>
    <w:rsid w:val="00B73D86"/>
    <w:rsid w:val="00B740E2"/>
    <w:rsid w:val="00B74B23"/>
    <w:rsid w:val="00B75262"/>
    <w:rsid w:val="00B759E7"/>
    <w:rsid w:val="00B75A59"/>
    <w:rsid w:val="00B77DB0"/>
    <w:rsid w:val="00B83104"/>
    <w:rsid w:val="00B83161"/>
    <w:rsid w:val="00B839B2"/>
    <w:rsid w:val="00B850ED"/>
    <w:rsid w:val="00B8647A"/>
    <w:rsid w:val="00B86D63"/>
    <w:rsid w:val="00B8763F"/>
    <w:rsid w:val="00B87C2D"/>
    <w:rsid w:val="00B90B17"/>
    <w:rsid w:val="00B90CAC"/>
    <w:rsid w:val="00B913A5"/>
    <w:rsid w:val="00B918BD"/>
    <w:rsid w:val="00B91D78"/>
    <w:rsid w:val="00B92594"/>
    <w:rsid w:val="00B92675"/>
    <w:rsid w:val="00B9410D"/>
    <w:rsid w:val="00B948D3"/>
    <w:rsid w:val="00B97328"/>
    <w:rsid w:val="00B97487"/>
    <w:rsid w:val="00B97BF5"/>
    <w:rsid w:val="00B97CA6"/>
    <w:rsid w:val="00BA0125"/>
    <w:rsid w:val="00BA02ED"/>
    <w:rsid w:val="00BA224D"/>
    <w:rsid w:val="00BA3F49"/>
    <w:rsid w:val="00BA41DF"/>
    <w:rsid w:val="00BA6346"/>
    <w:rsid w:val="00BA7289"/>
    <w:rsid w:val="00BB0EBA"/>
    <w:rsid w:val="00BB100D"/>
    <w:rsid w:val="00BB11FB"/>
    <w:rsid w:val="00BB141A"/>
    <w:rsid w:val="00BB1541"/>
    <w:rsid w:val="00BB1E4B"/>
    <w:rsid w:val="00BB2A22"/>
    <w:rsid w:val="00BB33B0"/>
    <w:rsid w:val="00BB4164"/>
    <w:rsid w:val="00BB5741"/>
    <w:rsid w:val="00BB63E3"/>
    <w:rsid w:val="00BB65F2"/>
    <w:rsid w:val="00BB7CC3"/>
    <w:rsid w:val="00BC04CA"/>
    <w:rsid w:val="00BC0861"/>
    <w:rsid w:val="00BC0CF1"/>
    <w:rsid w:val="00BC0D17"/>
    <w:rsid w:val="00BC120E"/>
    <w:rsid w:val="00BC16EB"/>
    <w:rsid w:val="00BC3B92"/>
    <w:rsid w:val="00BC4952"/>
    <w:rsid w:val="00BC5AFB"/>
    <w:rsid w:val="00BC5CEA"/>
    <w:rsid w:val="00BC69FF"/>
    <w:rsid w:val="00BC7AB6"/>
    <w:rsid w:val="00BC7EE1"/>
    <w:rsid w:val="00BD02DE"/>
    <w:rsid w:val="00BD1083"/>
    <w:rsid w:val="00BD1309"/>
    <w:rsid w:val="00BD1B6C"/>
    <w:rsid w:val="00BD1D14"/>
    <w:rsid w:val="00BD2C65"/>
    <w:rsid w:val="00BD2E68"/>
    <w:rsid w:val="00BD2F79"/>
    <w:rsid w:val="00BD3883"/>
    <w:rsid w:val="00BD3C3B"/>
    <w:rsid w:val="00BD4128"/>
    <w:rsid w:val="00BD49E5"/>
    <w:rsid w:val="00BD4BF0"/>
    <w:rsid w:val="00BD5A90"/>
    <w:rsid w:val="00BD616A"/>
    <w:rsid w:val="00BD64A3"/>
    <w:rsid w:val="00BD6FD3"/>
    <w:rsid w:val="00BE0383"/>
    <w:rsid w:val="00BE042F"/>
    <w:rsid w:val="00BE1229"/>
    <w:rsid w:val="00BE160E"/>
    <w:rsid w:val="00BE1E19"/>
    <w:rsid w:val="00BE264A"/>
    <w:rsid w:val="00BE2A73"/>
    <w:rsid w:val="00BE2D36"/>
    <w:rsid w:val="00BE3025"/>
    <w:rsid w:val="00BE3A82"/>
    <w:rsid w:val="00BE3FD4"/>
    <w:rsid w:val="00BE4B94"/>
    <w:rsid w:val="00BE59C2"/>
    <w:rsid w:val="00BE5AC7"/>
    <w:rsid w:val="00BE748D"/>
    <w:rsid w:val="00BE776C"/>
    <w:rsid w:val="00BF053E"/>
    <w:rsid w:val="00BF0D55"/>
    <w:rsid w:val="00BF1C07"/>
    <w:rsid w:val="00BF2476"/>
    <w:rsid w:val="00BF3159"/>
    <w:rsid w:val="00BF4C20"/>
    <w:rsid w:val="00BF51B4"/>
    <w:rsid w:val="00BF54E9"/>
    <w:rsid w:val="00BF62AD"/>
    <w:rsid w:val="00BF6C43"/>
    <w:rsid w:val="00BF721F"/>
    <w:rsid w:val="00BF7F1A"/>
    <w:rsid w:val="00C008B3"/>
    <w:rsid w:val="00C00A0F"/>
    <w:rsid w:val="00C013AA"/>
    <w:rsid w:val="00C0336E"/>
    <w:rsid w:val="00C03D2A"/>
    <w:rsid w:val="00C06381"/>
    <w:rsid w:val="00C068D5"/>
    <w:rsid w:val="00C06B80"/>
    <w:rsid w:val="00C06C1F"/>
    <w:rsid w:val="00C06D1A"/>
    <w:rsid w:val="00C0705C"/>
    <w:rsid w:val="00C0725A"/>
    <w:rsid w:val="00C073A1"/>
    <w:rsid w:val="00C07B0B"/>
    <w:rsid w:val="00C07E4A"/>
    <w:rsid w:val="00C108E7"/>
    <w:rsid w:val="00C10CD6"/>
    <w:rsid w:val="00C11474"/>
    <w:rsid w:val="00C115E7"/>
    <w:rsid w:val="00C11B89"/>
    <w:rsid w:val="00C11C1A"/>
    <w:rsid w:val="00C123CE"/>
    <w:rsid w:val="00C14B4A"/>
    <w:rsid w:val="00C14D16"/>
    <w:rsid w:val="00C15B0C"/>
    <w:rsid w:val="00C17605"/>
    <w:rsid w:val="00C20291"/>
    <w:rsid w:val="00C205C2"/>
    <w:rsid w:val="00C20A3E"/>
    <w:rsid w:val="00C20B83"/>
    <w:rsid w:val="00C216D1"/>
    <w:rsid w:val="00C21F68"/>
    <w:rsid w:val="00C22C62"/>
    <w:rsid w:val="00C22D93"/>
    <w:rsid w:val="00C235FE"/>
    <w:rsid w:val="00C246E4"/>
    <w:rsid w:val="00C24CE9"/>
    <w:rsid w:val="00C26038"/>
    <w:rsid w:val="00C275D2"/>
    <w:rsid w:val="00C30114"/>
    <w:rsid w:val="00C309AA"/>
    <w:rsid w:val="00C321B9"/>
    <w:rsid w:val="00C32CD0"/>
    <w:rsid w:val="00C3372B"/>
    <w:rsid w:val="00C339BB"/>
    <w:rsid w:val="00C33AF5"/>
    <w:rsid w:val="00C33FAB"/>
    <w:rsid w:val="00C33FCC"/>
    <w:rsid w:val="00C34CFF"/>
    <w:rsid w:val="00C357CC"/>
    <w:rsid w:val="00C36EEB"/>
    <w:rsid w:val="00C37787"/>
    <w:rsid w:val="00C401A2"/>
    <w:rsid w:val="00C40975"/>
    <w:rsid w:val="00C41027"/>
    <w:rsid w:val="00C416DE"/>
    <w:rsid w:val="00C41A5B"/>
    <w:rsid w:val="00C42D06"/>
    <w:rsid w:val="00C43425"/>
    <w:rsid w:val="00C43A1C"/>
    <w:rsid w:val="00C4430B"/>
    <w:rsid w:val="00C44BDC"/>
    <w:rsid w:val="00C4510F"/>
    <w:rsid w:val="00C45479"/>
    <w:rsid w:val="00C45957"/>
    <w:rsid w:val="00C46105"/>
    <w:rsid w:val="00C46118"/>
    <w:rsid w:val="00C46E0A"/>
    <w:rsid w:val="00C47C69"/>
    <w:rsid w:val="00C514C2"/>
    <w:rsid w:val="00C5199E"/>
    <w:rsid w:val="00C51B7D"/>
    <w:rsid w:val="00C51B89"/>
    <w:rsid w:val="00C51BB8"/>
    <w:rsid w:val="00C52001"/>
    <w:rsid w:val="00C52723"/>
    <w:rsid w:val="00C5334D"/>
    <w:rsid w:val="00C53FC1"/>
    <w:rsid w:val="00C543A0"/>
    <w:rsid w:val="00C561C0"/>
    <w:rsid w:val="00C56A32"/>
    <w:rsid w:val="00C57EEC"/>
    <w:rsid w:val="00C60CCD"/>
    <w:rsid w:val="00C60D26"/>
    <w:rsid w:val="00C61859"/>
    <w:rsid w:val="00C62098"/>
    <w:rsid w:val="00C646C6"/>
    <w:rsid w:val="00C64E24"/>
    <w:rsid w:val="00C64E5A"/>
    <w:rsid w:val="00C65D82"/>
    <w:rsid w:val="00C6644A"/>
    <w:rsid w:val="00C66520"/>
    <w:rsid w:val="00C666CA"/>
    <w:rsid w:val="00C6762F"/>
    <w:rsid w:val="00C67A64"/>
    <w:rsid w:val="00C67E3C"/>
    <w:rsid w:val="00C70346"/>
    <w:rsid w:val="00C70649"/>
    <w:rsid w:val="00C706AD"/>
    <w:rsid w:val="00C707CC"/>
    <w:rsid w:val="00C7167D"/>
    <w:rsid w:val="00C716FC"/>
    <w:rsid w:val="00C74595"/>
    <w:rsid w:val="00C7497C"/>
    <w:rsid w:val="00C76BF0"/>
    <w:rsid w:val="00C77052"/>
    <w:rsid w:val="00C776A7"/>
    <w:rsid w:val="00C804B9"/>
    <w:rsid w:val="00C80B80"/>
    <w:rsid w:val="00C80C20"/>
    <w:rsid w:val="00C813CA"/>
    <w:rsid w:val="00C8171C"/>
    <w:rsid w:val="00C831AA"/>
    <w:rsid w:val="00C8504D"/>
    <w:rsid w:val="00C85507"/>
    <w:rsid w:val="00C86581"/>
    <w:rsid w:val="00C8670C"/>
    <w:rsid w:val="00C86C70"/>
    <w:rsid w:val="00C86DCB"/>
    <w:rsid w:val="00C86EC9"/>
    <w:rsid w:val="00C87279"/>
    <w:rsid w:val="00C9015E"/>
    <w:rsid w:val="00C90209"/>
    <w:rsid w:val="00C9074D"/>
    <w:rsid w:val="00C91736"/>
    <w:rsid w:val="00C91995"/>
    <w:rsid w:val="00C92C8D"/>
    <w:rsid w:val="00C92CC0"/>
    <w:rsid w:val="00C92F98"/>
    <w:rsid w:val="00C95955"/>
    <w:rsid w:val="00C9603A"/>
    <w:rsid w:val="00C97E72"/>
    <w:rsid w:val="00CA00ED"/>
    <w:rsid w:val="00CA0A15"/>
    <w:rsid w:val="00CA3085"/>
    <w:rsid w:val="00CA3234"/>
    <w:rsid w:val="00CA3C46"/>
    <w:rsid w:val="00CA4AA6"/>
    <w:rsid w:val="00CA52EA"/>
    <w:rsid w:val="00CA5336"/>
    <w:rsid w:val="00CA5792"/>
    <w:rsid w:val="00CB0156"/>
    <w:rsid w:val="00CB04DE"/>
    <w:rsid w:val="00CB0F52"/>
    <w:rsid w:val="00CB17B0"/>
    <w:rsid w:val="00CB2082"/>
    <w:rsid w:val="00CB23F2"/>
    <w:rsid w:val="00CB259D"/>
    <w:rsid w:val="00CB38B1"/>
    <w:rsid w:val="00CB3900"/>
    <w:rsid w:val="00CB423B"/>
    <w:rsid w:val="00CB50FD"/>
    <w:rsid w:val="00CB51A5"/>
    <w:rsid w:val="00CB56DE"/>
    <w:rsid w:val="00CB633F"/>
    <w:rsid w:val="00CB7F35"/>
    <w:rsid w:val="00CC1DA7"/>
    <w:rsid w:val="00CC2A92"/>
    <w:rsid w:val="00CC2DB0"/>
    <w:rsid w:val="00CC3347"/>
    <w:rsid w:val="00CC3915"/>
    <w:rsid w:val="00CC3F93"/>
    <w:rsid w:val="00CC4550"/>
    <w:rsid w:val="00CC54F3"/>
    <w:rsid w:val="00CC5640"/>
    <w:rsid w:val="00CD02BF"/>
    <w:rsid w:val="00CD0F85"/>
    <w:rsid w:val="00CD0FBD"/>
    <w:rsid w:val="00CD10BB"/>
    <w:rsid w:val="00CD1685"/>
    <w:rsid w:val="00CD2380"/>
    <w:rsid w:val="00CD28DD"/>
    <w:rsid w:val="00CD2BE2"/>
    <w:rsid w:val="00CD2CC1"/>
    <w:rsid w:val="00CD2FC5"/>
    <w:rsid w:val="00CD42EE"/>
    <w:rsid w:val="00CD5619"/>
    <w:rsid w:val="00CD622D"/>
    <w:rsid w:val="00CD68AD"/>
    <w:rsid w:val="00CD6C4D"/>
    <w:rsid w:val="00CE0AC6"/>
    <w:rsid w:val="00CE0C2E"/>
    <w:rsid w:val="00CE1184"/>
    <w:rsid w:val="00CE28F8"/>
    <w:rsid w:val="00CE4916"/>
    <w:rsid w:val="00CE4C4E"/>
    <w:rsid w:val="00CE5750"/>
    <w:rsid w:val="00CE6BF8"/>
    <w:rsid w:val="00CE740E"/>
    <w:rsid w:val="00CF133E"/>
    <w:rsid w:val="00CF21AF"/>
    <w:rsid w:val="00CF27EA"/>
    <w:rsid w:val="00CF2C32"/>
    <w:rsid w:val="00CF3379"/>
    <w:rsid w:val="00CF3A21"/>
    <w:rsid w:val="00CF3F65"/>
    <w:rsid w:val="00CF3FAC"/>
    <w:rsid w:val="00CF4579"/>
    <w:rsid w:val="00CF4F47"/>
    <w:rsid w:val="00CF57F8"/>
    <w:rsid w:val="00CF6A57"/>
    <w:rsid w:val="00CF6AF8"/>
    <w:rsid w:val="00CF77ED"/>
    <w:rsid w:val="00D005E8"/>
    <w:rsid w:val="00D030BA"/>
    <w:rsid w:val="00D0475B"/>
    <w:rsid w:val="00D05DF8"/>
    <w:rsid w:val="00D060C4"/>
    <w:rsid w:val="00D066B7"/>
    <w:rsid w:val="00D06C3B"/>
    <w:rsid w:val="00D06C47"/>
    <w:rsid w:val="00D07DA5"/>
    <w:rsid w:val="00D07F58"/>
    <w:rsid w:val="00D10477"/>
    <w:rsid w:val="00D104F0"/>
    <w:rsid w:val="00D1059F"/>
    <w:rsid w:val="00D10A9C"/>
    <w:rsid w:val="00D10C76"/>
    <w:rsid w:val="00D112FE"/>
    <w:rsid w:val="00D11985"/>
    <w:rsid w:val="00D12254"/>
    <w:rsid w:val="00D12850"/>
    <w:rsid w:val="00D133A0"/>
    <w:rsid w:val="00D1427A"/>
    <w:rsid w:val="00D14647"/>
    <w:rsid w:val="00D14A72"/>
    <w:rsid w:val="00D1522F"/>
    <w:rsid w:val="00D154CD"/>
    <w:rsid w:val="00D15DAF"/>
    <w:rsid w:val="00D15E47"/>
    <w:rsid w:val="00D16DB0"/>
    <w:rsid w:val="00D17AB7"/>
    <w:rsid w:val="00D21984"/>
    <w:rsid w:val="00D225BB"/>
    <w:rsid w:val="00D257E5"/>
    <w:rsid w:val="00D262ED"/>
    <w:rsid w:val="00D26EF7"/>
    <w:rsid w:val="00D27A2F"/>
    <w:rsid w:val="00D30622"/>
    <w:rsid w:val="00D31156"/>
    <w:rsid w:val="00D31674"/>
    <w:rsid w:val="00D31BC3"/>
    <w:rsid w:val="00D31EB5"/>
    <w:rsid w:val="00D325A8"/>
    <w:rsid w:val="00D34196"/>
    <w:rsid w:val="00D34BD0"/>
    <w:rsid w:val="00D34FEA"/>
    <w:rsid w:val="00D35D16"/>
    <w:rsid w:val="00D35E01"/>
    <w:rsid w:val="00D36189"/>
    <w:rsid w:val="00D361FF"/>
    <w:rsid w:val="00D36843"/>
    <w:rsid w:val="00D3684C"/>
    <w:rsid w:val="00D368EE"/>
    <w:rsid w:val="00D36D8A"/>
    <w:rsid w:val="00D373F2"/>
    <w:rsid w:val="00D4070F"/>
    <w:rsid w:val="00D412A5"/>
    <w:rsid w:val="00D41439"/>
    <w:rsid w:val="00D41C53"/>
    <w:rsid w:val="00D429DE"/>
    <w:rsid w:val="00D42A78"/>
    <w:rsid w:val="00D42B1D"/>
    <w:rsid w:val="00D44878"/>
    <w:rsid w:val="00D45076"/>
    <w:rsid w:val="00D45EB8"/>
    <w:rsid w:val="00D45FFE"/>
    <w:rsid w:val="00D46B16"/>
    <w:rsid w:val="00D47384"/>
    <w:rsid w:val="00D47B89"/>
    <w:rsid w:val="00D504FF"/>
    <w:rsid w:val="00D51B74"/>
    <w:rsid w:val="00D5227B"/>
    <w:rsid w:val="00D5256B"/>
    <w:rsid w:val="00D52DBE"/>
    <w:rsid w:val="00D53D95"/>
    <w:rsid w:val="00D54AB1"/>
    <w:rsid w:val="00D55FB5"/>
    <w:rsid w:val="00D60829"/>
    <w:rsid w:val="00D60B5F"/>
    <w:rsid w:val="00D6113C"/>
    <w:rsid w:val="00D612D5"/>
    <w:rsid w:val="00D613B4"/>
    <w:rsid w:val="00D61732"/>
    <w:rsid w:val="00D63C38"/>
    <w:rsid w:val="00D6499C"/>
    <w:rsid w:val="00D65135"/>
    <w:rsid w:val="00D65238"/>
    <w:rsid w:val="00D67029"/>
    <w:rsid w:val="00D6710F"/>
    <w:rsid w:val="00D67BCB"/>
    <w:rsid w:val="00D67DB0"/>
    <w:rsid w:val="00D70E82"/>
    <w:rsid w:val="00D713E9"/>
    <w:rsid w:val="00D71D99"/>
    <w:rsid w:val="00D72485"/>
    <w:rsid w:val="00D731B4"/>
    <w:rsid w:val="00D742F3"/>
    <w:rsid w:val="00D74DA2"/>
    <w:rsid w:val="00D76531"/>
    <w:rsid w:val="00D76A4B"/>
    <w:rsid w:val="00D76E5E"/>
    <w:rsid w:val="00D77674"/>
    <w:rsid w:val="00D777B4"/>
    <w:rsid w:val="00D800DF"/>
    <w:rsid w:val="00D8063C"/>
    <w:rsid w:val="00D80A5E"/>
    <w:rsid w:val="00D811FB"/>
    <w:rsid w:val="00D8195D"/>
    <w:rsid w:val="00D81A07"/>
    <w:rsid w:val="00D81AB6"/>
    <w:rsid w:val="00D81C70"/>
    <w:rsid w:val="00D82C80"/>
    <w:rsid w:val="00D85F77"/>
    <w:rsid w:val="00D8653A"/>
    <w:rsid w:val="00D86AFE"/>
    <w:rsid w:val="00D86D47"/>
    <w:rsid w:val="00D86F59"/>
    <w:rsid w:val="00D9125B"/>
    <w:rsid w:val="00D9179B"/>
    <w:rsid w:val="00D917CE"/>
    <w:rsid w:val="00D91B77"/>
    <w:rsid w:val="00D92FD6"/>
    <w:rsid w:val="00D9321D"/>
    <w:rsid w:val="00D93C83"/>
    <w:rsid w:val="00D94901"/>
    <w:rsid w:val="00D94F97"/>
    <w:rsid w:val="00D95861"/>
    <w:rsid w:val="00D96701"/>
    <w:rsid w:val="00D96F05"/>
    <w:rsid w:val="00D97E0C"/>
    <w:rsid w:val="00DA0E57"/>
    <w:rsid w:val="00DA1655"/>
    <w:rsid w:val="00DA1721"/>
    <w:rsid w:val="00DA17B4"/>
    <w:rsid w:val="00DA2504"/>
    <w:rsid w:val="00DA30AD"/>
    <w:rsid w:val="00DA4319"/>
    <w:rsid w:val="00DA667A"/>
    <w:rsid w:val="00DA7BC4"/>
    <w:rsid w:val="00DA7C72"/>
    <w:rsid w:val="00DB03EC"/>
    <w:rsid w:val="00DB0916"/>
    <w:rsid w:val="00DB0E42"/>
    <w:rsid w:val="00DB19AF"/>
    <w:rsid w:val="00DB2BAC"/>
    <w:rsid w:val="00DB2C1E"/>
    <w:rsid w:val="00DB2DB4"/>
    <w:rsid w:val="00DB37D2"/>
    <w:rsid w:val="00DB50D9"/>
    <w:rsid w:val="00DB676D"/>
    <w:rsid w:val="00DB680B"/>
    <w:rsid w:val="00DB68D7"/>
    <w:rsid w:val="00DB6BD9"/>
    <w:rsid w:val="00DB71EB"/>
    <w:rsid w:val="00DB739D"/>
    <w:rsid w:val="00DB75E1"/>
    <w:rsid w:val="00DC028B"/>
    <w:rsid w:val="00DC08B2"/>
    <w:rsid w:val="00DC0BC2"/>
    <w:rsid w:val="00DC13AE"/>
    <w:rsid w:val="00DC13E3"/>
    <w:rsid w:val="00DC1904"/>
    <w:rsid w:val="00DC3F1E"/>
    <w:rsid w:val="00DC4863"/>
    <w:rsid w:val="00DC5918"/>
    <w:rsid w:val="00DC63F0"/>
    <w:rsid w:val="00DC6DF3"/>
    <w:rsid w:val="00DC7074"/>
    <w:rsid w:val="00DC7093"/>
    <w:rsid w:val="00DC71EB"/>
    <w:rsid w:val="00DD0556"/>
    <w:rsid w:val="00DD0CA8"/>
    <w:rsid w:val="00DD2E9E"/>
    <w:rsid w:val="00DD40A4"/>
    <w:rsid w:val="00DD46AB"/>
    <w:rsid w:val="00DD47D5"/>
    <w:rsid w:val="00DD4B93"/>
    <w:rsid w:val="00DD4E02"/>
    <w:rsid w:val="00DD56F2"/>
    <w:rsid w:val="00DD5721"/>
    <w:rsid w:val="00DD7215"/>
    <w:rsid w:val="00DE0766"/>
    <w:rsid w:val="00DE0EF4"/>
    <w:rsid w:val="00DE1101"/>
    <w:rsid w:val="00DE2304"/>
    <w:rsid w:val="00DE283E"/>
    <w:rsid w:val="00DE4261"/>
    <w:rsid w:val="00DE5711"/>
    <w:rsid w:val="00DE64A7"/>
    <w:rsid w:val="00DE6B3B"/>
    <w:rsid w:val="00DE6C9C"/>
    <w:rsid w:val="00DE73DD"/>
    <w:rsid w:val="00DF0B49"/>
    <w:rsid w:val="00DF1A7F"/>
    <w:rsid w:val="00DF2CD0"/>
    <w:rsid w:val="00DF38F8"/>
    <w:rsid w:val="00DF3CC2"/>
    <w:rsid w:val="00DF4820"/>
    <w:rsid w:val="00DF49E0"/>
    <w:rsid w:val="00DF54D9"/>
    <w:rsid w:val="00DF5665"/>
    <w:rsid w:val="00DF5FE2"/>
    <w:rsid w:val="00DF61F6"/>
    <w:rsid w:val="00DF66B6"/>
    <w:rsid w:val="00DF6747"/>
    <w:rsid w:val="00DF72CC"/>
    <w:rsid w:val="00DF7553"/>
    <w:rsid w:val="00E0014D"/>
    <w:rsid w:val="00E00228"/>
    <w:rsid w:val="00E00284"/>
    <w:rsid w:val="00E009AF"/>
    <w:rsid w:val="00E00A29"/>
    <w:rsid w:val="00E017ED"/>
    <w:rsid w:val="00E01809"/>
    <w:rsid w:val="00E01A33"/>
    <w:rsid w:val="00E0212F"/>
    <w:rsid w:val="00E03188"/>
    <w:rsid w:val="00E0367F"/>
    <w:rsid w:val="00E043A7"/>
    <w:rsid w:val="00E0546A"/>
    <w:rsid w:val="00E05BD1"/>
    <w:rsid w:val="00E05ECA"/>
    <w:rsid w:val="00E069A4"/>
    <w:rsid w:val="00E06A57"/>
    <w:rsid w:val="00E0794A"/>
    <w:rsid w:val="00E07AD6"/>
    <w:rsid w:val="00E07C68"/>
    <w:rsid w:val="00E07ECD"/>
    <w:rsid w:val="00E11FCB"/>
    <w:rsid w:val="00E13F4C"/>
    <w:rsid w:val="00E152AB"/>
    <w:rsid w:val="00E16D3E"/>
    <w:rsid w:val="00E208CA"/>
    <w:rsid w:val="00E22267"/>
    <w:rsid w:val="00E235D0"/>
    <w:rsid w:val="00E23DCD"/>
    <w:rsid w:val="00E23F77"/>
    <w:rsid w:val="00E24A79"/>
    <w:rsid w:val="00E24DE9"/>
    <w:rsid w:val="00E24F5C"/>
    <w:rsid w:val="00E25CDB"/>
    <w:rsid w:val="00E265B0"/>
    <w:rsid w:val="00E26CBB"/>
    <w:rsid w:val="00E27D57"/>
    <w:rsid w:val="00E301D6"/>
    <w:rsid w:val="00E3072F"/>
    <w:rsid w:val="00E30B7B"/>
    <w:rsid w:val="00E30FC8"/>
    <w:rsid w:val="00E31573"/>
    <w:rsid w:val="00E323F9"/>
    <w:rsid w:val="00E331E6"/>
    <w:rsid w:val="00E347E0"/>
    <w:rsid w:val="00E3489D"/>
    <w:rsid w:val="00E34FFE"/>
    <w:rsid w:val="00E353D9"/>
    <w:rsid w:val="00E35A4B"/>
    <w:rsid w:val="00E40A4F"/>
    <w:rsid w:val="00E41C77"/>
    <w:rsid w:val="00E427F5"/>
    <w:rsid w:val="00E440E3"/>
    <w:rsid w:val="00E45F6D"/>
    <w:rsid w:val="00E46002"/>
    <w:rsid w:val="00E4687A"/>
    <w:rsid w:val="00E46B22"/>
    <w:rsid w:val="00E46EFE"/>
    <w:rsid w:val="00E47463"/>
    <w:rsid w:val="00E47BAF"/>
    <w:rsid w:val="00E5024B"/>
    <w:rsid w:val="00E50BB8"/>
    <w:rsid w:val="00E50D61"/>
    <w:rsid w:val="00E50F75"/>
    <w:rsid w:val="00E51D1F"/>
    <w:rsid w:val="00E53D67"/>
    <w:rsid w:val="00E5549E"/>
    <w:rsid w:val="00E555F0"/>
    <w:rsid w:val="00E56472"/>
    <w:rsid w:val="00E61512"/>
    <w:rsid w:val="00E61E35"/>
    <w:rsid w:val="00E61EAC"/>
    <w:rsid w:val="00E61F3F"/>
    <w:rsid w:val="00E61FC0"/>
    <w:rsid w:val="00E62551"/>
    <w:rsid w:val="00E63276"/>
    <w:rsid w:val="00E63CF8"/>
    <w:rsid w:val="00E646EA"/>
    <w:rsid w:val="00E64A84"/>
    <w:rsid w:val="00E64AE7"/>
    <w:rsid w:val="00E65673"/>
    <w:rsid w:val="00E656AF"/>
    <w:rsid w:val="00E6572D"/>
    <w:rsid w:val="00E65D4B"/>
    <w:rsid w:val="00E67654"/>
    <w:rsid w:val="00E67AF6"/>
    <w:rsid w:val="00E70E20"/>
    <w:rsid w:val="00E70F99"/>
    <w:rsid w:val="00E71166"/>
    <w:rsid w:val="00E71FFB"/>
    <w:rsid w:val="00E72437"/>
    <w:rsid w:val="00E731DD"/>
    <w:rsid w:val="00E7445D"/>
    <w:rsid w:val="00E74680"/>
    <w:rsid w:val="00E753FF"/>
    <w:rsid w:val="00E75F1F"/>
    <w:rsid w:val="00E7657F"/>
    <w:rsid w:val="00E779AF"/>
    <w:rsid w:val="00E808BA"/>
    <w:rsid w:val="00E825C6"/>
    <w:rsid w:val="00E8261C"/>
    <w:rsid w:val="00E83C3E"/>
    <w:rsid w:val="00E83ED7"/>
    <w:rsid w:val="00E83FA6"/>
    <w:rsid w:val="00E84079"/>
    <w:rsid w:val="00E8422D"/>
    <w:rsid w:val="00E842C2"/>
    <w:rsid w:val="00E864C8"/>
    <w:rsid w:val="00E8668C"/>
    <w:rsid w:val="00E87496"/>
    <w:rsid w:val="00E877C3"/>
    <w:rsid w:val="00E929C8"/>
    <w:rsid w:val="00E95344"/>
    <w:rsid w:val="00E9542D"/>
    <w:rsid w:val="00E95B81"/>
    <w:rsid w:val="00E95F79"/>
    <w:rsid w:val="00E9616D"/>
    <w:rsid w:val="00E9645E"/>
    <w:rsid w:val="00E96DC0"/>
    <w:rsid w:val="00E97C83"/>
    <w:rsid w:val="00E97F67"/>
    <w:rsid w:val="00EA00A1"/>
    <w:rsid w:val="00EA0262"/>
    <w:rsid w:val="00EA040A"/>
    <w:rsid w:val="00EA08B7"/>
    <w:rsid w:val="00EA2B97"/>
    <w:rsid w:val="00EA3947"/>
    <w:rsid w:val="00EA5B10"/>
    <w:rsid w:val="00EA7DE6"/>
    <w:rsid w:val="00EA7EE2"/>
    <w:rsid w:val="00EB1439"/>
    <w:rsid w:val="00EB3CB5"/>
    <w:rsid w:val="00EB3E3B"/>
    <w:rsid w:val="00EB45BA"/>
    <w:rsid w:val="00EB5580"/>
    <w:rsid w:val="00EB62F1"/>
    <w:rsid w:val="00EB6817"/>
    <w:rsid w:val="00EB71F3"/>
    <w:rsid w:val="00EC0A71"/>
    <w:rsid w:val="00EC1191"/>
    <w:rsid w:val="00EC2001"/>
    <w:rsid w:val="00EC2816"/>
    <w:rsid w:val="00EC2A06"/>
    <w:rsid w:val="00EC2F45"/>
    <w:rsid w:val="00EC4377"/>
    <w:rsid w:val="00EC4702"/>
    <w:rsid w:val="00EC4FFA"/>
    <w:rsid w:val="00EC5070"/>
    <w:rsid w:val="00EC5395"/>
    <w:rsid w:val="00EC65F3"/>
    <w:rsid w:val="00EC69A7"/>
    <w:rsid w:val="00EC7D38"/>
    <w:rsid w:val="00ED05B0"/>
    <w:rsid w:val="00ED0EA9"/>
    <w:rsid w:val="00ED273C"/>
    <w:rsid w:val="00ED2E10"/>
    <w:rsid w:val="00ED2E8E"/>
    <w:rsid w:val="00ED2EFB"/>
    <w:rsid w:val="00ED4226"/>
    <w:rsid w:val="00ED446A"/>
    <w:rsid w:val="00ED45F9"/>
    <w:rsid w:val="00ED598C"/>
    <w:rsid w:val="00ED670E"/>
    <w:rsid w:val="00ED6710"/>
    <w:rsid w:val="00ED69C9"/>
    <w:rsid w:val="00ED6BDA"/>
    <w:rsid w:val="00ED7E43"/>
    <w:rsid w:val="00EE087B"/>
    <w:rsid w:val="00EE0C99"/>
    <w:rsid w:val="00EE0FA7"/>
    <w:rsid w:val="00EE1066"/>
    <w:rsid w:val="00EE3BF7"/>
    <w:rsid w:val="00EE3C29"/>
    <w:rsid w:val="00EE5AE7"/>
    <w:rsid w:val="00EE6400"/>
    <w:rsid w:val="00EF0259"/>
    <w:rsid w:val="00EF0634"/>
    <w:rsid w:val="00EF0CD1"/>
    <w:rsid w:val="00EF0FCB"/>
    <w:rsid w:val="00EF1EFF"/>
    <w:rsid w:val="00EF2B50"/>
    <w:rsid w:val="00EF3FE1"/>
    <w:rsid w:val="00EF4074"/>
    <w:rsid w:val="00EF43A3"/>
    <w:rsid w:val="00EF496B"/>
    <w:rsid w:val="00EF528F"/>
    <w:rsid w:val="00EF6960"/>
    <w:rsid w:val="00EF70B3"/>
    <w:rsid w:val="00EF79A8"/>
    <w:rsid w:val="00F00666"/>
    <w:rsid w:val="00F0128E"/>
    <w:rsid w:val="00F02029"/>
    <w:rsid w:val="00F02727"/>
    <w:rsid w:val="00F03DA9"/>
    <w:rsid w:val="00F040AC"/>
    <w:rsid w:val="00F041BF"/>
    <w:rsid w:val="00F04D0E"/>
    <w:rsid w:val="00F06A39"/>
    <w:rsid w:val="00F06A5D"/>
    <w:rsid w:val="00F107F5"/>
    <w:rsid w:val="00F111F5"/>
    <w:rsid w:val="00F134E1"/>
    <w:rsid w:val="00F15C1F"/>
    <w:rsid w:val="00F16A33"/>
    <w:rsid w:val="00F16A6A"/>
    <w:rsid w:val="00F17880"/>
    <w:rsid w:val="00F17AE1"/>
    <w:rsid w:val="00F203B8"/>
    <w:rsid w:val="00F206EF"/>
    <w:rsid w:val="00F208F0"/>
    <w:rsid w:val="00F210D7"/>
    <w:rsid w:val="00F232BC"/>
    <w:rsid w:val="00F2372A"/>
    <w:rsid w:val="00F24103"/>
    <w:rsid w:val="00F25025"/>
    <w:rsid w:val="00F26170"/>
    <w:rsid w:val="00F270D9"/>
    <w:rsid w:val="00F30295"/>
    <w:rsid w:val="00F3059A"/>
    <w:rsid w:val="00F305BC"/>
    <w:rsid w:val="00F31EE6"/>
    <w:rsid w:val="00F321B0"/>
    <w:rsid w:val="00F321EB"/>
    <w:rsid w:val="00F32B58"/>
    <w:rsid w:val="00F35508"/>
    <w:rsid w:val="00F35D43"/>
    <w:rsid w:val="00F36874"/>
    <w:rsid w:val="00F37AEB"/>
    <w:rsid w:val="00F428F1"/>
    <w:rsid w:val="00F42916"/>
    <w:rsid w:val="00F43E81"/>
    <w:rsid w:val="00F44C09"/>
    <w:rsid w:val="00F4510C"/>
    <w:rsid w:val="00F46384"/>
    <w:rsid w:val="00F46E40"/>
    <w:rsid w:val="00F51AD8"/>
    <w:rsid w:val="00F52FA4"/>
    <w:rsid w:val="00F53A36"/>
    <w:rsid w:val="00F54164"/>
    <w:rsid w:val="00F54A7B"/>
    <w:rsid w:val="00F54B53"/>
    <w:rsid w:val="00F551D8"/>
    <w:rsid w:val="00F55630"/>
    <w:rsid w:val="00F562C1"/>
    <w:rsid w:val="00F5702F"/>
    <w:rsid w:val="00F57185"/>
    <w:rsid w:val="00F57353"/>
    <w:rsid w:val="00F57D9F"/>
    <w:rsid w:val="00F6154A"/>
    <w:rsid w:val="00F61940"/>
    <w:rsid w:val="00F61BD1"/>
    <w:rsid w:val="00F62CF3"/>
    <w:rsid w:val="00F63F62"/>
    <w:rsid w:val="00F645B4"/>
    <w:rsid w:val="00F65679"/>
    <w:rsid w:val="00F66B48"/>
    <w:rsid w:val="00F66F13"/>
    <w:rsid w:val="00F67903"/>
    <w:rsid w:val="00F67B9A"/>
    <w:rsid w:val="00F7064A"/>
    <w:rsid w:val="00F707EE"/>
    <w:rsid w:val="00F71F52"/>
    <w:rsid w:val="00F723DE"/>
    <w:rsid w:val="00F725E8"/>
    <w:rsid w:val="00F72FDF"/>
    <w:rsid w:val="00F74797"/>
    <w:rsid w:val="00F754C0"/>
    <w:rsid w:val="00F75634"/>
    <w:rsid w:val="00F76A2F"/>
    <w:rsid w:val="00F76A87"/>
    <w:rsid w:val="00F8058C"/>
    <w:rsid w:val="00F805A5"/>
    <w:rsid w:val="00F81DD8"/>
    <w:rsid w:val="00F8387B"/>
    <w:rsid w:val="00F84AE1"/>
    <w:rsid w:val="00F85C5F"/>
    <w:rsid w:val="00F860B4"/>
    <w:rsid w:val="00F8660C"/>
    <w:rsid w:val="00F87ABE"/>
    <w:rsid w:val="00F904F1"/>
    <w:rsid w:val="00F905BD"/>
    <w:rsid w:val="00F91373"/>
    <w:rsid w:val="00F9141E"/>
    <w:rsid w:val="00F9151E"/>
    <w:rsid w:val="00F9312A"/>
    <w:rsid w:val="00F931F1"/>
    <w:rsid w:val="00F939DF"/>
    <w:rsid w:val="00F943BB"/>
    <w:rsid w:val="00F94977"/>
    <w:rsid w:val="00F94C4C"/>
    <w:rsid w:val="00F95468"/>
    <w:rsid w:val="00F95EA4"/>
    <w:rsid w:val="00F9620E"/>
    <w:rsid w:val="00FA09C0"/>
    <w:rsid w:val="00FA15EA"/>
    <w:rsid w:val="00FA217A"/>
    <w:rsid w:val="00FA2214"/>
    <w:rsid w:val="00FA2F39"/>
    <w:rsid w:val="00FA387A"/>
    <w:rsid w:val="00FA44F1"/>
    <w:rsid w:val="00FA45BD"/>
    <w:rsid w:val="00FA4A80"/>
    <w:rsid w:val="00FA5BAB"/>
    <w:rsid w:val="00FA5EB6"/>
    <w:rsid w:val="00FA6694"/>
    <w:rsid w:val="00FA67DA"/>
    <w:rsid w:val="00FA6F87"/>
    <w:rsid w:val="00FA731B"/>
    <w:rsid w:val="00FA77A6"/>
    <w:rsid w:val="00FA7C21"/>
    <w:rsid w:val="00FB0B2B"/>
    <w:rsid w:val="00FB1193"/>
    <w:rsid w:val="00FB123C"/>
    <w:rsid w:val="00FB31B8"/>
    <w:rsid w:val="00FB3BF7"/>
    <w:rsid w:val="00FB4613"/>
    <w:rsid w:val="00FB5C55"/>
    <w:rsid w:val="00FB5CDE"/>
    <w:rsid w:val="00FB6574"/>
    <w:rsid w:val="00FB7B16"/>
    <w:rsid w:val="00FC07FE"/>
    <w:rsid w:val="00FC19A3"/>
    <w:rsid w:val="00FC1D81"/>
    <w:rsid w:val="00FC2D02"/>
    <w:rsid w:val="00FC3E20"/>
    <w:rsid w:val="00FC4657"/>
    <w:rsid w:val="00FC552F"/>
    <w:rsid w:val="00FC5C28"/>
    <w:rsid w:val="00FC662A"/>
    <w:rsid w:val="00FC702B"/>
    <w:rsid w:val="00FC716B"/>
    <w:rsid w:val="00FC780E"/>
    <w:rsid w:val="00FC7A34"/>
    <w:rsid w:val="00FC7CB7"/>
    <w:rsid w:val="00FD0D0B"/>
    <w:rsid w:val="00FD0D76"/>
    <w:rsid w:val="00FD1008"/>
    <w:rsid w:val="00FD1884"/>
    <w:rsid w:val="00FD1B59"/>
    <w:rsid w:val="00FD1C27"/>
    <w:rsid w:val="00FD1C3F"/>
    <w:rsid w:val="00FD23C5"/>
    <w:rsid w:val="00FD2876"/>
    <w:rsid w:val="00FD4396"/>
    <w:rsid w:val="00FD53D0"/>
    <w:rsid w:val="00FD578D"/>
    <w:rsid w:val="00FD5BCD"/>
    <w:rsid w:val="00FD6E26"/>
    <w:rsid w:val="00FD7969"/>
    <w:rsid w:val="00FD7E32"/>
    <w:rsid w:val="00FE18B4"/>
    <w:rsid w:val="00FE2AB5"/>
    <w:rsid w:val="00FE52C1"/>
    <w:rsid w:val="00FE5B8D"/>
    <w:rsid w:val="00FE6522"/>
    <w:rsid w:val="00FE6DE2"/>
    <w:rsid w:val="00FE6E15"/>
    <w:rsid w:val="00FE7F5D"/>
    <w:rsid w:val="00FE7F7A"/>
    <w:rsid w:val="00FF16E1"/>
    <w:rsid w:val="00FF3C95"/>
    <w:rsid w:val="00FF3F59"/>
    <w:rsid w:val="00FF5B24"/>
    <w:rsid w:val="00FF5DA7"/>
    <w:rsid w:val="00FF5F6D"/>
    <w:rsid w:val="00FF64C3"/>
    <w:rsid w:val="00FF7095"/>
    <w:rsid w:val="00FF75CC"/>
    <w:rsid w:val="00FF7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92B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44"/>
    <w:pPr>
      <w:spacing w:line="360" w:lineRule="auto"/>
    </w:pPr>
    <w:rPr>
      <w:rFonts w:ascii="Calibri" w:hAnsi="Calibri" w:cs="Arial"/>
      <w:sz w:val="22"/>
      <w:szCs w:val="24"/>
    </w:rPr>
  </w:style>
  <w:style w:type="paragraph" w:styleId="Heading1">
    <w:name w:val="heading 1"/>
    <w:basedOn w:val="HeadingBase"/>
    <w:next w:val="NumberLevel1"/>
    <w:link w:val="Heading1Char"/>
    <w:qFormat/>
    <w:rsid w:val="00232FA3"/>
    <w:pPr>
      <w:keepNext/>
      <w:keepLines/>
      <w:spacing w:after="240"/>
      <w:outlineLvl w:val="0"/>
    </w:pPr>
    <w:rPr>
      <w:rFonts w:ascii="Calibri" w:hAnsi="Calibri"/>
      <w:b/>
      <w:bCs/>
      <w:caps/>
      <w:kern w:val="32"/>
      <w:sz w:val="28"/>
      <w:szCs w:val="32"/>
    </w:rPr>
  </w:style>
  <w:style w:type="paragraph" w:styleId="Heading2">
    <w:name w:val="heading 2"/>
    <w:basedOn w:val="HeadingBase"/>
    <w:next w:val="NumberLevel1"/>
    <w:link w:val="Heading2Char"/>
    <w:qFormat/>
    <w:rsid w:val="00162E6E"/>
    <w:pPr>
      <w:keepNext/>
      <w:keepLines/>
      <w:spacing w:after="240"/>
      <w:outlineLvl w:val="1"/>
    </w:pPr>
    <w:rPr>
      <w:rFonts w:ascii="Calibri" w:hAnsi="Calibri"/>
      <w:b/>
      <w:bCs/>
      <w:iCs/>
      <w:sz w:val="24"/>
      <w:szCs w:val="28"/>
    </w:rPr>
  </w:style>
  <w:style w:type="paragraph" w:styleId="Heading3">
    <w:name w:val="heading 3"/>
    <w:basedOn w:val="HeadingBase"/>
    <w:next w:val="NumberLevel1"/>
    <w:link w:val="Heading3Char"/>
    <w:qFormat/>
    <w:rsid w:val="003E4E31"/>
    <w:pPr>
      <w:keepNext/>
      <w:keepLines/>
      <w:spacing w:after="120"/>
      <w:outlineLvl w:val="2"/>
    </w:pPr>
    <w:rPr>
      <w:rFonts w:ascii="Calibri" w:hAnsi="Calibri"/>
      <w:b/>
      <w:bCs/>
      <w:sz w:val="22"/>
      <w:szCs w:val="26"/>
    </w:rPr>
  </w:style>
  <w:style w:type="paragraph" w:styleId="Heading4">
    <w:name w:val="heading 4"/>
    <w:basedOn w:val="HeadingBase"/>
    <w:next w:val="NumberLevel1"/>
    <w:link w:val="Heading4Char"/>
    <w:qFormat/>
    <w:rsid w:val="00473460"/>
    <w:pPr>
      <w:keepNext/>
      <w:keepLines/>
      <w:spacing w:before="120" w:after="120"/>
      <w:outlineLvl w:val="3"/>
    </w:pPr>
    <w:rPr>
      <w:rFonts w:ascii="Calibri" w:hAnsi="Calibri"/>
      <w:b/>
      <w:bCs/>
      <w:i/>
      <w:sz w:val="22"/>
      <w:szCs w:val="28"/>
    </w:rPr>
  </w:style>
  <w:style w:type="paragraph" w:styleId="Heading5">
    <w:name w:val="heading 5"/>
    <w:basedOn w:val="HeadingBase"/>
    <w:next w:val="NumberLevel1"/>
    <w:link w:val="Heading5Char"/>
    <w:qFormat/>
    <w:rsid w:val="00935776"/>
    <w:pPr>
      <w:keepNext/>
      <w:keepLines/>
      <w:spacing w:after="120"/>
      <w:outlineLvl w:val="4"/>
    </w:pPr>
    <w:rPr>
      <w:rFonts w:ascii="Calibri" w:hAnsi="Calibri"/>
      <w:b/>
      <w:bCs/>
      <w:iCs/>
      <w:sz w:val="22"/>
      <w:szCs w:val="26"/>
    </w:rPr>
  </w:style>
  <w:style w:type="paragraph" w:styleId="Heading6">
    <w:name w:val="heading 6"/>
    <w:aliases w:val="Heading 6-AppendixHeading"/>
    <w:basedOn w:val="Normal"/>
    <w:next w:val="Normal"/>
    <w:qFormat/>
    <w:rsid w:val="00BE1229"/>
    <w:pPr>
      <w:keepNext/>
      <w:outlineLvl w:val="5"/>
    </w:pPr>
    <w:rPr>
      <w:b/>
      <w:szCs w:val="22"/>
    </w:rPr>
  </w:style>
  <w:style w:type="paragraph" w:styleId="Heading7">
    <w:name w:val="heading 7"/>
    <w:aliases w:val="Heading 7_Appendix"/>
    <w:basedOn w:val="Normal"/>
    <w:next w:val="Normal"/>
    <w:link w:val="Heading7Char"/>
    <w:qFormat/>
    <w:rsid w:val="006E2695"/>
    <w:pPr>
      <w:keepNext/>
      <w:widowControl w:val="0"/>
      <w:outlineLvl w:val="6"/>
    </w:pPr>
    <w:rPr>
      <w:b/>
      <w:szCs w:val="22"/>
    </w:rPr>
  </w:style>
  <w:style w:type="paragraph" w:styleId="Heading8">
    <w:name w:val="heading 8"/>
    <w:basedOn w:val="Normal"/>
    <w:next w:val="Normal"/>
    <w:link w:val="Heading8Char"/>
    <w:qFormat/>
    <w:rsid w:val="00BE1229"/>
    <w:pPr>
      <w:keepNext/>
      <w:outlineLvl w:val="7"/>
    </w:pPr>
    <w:rPr>
      <w:b/>
      <w:szCs w:val="22"/>
    </w:rPr>
  </w:style>
  <w:style w:type="paragraph" w:styleId="Heading9">
    <w:name w:val="heading 9"/>
    <w:basedOn w:val="Normal"/>
    <w:next w:val="Normal"/>
    <w:qFormat/>
    <w:rsid w:val="00BE1229"/>
    <w:pPr>
      <w:keepNext/>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2"/>
    <w:semiHidden/>
    <w:rsid w:val="00BE1229"/>
    <w:pPr>
      <w:spacing w:before="140" w:after="140" w:line="280" w:lineRule="atLeast"/>
    </w:pPr>
    <w:rPr>
      <w:rFonts w:ascii="Arial" w:hAnsi="Arial" w:cs="Arial"/>
      <w:sz w:val="22"/>
      <w:szCs w:val="22"/>
    </w:rPr>
  </w:style>
  <w:style w:type="paragraph" w:customStyle="1" w:styleId="HeadingBase">
    <w:name w:val="Heading Base"/>
    <w:link w:val="HeadingBaseChar"/>
    <w:semiHidden/>
    <w:rsid w:val="00BE1229"/>
    <w:pPr>
      <w:spacing w:before="200" w:line="280" w:lineRule="atLeast"/>
    </w:pPr>
    <w:rPr>
      <w:rFonts w:ascii="Arial" w:hAnsi="Arial" w:cs="Arial"/>
      <w:szCs w:val="22"/>
    </w:rPr>
  </w:style>
  <w:style w:type="paragraph" w:customStyle="1" w:styleId="PlainParagraph">
    <w:name w:val="Plain Paragraph"/>
    <w:basedOn w:val="NormalBase"/>
    <w:link w:val="PlainParagraphChar2"/>
    <w:rsid w:val="00BE1229"/>
  </w:style>
  <w:style w:type="paragraph" w:customStyle="1" w:styleId="HeaderBase">
    <w:name w:val="Header Base"/>
    <w:next w:val="Header"/>
    <w:semiHidden/>
    <w:rsid w:val="00BE1229"/>
    <w:pPr>
      <w:spacing w:line="200" w:lineRule="atLeast"/>
    </w:pPr>
    <w:rPr>
      <w:rFonts w:ascii="Arial" w:hAnsi="Arial" w:cs="Arial"/>
      <w:szCs w:val="22"/>
    </w:rPr>
  </w:style>
  <w:style w:type="paragraph" w:customStyle="1" w:styleId="FooterBase">
    <w:name w:val="Footer Base"/>
    <w:next w:val="Footer"/>
    <w:semiHidden/>
    <w:rsid w:val="00BE1229"/>
    <w:pPr>
      <w:spacing w:line="200" w:lineRule="atLeast"/>
    </w:pPr>
    <w:rPr>
      <w:rFonts w:ascii="Arial" w:hAnsi="Arial" w:cs="Arial"/>
      <w:sz w:val="16"/>
      <w:szCs w:val="22"/>
    </w:rPr>
  </w:style>
  <w:style w:type="paragraph" w:customStyle="1" w:styleId="1Reference">
    <w:name w:val="1. Reference"/>
    <w:basedOn w:val="PlainParagraph"/>
    <w:autoRedefine/>
    <w:rsid w:val="00BE1229"/>
    <w:pPr>
      <w:spacing w:before="0" w:after="0" w:line="200" w:lineRule="atLeast"/>
    </w:pPr>
    <w:rPr>
      <w:sz w:val="20"/>
    </w:rPr>
  </w:style>
  <w:style w:type="paragraph" w:customStyle="1" w:styleId="2Date">
    <w:name w:val="2. Date"/>
    <w:basedOn w:val="PlainParagraph"/>
    <w:next w:val="3Address"/>
    <w:rsid w:val="00BE1229"/>
    <w:pPr>
      <w:spacing w:before="280" w:after="280"/>
    </w:pPr>
  </w:style>
  <w:style w:type="paragraph" w:customStyle="1" w:styleId="3Address">
    <w:name w:val="3. Address"/>
    <w:basedOn w:val="PlainParagraph"/>
    <w:rsid w:val="00BE1229"/>
    <w:pPr>
      <w:keepLines/>
      <w:widowControl w:val="0"/>
      <w:spacing w:before="0" w:after="0"/>
    </w:pPr>
  </w:style>
  <w:style w:type="paragraph" w:customStyle="1" w:styleId="4Addressee">
    <w:name w:val="4. Addressee"/>
    <w:basedOn w:val="PlainParagraph"/>
    <w:next w:val="SubjectTitle"/>
    <w:rsid w:val="00BE1229"/>
    <w:pPr>
      <w:keepLines/>
      <w:widowControl w:val="0"/>
      <w:spacing w:before="420" w:after="280"/>
    </w:pPr>
  </w:style>
  <w:style w:type="paragraph" w:customStyle="1" w:styleId="SubjectTitle">
    <w:name w:val="Subject/Title"/>
    <w:basedOn w:val="PlainParagraph"/>
    <w:next w:val="PlainParagraph"/>
    <w:rsid w:val="00BE1229"/>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BE1229"/>
    <w:pPr>
      <w:spacing w:before="420" w:after="0"/>
    </w:pPr>
    <w:rPr>
      <w:caps/>
      <w:sz w:val="20"/>
    </w:rPr>
  </w:style>
  <w:style w:type="paragraph" w:customStyle="1" w:styleId="Classificationlegalheader">
    <w:name w:val="Classification legal: header"/>
    <w:basedOn w:val="PlainParagraph"/>
    <w:semiHidden/>
    <w:rsid w:val="00BE1229"/>
    <w:pPr>
      <w:spacing w:before="0" w:after="0" w:line="200" w:lineRule="atLeast"/>
    </w:pPr>
    <w:rPr>
      <w:caps/>
      <w:sz w:val="20"/>
    </w:rPr>
  </w:style>
  <w:style w:type="paragraph" w:customStyle="1" w:styleId="Classificationsecurityheader">
    <w:name w:val="Classification security: header"/>
    <w:basedOn w:val="PlainParagraph"/>
    <w:semiHidden/>
    <w:rsid w:val="00BE1229"/>
    <w:pPr>
      <w:spacing w:before="280" w:after="0"/>
    </w:pPr>
    <w:rPr>
      <w:b/>
      <w:caps/>
      <w:color w:val="FFFFFF"/>
    </w:rPr>
  </w:style>
  <w:style w:type="paragraph" w:customStyle="1" w:styleId="Classificationsecurityfooter">
    <w:name w:val="Classification security: footer"/>
    <w:basedOn w:val="PlainParagraph"/>
    <w:semiHidden/>
    <w:rsid w:val="00BE1229"/>
    <w:pPr>
      <w:spacing w:after="0"/>
    </w:pPr>
    <w:rPr>
      <w:b/>
      <w:caps/>
      <w:color w:val="FFFFFF"/>
    </w:rPr>
  </w:style>
  <w:style w:type="paragraph" w:styleId="Footer">
    <w:name w:val="footer"/>
    <w:basedOn w:val="FooterBase"/>
    <w:link w:val="FooterChar1"/>
    <w:rsid w:val="00BE1229"/>
    <w:pPr>
      <w:tabs>
        <w:tab w:val="right" w:pos="8220"/>
      </w:tabs>
    </w:pPr>
  </w:style>
  <w:style w:type="paragraph" w:customStyle="1" w:styleId="FooterSubject">
    <w:name w:val="Footer Subject"/>
    <w:basedOn w:val="FooterBase"/>
    <w:semiHidden/>
    <w:rsid w:val="00BE1229"/>
    <w:pPr>
      <w:ind w:right="1417"/>
    </w:pPr>
  </w:style>
  <w:style w:type="paragraph" w:customStyle="1" w:styleId="FooterLandscape">
    <w:name w:val="Footer Landscape"/>
    <w:basedOn w:val="FooterBase"/>
    <w:semiHidden/>
    <w:rsid w:val="00BE1229"/>
    <w:pPr>
      <w:tabs>
        <w:tab w:val="right" w:pos="13175"/>
      </w:tabs>
    </w:pPr>
  </w:style>
  <w:style w:type="paragraph" w:styleId="Header">
    <w:name w:val="header"/>
    <w:basedOn w:val="HeaderBase"/>
    <w:link w:val="HeaderChar"/>
    <w:rsid w:val="00BE1229"/>
    <w:pPr>
      <w:tabs>
        <w:tab w:val="right" w:pos="8220"/>
      </w:tabs>
    </w:pPr>
  </w:style>
  <w:style w:type="paragraph" w:customStyle="1" w:styleId="HeaderLandscape">
    <w:name w:val="Header Landscape"/>
    <w:basedOn w:val="HeaderBase"/>
    <w:semiHidden/>
    <w:rsid w:val="00BE1229"/>
    <w:pPr>
      <w:tabs>
        <w:tab w:val="right" w:pos="13175"/>
      </w:tabs>
    </w:pPr>
  </w:style>
  <w:style w:type="paragraph" w:customStyle="1" w:styleId="DraftinHeader">
    <w:name w:val="Draft in Header"/>
    <w:basedOn w:val="HeaderBase"/>
    <w:semiHidden/>
    <w:rsid w:val="00BE1229"/>
    <w:pPr>
      <w:tabs>
        <w:tab w:val="right" w:pos="8220"/>
      </w:tabs>
    </w:pPr>
  </w:style>
  <w:style w:type="paragraph" w:customStyle="1" w:styleId="Sig1Salutation">
    <w:name w:val="Sig. 1 Salutation"/>
    <w:basedOn w:val="PlainParagraph"/>
    <w:rsid w:val="00BE1229"/>
    <w:pPr>
      <w:keepNext/>
      <w:widowControl w:val="0"/>
    </w:pPr>
  </w:style>
  <w:style w:type="paragraph" w:customStyle="1" w:styleId="Sig2Officer">
    <w:name w:val="Sig. 2 Officer"/>
    <w:basedOn w:val="PlainParagraph"/>
    <w:rsid w:val="00BE1229"/>
    <w:pPr>
      <w:keepNext/>
      <w:widowControl w:val="0"/>
      <w:tabs>
        <w:tab w:val="left" w:pos="4535"/>
      </w:tabs>
      <w:spacing w:before="0" w:after="0"/>
    </w:pPr>
    <w:rPr>
      <w:b/>
    </w:rPr>
  </w:style>
  <w:style w:type="paragraph" w:customStyle="1" w:styleId="Sig3Title">
    <w:name w:val="Sig. 3 Title"/>
    <w:basedOn w:val="PlainParagraph"/>
    <w:rsid w:val="00BE1229"/>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BE1229"/>
    <w:pPr>
      <w:keepNext/>
      <w:widowControl w:val="0"/>
      <w:tabs>
        <w:tab w:val="left" w:pos="4535"/>
      </w:tabs>
      <w:spacing w:before="20" w:after="0" w:line="240" w:lineRule="atLeast"/>
    </w:pPr>
    <w:rPr>
      <w:sz w:val="20"/>
    </w:rPr>
  </w:style>
  <w:style w:type="paragraph" w:customStyle="1" w:styleId="Sig5Email">
    <w:name w:val="Sig. 5 Email"/>
    <w:basedOn w:val="PlainParagraph"/>
    <w:rsid w:val="00BE1229"/>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BE1229"/>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BE1229"/>
    <w:pPr>
      <w:keepNext/>
      <w:keepLines/>
      <w:spacing w:before="0" w:after="420"/>
    </w:pPr>
    <w:rPr>
      <w:caps/>
    </w:rPr>
  </w:style>
  <w:style w:type="paragraph" w:customStyle="1" w:styleId="ContentsHeading">
    <w:name w:val="Contents Heading"/>
    <w:basedOn w:val="HeadingBase"/>
    <w:next w:val="PlainParagraph"/>
    <w:rsid w:val="00BE1229"/>
    <w:pPr>
      <w:keepNext/>
      <w:keepLines/>
      <w:spacing w:before="0" w:after="280"/>
    </w:pPr>
    <w:rPr>
      <w:b/>
      <w:caps/>
    </w:rPr>
  </w:style>
  <w:style w:type="paragraph" w:customStyle="1" w:styleId="Leg1SecHead1">
    <w:name w:val="Leg1 Sec Head: 1."/>
    <w:basedOn w:val="PlainParagraph"/>
    <w:rsid w:val="00BE1229"/>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rsid w:val="00BE1229"/>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rsid w:val="00BE1229"/>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rsid w:val="00BE1229"/>
    <w:pPr>
      <w:spacing w:before="60" w:after="60" w:line="260" w:lineRule="atLeast"/>
      <w:ind w:left="1276" w:right="567" w:hanging="425"/>
    </w:pPr>
    <w:rPr>
      <w:sz w:val="20"/>
    </w:rPr>
  </w:style>
  <w:style w:type="paragraph" w:customStyle="1" w:styleId="Leg5Paraa">
    <w:name w:val="Leg5 Para: (a)"/>
    <w:basedOn w:val="PlainParagraph"/>
    <w:rsid w:val="00BE1229"/>
    <w:pPr>
      <w:spacing w:before="60" w:after="60" w:line="260" w:lineRule="atLeast"/>
      <w:ind w:left="1843" w:right="567" w:hanging="567"/>
    </w:pPr>
    <w:rPr>
      <w:sz w:val="20"/>
    </w:rPr>
  </w:style>
  <w:style w:type="paragraph" w:customStyle="1" w:styleId="Leg6SubParai">
    <w:name w:val="Leg6 SubPara: (i)"/>
    <w:basedOn w:val="PlainParagraph"/>
    <w:rsid w:val="00BE1229"/>
    <w:pPr>
      <w:spacing w:before="60" w:after="60" w:line="260" w:lineRule="atLeast"/>
      <w:ind w:left="2409" w:right="567" w:hanging="567"/>
    </w:pPr>
    <w:rPr>
      <w:sz w:val="20"/>
    </w:rPr>
  </w:style>
  <w:style w:type="paragraph" w:customStyle="1" w:styleId="QAQuestion">
    <w:name w:val="Q&amp;A: Question"/>
    <w:basedOn w:val="PlainParagraph"/>
    <w:next w:val="QAAnswer"/>
    <w:rsid w:val="00BE1229"/>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BE1229"/>
    <w:pPr>
      <w:tabs>
        <w:tab w:val="left" w:pos="425"/>
        <w:tab w:val="left" w:pos="850"/>
      </w:tabs>
      <w:spacing w:before="0"/>
      <w:ind w:left="850" w:hanging="850"/>
    </w:pPr>
  </w:style>
  <w:style w:type="paragraph" w:customStyle="1" w:styleId="QAText">
    <w:name w:val="Q&amp;A: Text"/>
    <w:basedOn w:val="PlainParagraph"/>
    <w:rsid w:val="00BE1229"/>
    <w:pPr>
      <w:keepNext/>
      <w:widowControl w:val="0"/>
      <w:ind w:left="425"/>
    </w:pPr>
    <w:rPr>
      <w:i/>
    </w:rPr>
  </w:style>
  <w:style w:type="paragraph" w:customStyle="1" w:styleId="Quotation">
    <w:name w:val="Quotation"/>
    <w:basedOn w:val="PlainParagraph"/>
    <w:semiHidden/>
    <w:rsid w:val="00BE1229"/>
    <w:pPr>
      <w:numPr>
        <w:numId w:val="1"/>
      </w:numPr>
      <w:spacing w:before="0" w:line="260" w:lineRule="atLeast"/>
    </w:pPr>
    <w:rPr>
      <w:sz w:val="20"/>
    </w:rPr>
  </w:style>
  <w:style w:type="paragraph" w:customStyle="1" w:styleId="Quotation1">
    <w:name w:val="Quotation 1"/>
    <w:basedOn w:val="PlainParagraph"/>
    <w:link w:val="Quotation1Char1"/>
    <w:rsid w:val="00BE1229"/>
    <w:pPr>
      <w:numPr>
        <w:ilvl w:val="1"/>
        <w:numId w:val="1"/>
      </w:numPr>
      <w:spacing w:before="0" w:line="260" w:lineRule="atLeast"/>
    </w:pPr>
    <w:rPr>
      <w:sz w:val="20"/>
    </w:rPr>
  </w:style>
  <w:style w:type="paragraph" w:customStyle="1" w:styleId="Quotation2">
    <w:name w:val="Quotation 2"/>
    <w:basedOn w:val="PlainParagraph"/>
    <w:semiHidden/>
    <w:rsid w:val="00BE1229"/>
    <w:pPr>
      <w:numPr>
        <w:ilvl w:val="2"/>
        <w:numId w:val="1"/>
      </w:numPr>
      <w:spacing w:before="0" w:line="260" w:lineRule="atLeast"/>
    </w:pPr>
    <w:rPr>
      <w:sz w:val="20"/>
    </w:rPr>
  </w:style>
  <w:style w:type="paragraph" w:customStyle="1" w:styleId="Quotation3">
    <w:name w:val="Quotation 3"/>
    <w:basedOn w:val="PlainParagraph"/>
    <w:semiHidden/>
    <w:rsid w:val="00BE1229"/>
    <w:pPr>
      <w:numPr>
        <w:ilvl w:val="3"/>
        <w:numId w:val="1"/>
      </w:numPr>
      <w:spacing w:before="0" w:line="260" w:lineRule="atLeast"/>
    </w:pPr>
    <w:rPr>
      <w:sz w:val="20"/>
    </w:rPr>
  </w:style>
  <w:style w:type="paragraph" w:customStyle="1" w:styleId="Quotation4">
    <w:name w:val="Quotation 4"/>
    <w:basedOn w:val="PlainParagraph"/>
    <w:semiHidden/>
    <w:rsid w:val="00BE1229"/>
    <w:pPr>
      <w:numPr>
        <w:ilvl w:val="4"/>
        <w:numId w:val="1"/>
      </w:numPr>
      <w:spacing w:before="0" w:line="260" w:lineRule="atLeast"/>
    </w:pPr>
    <w:rPr>
      <w:sz w:val="20"/>
    </w:rPr>
  </w:style>
  <w:style w:type="paragraph" w:customStyle="1" w:styleId="Quotation5">
    <w:name w:val="Quotation 5"/>
    <w:basedOn w:val="PlainParagraph"/>
    <w:semiHidden/>
    <w:rsid w:val="00BE1229"/>
    <w:pPr>
      <w:numPr>
        <w:ilvl w:val="5"/>
        <w:numId w:val="1"/>
      </w:numPr>
      <w:spacing w:before="0" w:line="260" w:lineRule="atLeast"/>
    </w:pPr>
    <w:rPr>
      <w:sz w:val="20"/>
    </w:rPr>
  </w:style>
  <w:style w:type="paragraph" w:customStyle="1" w:styleId="Quotation6">
    <w:name w:val="Quotation 6"/>
    <w:basedOn w:val="PlainParagraph"/>
    <w:semiHidden/>
    <w:rsid w:val="00BE1229"/>
    <w:pPr>
      <w:numPr>
        <w:ilvl w:val="6"/>
        <w:numId w:val="1"/>
      </w:numPr>
      <w:spacing w:before="0" w:line="260" w:lineRule="atLeast"/>
    </w:pPr>
    <w:rPr>
      <w:sz w:val="20"/>
    </w:rPr>
  </w:style>
  <w:style w:type="paragraph" w:customStyle="1" w:styleId="Quotation7">
    <w:name w:val="Quotation 7"/>
    <w:basedOn w:val="PlainParagraph"/>
    <w:semiHidden/>
    <w:rsid w:val="00BE1229"/>
    <w:pPr>
      <w:numPr>
        <w:ilvl w:val="7"/>
        <w:numId w:val="1"/>
      </w:numPr>
      <w:spacing w:before="0" w:line="260" w:lineRule="atLeast"/>
    </w:pPr>
    <w:rPr>
      <w:sz w:val="20"/>
    </w:rPr>
  </w:style>
  <w:style w:type="paragraph" w:customStyle="1" w:styleId="Quotation8">
    <w:name w:val="Quotation 8"/>
    <w:basedOn w:val="PlainParagraph"/>
    <w:semiHidden/>
    <w:rsid w:val="00BE1229"/>
    <w:pPr>
      <w:numPr>
        <w:ilvl w:val="8"/>
        <w:numId w:val="1"/>
      </w:numPr>
      <w:spacing w:before="0" w:line="260" w:lineRule="atLeast"/>
    </w:pPr>
    <w:rPr>
      <w:sz w:val="20"/>
    </w:rPr>
  </w:style>
  <w:style w:type="paragraph" w:customStyle="1" w:styleId="NumberLevel1">
    <w:name w:val="Number Level 1"/>
    <w:basedOn w:val="PlainParagraph"/>
    <w:link w:val="NumberLevel1Char1"/>
    <w:rsid w:val="00BE1229"/>
  </w:style>
  <w:style w:type="paragraph" w:customStyle="1" w:styleId="NumberLevel2">
    <w:name w:val="Number Level 2"/>
    <w:basedOn w:val="PlainParagraph"/>
    <w:link w:val="NumberLevel2Char"/>
    <w:rsid w:val="00BE1229"/>
  </w:style>
  <w:style w:type="paragraph" w:customStyle="1" w:styleId="NumberLevel3">
    <w:name w:val="Number Level 3"/>
    <w:basedOn w:val="PlainParagraph"/>
    <w:rsid w:val="00BE1229"/>
  </w:style>
  <w:style w:type="paragraph" w:customStyle="1" w:styleId="NumberLevel4">
    <w:name w:val="Number Level 4"/>
    <w:basedOn w:val="PlainParagraph"/>
    <w:rsid w:val="00BE1229"/>
    <w:pPr>
      <w:spacing w:before="0"/>
    </w:pPr>
  </w:style>
  <w:style w:type="paragraph" w:customStyle="1" w:styleId="NumberLevel5">
    <w:name w:val="Number Level 5"/>
    <w:basedOn w:val="PlainParagraph"/>
    <w:semiHidden/>
    <w:rsid w:val="00BE1229"/>
    <w:pPr>
      <w:spacing w:before="0"/>
    </w:pPr>
  </w:style>
  <w:style w:type="paragraph" w:customStyle="1" w:styleId="NumberLevel6">
    <w:name w:val="Number Level 6"/>
    <w:basedOn w:val="NumberLevel5"/>
    <w:semiHidden/>
    <w:rsid w:val="00BE1229"/>
  </w:style>
  <w:style w:type="paragraph" w:customStyle="1" w:styleId="NumberLevel7">
    <w:name w:val="Number Level 7"/>
    <w:basedOn w:val="NumberLevel6"/>
    <w:semiHidden/>
    <w:rsid w:val="00BE1229"/>
  </w:style>
  <w:style w:type="paragraph" w:customStyle="1" w:styleId="NumberLevel8">
    <w:name w:val="Number Level 8"/>
    <w:basedOn w:val="NumberLevel7"/>
    <w:semiHidden/>
    <w:rsid w:val="00BE1229"/>
  </w:style>
  <w:style w:type="paragraph" w:customStyle="1" w:styleId="NumberLevel9">
    <w:name w:val="Number Level 9"/>
    <w:basedOn w:val="NumberLevel8"/>
    <w:semiHidden/>
    <w:rsid w:val="00BE1229"/>
  </w:style>
  <w:style w:type="paragraph" w:customStyle="1" w:styleId="DashEm">
    <w:name w:val="Dash: Em"/>
    <w:basedOn w:val="PlainParagraph"/>
    <w:semiHidden/>
    <w:rsid w:val="00BE1229"/>
    <w:pPr>
      <w:numPr>
        <w:numId w:val="2"/>
      </w:numPr>
      <w:spacing w:before="0"/>
    </w:pPr>
  </w:style>
  <w:style w:type="paragraph" w:customStyle="1" w:styleId="DashEm1">
    <w:name w:val="Dash: Em 1"/>
    <w:basedOn w:val="PlainParagraph"/>
    <w:rsid w:val="00BE1229"/>
    <w:pPr>
      <w:numPr>
        <w:ilvl w:val="1"/>
        <w:numId w:val="2"/>
      </w:numPr>
      <w:spacing w:before="0"/>
    </w:pPr>
  </w:style>
  <w:style w:type="paragraph" w:customStyle="1" w:styleId="DashEn1">
    <w:name w:val="Dash: En 1"/>
    <w:basedOn w:val="DashEm"/>
    <w:rsid w:val="00BE1229"/>
    <w:pPr>
      <w:numPr>
        <w:ilvl w:val="2"/>
      </w:numPr>
    </w:pPr>
  </w:style>
  <w:style w:type="paragraph" w:customStyle="1" w:styleId="DashEn2">
    <w:name w:val="Dash: En 2"/>
    <w:basedOn w:val="DashEn1"/>
    <w:semiHidden/>
    <w:rsid w:val="00BE1229"/>
    <w:pPr>
      <w:numPr>
        <w:ilvl w:val="3"/>
      </w:numPr>
    </w:pPr>
  </w:style>
  <w:style w:type="paragraph" w:customStyle="1" w:styleId="DashEn3">
    <w:name w:val="Dash: En 3"/>
    <w:basedOn w:val="DashEn2"/>
    <w:semiHidden/>
    <w:rsid w:val="00BE1229"/>
    <w:pPr>
      <w:numPr>
        <w:ilvl w:val="4"/>
      </w:numPr>
    </w:pPr>
  </w:style>
  <w:style w:type="paragraph" w:customStyle="1" w:styleId="DashEn4">
    <w:name w:val="Dash: En 4"/>
    <w:basedOn w:val="DashEn3"/>
    <w:semiHidden/>
    <w:rsid w:val="00BE1229"/>
    <w:pPr>
      <w:numPr>
        <w:ilvl w:val="5"/>
      </w:numPr>
    </w:pPr>
  </w:style>
  <w:style w:type="paragraph" w:customStyle="1" w:styleId="DashEn5">
    <w:name w:val="Dash: En 5"/>
    <w:basedOn w:val="DashEn4"/>
    <w:semiHidden/>
    <w:rsid w:val="00BE1229"/>
    <w:pPr>
      <w:numPr>
        <w:ilvl w:val="6"/>
      </w:numPr>
    </w:pPr>
  </w:style>
  <w:style w:type="paragraph" w:customStyle="1" w:styleId="DashEn6">
    <w:name w:val="Dash: En 6"/>
    <w:basedOn w:val="DashEn5"/>
    <w:semiHidden/>
    <w:rsid w:val="00BE1229"/>
    <w:pPr>
      <w:numPr>
        <w:ilvl w:val="7"/>
      </w:numPr>
    </w:pPr>
  </w:style>
  <w:style w:type="paragraph" w:customStyle="1" w:styleId="DashEn7">
    <w:name w:val="Dash: En 7"/>
    <w:basedOn w:val="DashEn6"/>
    <w:semiHidden/>
    <w:rsid w:val="00BE1229"/>
    <w:pPr>
      <w:numPr>
        <w:ilvl w:val="8"/>
      </w:numPr>
    </w:pPr>
  </w:style>
  <w:style w:type="paragraph" w:customStyle="1" w:styleId="IndentHanging">
    <w:name w:val="Indent: Hanging"/>
    <w:basedOn w:val="PlainParagraph"/>
    <w:semiHidden/>
    <w:rsid w:val="00BE1229"/>
    <w:pPr>
      <w:numPr>
        <w:numId w:val="3"/>
      </w:numPr>
      <w:spacing w:before="0"/>
    </w:pPr>
  </w:style>
  <w:style w:type="paragraph" w:customStyle="1" w:styleId="IndentHanging1">
    <w:name w:val="Indent: Hanging 1"/>
    <w:basedOn w:val="IndentHanging"/>
    <w:rsid w:val="00BE1229"/>
    <w:pPr>
      <w:numPr>
        <w:ilvl w:val="1"/>
      </w:numPr>
    </w:pPr>
  </w:style>
  <w:style w:type="paragraph" w:customStyle="1" w:styleId="IndentHanging2">
    <w:name w:val="Indent: Hanging 2"/>
    <w:basedOn w:val="IndentHanging1"/>
    <w:semiHidden/>
    <w:rsid w:val="00BE1229"/>
    <w:pPr>
      <w:numPr>
        <w:ilvl w:val="2"/>
      </w:numPr>
    </w:pPr>
  </w:style>
  <w:style w:type="paragraph" w:customStyle="1" w:styleId="IndentHanging3">
    <w:name w:val="Indent: Hanging 3"/>
    <w:basedOn w:val="IndentHanging2"/>
    <w:semiHidden/>
    <w:rsid w:val="00BE1229"/>
    <w:pPr>
      <w:numPr>
        <w:ilvl w:val="3"/>
      </w:numPr>
    </w:pPr>
  </w:style>
  <w:style w:type="paragraph" w:customStyle="1" w:styleId="IndentHanging4">
    <w:name w:val="Indent: Hanging 4"/>
    <w:basedOn w:val="IndentHanging3"/>
    <w:semiHidden/>
    <w:rsid w:val="00BE1229"/>
    <w:pPr>
      <w:numPr>
        <w:ilvl w:val="4"/>
      </w:numPr>
    </w:pPr>
  </w:style>
  <w:style w:type="paragraph" w:customStyle="1" w:styleId="IndentHanging5">
    <w:name w:val="Indent: Hanging 5"/>
    <w:basedOn w:val="IndentHanging4"/>
    <w:semiHidden/>
    <w:rsid w:val="00BE1229"/>
    <w:pPr>
      <w:numPr>
        <w:ilvl w:val="5"/>
      </w:numPr>
    </w:pPr>
  </w:style>
  <w:style w:type="paragraph" w:customStyle="1" w:styleId="IndentHanging6">
    <w:name w:val="Indent: Hanging 6"/>
    <w:basedOn w:val="IndentHanging5"/>
    <w:semiHidden/>
    <w:rsid w:val="00BE1229"/>
    <w:pPr>
      <w:numPr>
        <w:ilvl w:val="6"/>
      </w:numPr>
    </w:pPr>
  </w:style>
  <w:style w:type="paragraph" w:customStyle="1" w:styleId="IndentHanging7">
    <w:name w:val="Indent: Hanging 7"/>
    <w:basedOn w:val="IndentHanging6"/>
    <w:semiHidden/>
    <w:rsid w:val="00BE1229"/>
    <w:pPr>
      <w:numPr>
        <w:ilvl w:val="7"/>
      </w:numPr>
    </w:pPr>
  </w:style>
  <w:style w:type="paragraph" w:customStyle="1" w:styleId="IndentHanging8">
    <w:name w:val="Indent: Hanging 8"/>
    <w:basedOn w:val="IndentHanging7"/>
    <w:semiHidden/>
    <w:rsid w:val="00BE1229"/>
    <w:pPr>
      <w:numPr>
        <w:ilvl w:val="8"/>
      </w:numPr>
    </w:pPr>
  </w:style>
  <w:style w:type="paragraph" w:customStyle="1" w:styleId="IndentFull">
    <w:name w:val="Indent: Full"/>
    <w:basedOn w:val="PlainParagraph"/>
    <w:semiHidden/>
    <w:rsid w:val="00BE1229"/>
    <w:pPr>
      <w:numPr>
        <w:numId w:val="4"/>
      </w:numPr>
      <w:spacing w:before="0"/>
    </w:pPr>
  </w:style>
  <w:style w:type="paragraph" w:customStyle="1" w:styleId="IndentFull1">
    <w:name w:val="Indent: Full 1"/>
    <w:basedOn w:val="IndentFull"/>
    <w:rsid w:val="00BE1229"/>
    <w:pPr>
      <w:numPr>
        <w:ilvl w:val="1"/>
      </w:numPr>
    </w:pPr>
  </w:style>
  <w:style w:type="paragraph" w:customStyle="1" w:styleId="IndentFull2">
    <w:name w:val="Indent: Full 2"/>
    <w:basedOn w:val="IndentFull1"/>
    <w:semiHidden/>
    <w:rsid w:val="00BE1229"/>
    <w:pPr>
      <w:numPr>
        <w:ilvl w:val="2"/>
      </w:numPr>
    </w:pPr>
  </w:style>
  <w:style w:type="paragraph" w:customStyle="1" w:styleId="IndentFull3">
    <w:name w:val="Indent: Full 3"/>
    <w:basedOn w:val="IndentFull2"/>
    <w:semiHidden/>
    <w:rsid w:val="00BE1229"/>
    <w:pPr>
      <w:numPr>
        <w:ilvl w:val="3"/>
      </w:numPr>
    </w:pPr>
  </w:style>
  <w:style w:type="paragraph" w:customStyle="1" w:styleId="IndentFull4">
    <w:name w:val="Indent: Full 4"/>
    <w:basedOn w:val="IndentFull3"/>
    <w:semiHidden/>
    <w:rsid w:val="00BE1229"/>
    <w:pPr>
      <w:numPr>
        <w:ilvl w:val="4"/>
      </w:numPr>
    </w:pPr>
  </w:style>
  <w:style w:type="paragraph" w:customStyle="1" w:styleId="IndentFull5">
    <w:name w:val="Indent: Full 5"/>
    <w:basedOn w:val="IndentFull4"/>
    <w:semiHidden/>
    <w:rsid w:val="00BE1229"/>
    <w:pPr>
      <w:numPr>
        <w:ilvl w:val="5"/>
      </w:numPr>
    </w:pPr>
  </w:style>
  <w:style w:type="paragraph" w:customStyle="1" w:styleId="IndentFull6">
    <w:name w:val="Indent: Full 6"/>
    <w:basedOn w:val="IndentFull5"/>
    <w:semiHidden/>
    <w:rsid w:val="00BE1229"/>
    <w:pPr>
      <w:numPr>
        <w:ilvl w:val="6"/>
      </w:numPr>
    </w:pPr>
  </w:style>
  <w:style w:type="paragraph" w:customStyle="1" w:styleId="IndentFull7">
    <w:name w:val="Indent: Full 7"/>
    <w:basedOn w:val="IndentFull6"/>
    <w:semiHidden/>
    <w:rsid w:val="00BE1229"/>
    <w:pPr>
      <w:numPr>
        <w:ilvl w:val="7"/>
      </w:numPr>
    </w:pPr>
  </w:style>
  <w:style w:type="paragraph" w:customStyle="1" w:styleId="IndentFull8">
    <w:name w:val="Indent: Full 8"/>
    <w:basedOn w:val="IndentFull7"/>
    <w:semiHidden/>
    <w:rsid w:val="00BE1229"/>
    <w:pPr>
      <w:numPr>
        <w:ilvl w:val="8"/>
      </w:numPr>
    </w:pPr>
  </w:style>
  <w:style w:type="paragraph" w:customStyle="1" w:styleId="NumberedList1">
    <w:name w:val="Numbered List: 1)"/>
    <w:basedOn w:val="PlainParagraph"/>
    <w:semiHidden/>
    <w:rsid w:val="00BE1229"/>
    <w:pPr>
      <w:numPr>
        <w:numId w:val="5"/>
      </w:numPr>
      <w:spacing w:before="0"/>
    </w:pPr>
  </w:style>
  <w:style w:type="paragraph" w:customStyle="1" w:styleId="NumberedList11">
    <w:name w:val="Numbered List: 1) 1"/>
    <w:basedOn w:val="NumberedList1"/>
    <w:rsid w:val="00BE1229"/>
    <w:pPr>
      <w:numPr>
        <w:ilvl w:val="1"/>
      </w:numPr>
    </w:pPr>
  </w:style>
  <w:style w:type="paragraph" w:customStyle="1" w:styleId="NumberedList12">
    <w:name w:val="Numbered List: 1) 2"/>
    <w:basedOn w:val="NumberedList11"/>
    <w:semiHidden/>
    <w:rsid w:val="00BE1229"/>
    <w:pPr>
      <w:numPr>
        <w:ilvl w:val="2"/>
      </w:numPr>
    </w:pPr>
  </w:style>
  <w:style w:type="paragraph" w:customStyle="1" w:styleId="NumberedList13">
    <w:name w:val="Numbered List: 1) 3"/>
    <w:basedOn w:val="NumberedList12"/>
    <w:semiHidden/>
    <w:rsid w:val="00BE1229"/>
    <w:pPr>
      <w:numPr>
        <w:ilvl w:val="3"/>
      </w:numPr>
    </w:pPr>
  </w:style>
  <w:style w:type="paragraph" w:customStyle="1" w:styleId="NumberedList14">
    <w:name w:val="Numbered List: 1) 4"/>
    <w:basedOn w:val="NumberedList13"/>
    <w:semiHidden/>
    <w:rsid w:val="00BE1229"/>
    <w:pPr>
      <w:numPr>
        <w:ilvl w:val="4"/>
      </w:numPr>
    </w:pPr>
  </w:style>
  <w:style w:type="paragraph" w:customStyle="1" w:styleId="NumberedList15">
    <w:name w:val="Numbered List: 1) 5"/>
    <w:basedOn w:val="NumberedList14"/>
    <w:semiHidden/>
    <w:rsid w:val="00BE1229"/>
    <w:pPr>
      <w:numPr>
        <w:ilvl w:val="5"/>
      </w:numPr>
    </w:pPr>
  </w:style>
  <w:style w:type="paragraph" w:customStyle="1" w:styleId="NumberedList16">
    <w:name w:val="Numbered List: 1) 6"/>
    <w:basedOn w:val="NumberedList15"/>
    <w:semiHidden/>
    <w:rsid w:val="00BE1229"/>
    <w:pPr>
      <w:numPr>
        <w:ilvl w:val="6"/>
      </w:numPr>
    </w:pPr>
  </w:style>
  <w:style w:type="paragraph" w:customStyle="1" w:styleId="NumberedList17">
    <w:name w:val="Numbered List: 1) 7"/>
    <w:basedOn w:val="NumberedList16"/>
    <w:semiHidden/>
    <w:rsid w:val="00BE1229"/>
    <w:pPr>
      <w:numPr>
        <w:ilvl w:val="7"/>
      </w:numPr>
    </w:pPr>
  </w:style>
  <w:style w:type="paragraph" w:customStyle="1" w:styleId="NumberedList18">
    <w:name w:val="Numbered List: 1) 8"/>
    <w:basedOn w:val="NumberedList17"/>
    <w:semiHidden/>
    <w:rsid w:val="00BE1229"/>
    <w:pPr>
      <w:numPr>
        <w:ilvl w:val="8"/>
      </w:numPr>
    </w:pPr>
  </w:style>
  <w:style w:type="paragraph" w:customStyle="1" w:styleId="NumberedLista">
    <w:name w:val="Numbered List: a)"/>
    <w:basedOn w:val="PlainParagraph"/>
    <w:semiHidden/>
    <w:rsid w:val="00BE1229"/>
    <w:pPr>
      <w:numPr>
        <w:numId w:val="6"/>
      </w:numPr>
      <w:spacing w:before="0"/>
    </w:pPr>
  </w:style>
  <w:style w:type="paragraph" w:customStyle="1" w:styleId="NumberedLista1">
    <w:name w:val="Numbered List: a) 1"/>
    <w:basedOn w:val="NumberedLista"/>
    <w:rsid w:val="00BE1229"/>
    <w:pPr>
      <w:numPr>
        <w:ilvl w:val="1"/>
      </w:numPr>
    </w:pPr>
  </w:style>
  <w:style w:type="paragraph" w:customStyle="1" w:styleId="NumberedLista2">
    <w:name w:val="Numbered List: a) 2"/>
    <w:basedOn w:val="NumberedLista1"/>
    <w:semiHidden/>
    <w:rsid w:val="00BE1229"/>
    <w:pPr>
      <w:numPr>
        <w:ilvl w:val="2"/>
      </w:numPr>
    </w:pPr>
  </w:style>
  <w:style w:type="paragraph" w:customStyle="1" w:styleId="NumberedLista3">
    <w:name w:val="Numbered List: a) 3"/>
    <w:basedOn w:val="NumberedLista2"/>
    <w:semiHidden/>
    <w:rsid w:val="00BE1229"/>
    <w:pPr>
      <w:numPr>
        <w:ilvl w:val="3"/>
      </w:numPr>
    </w:pPr>
  </w:style>
  <w:style w:type="paragraph" w:customStyle="1" w:styleId="NumberedLista4">
    <w:name w:val="Numbered List: a) 4"/>
    <w:basedOn w:val="NumberedLista3"/>
    <w:semiHidden/>
    <w:rsid w:val="00BE1229"/>
    <w:pPr>
      <w:numPr>
        <w:ilvl w:val="4"/>
      </w:numPr>
    </w:pPr>
  </w:style>
  <w:style w:type="paragraph" w:customStyle="1" w:styleId="NumberedLista5">
    <w:name w:val="Numbered List: a) 5"/>
    <w:basedOn w:val="NumberedLista4"/>
    <w:semiHidden/>
    <w:rsid w:val="00BE1229"/>
    <w:pPr>
      <w:numPr>
        <w:ilvl w:val="5"/>
      </w:numPr>
    </w:pPr>
  </w:style>
  <w:style w:type="paragraph" w:customStyle="1" w:styleId="NumberedLista6">
    <w:name w:val="Numbered List: a) 6"/>
    <w:basedOn w:val="NumberedLista5"/>
    <w:semiHidden/>
    <w:rsid w:val="00BE1229"/>
    <w:pPr>
      <w:numPr>
        <w:ilvl w:val="6"/>
      </w:numPr>
    </w:pPr>
  </w:style>
  <w:style w:type="paragraph" w:customStyle="1" w:styleId="NumberedLista7">
    <w:name w:val="Numbered List: a) 7"/>
    <w:basedOn w:val="NumberedLista6"/>
    <w:semiHidden/>
    <w:rsid w:val="00BE1229"/>
    <w:pPr>
      <w:numPr>
        <w:ilvl w:val="7"/>
      </w:numPr>
    </w:pPr>
  </w:style>
  <w:style w:type="paragraph" w:customStyle="1" w:styleId="NumberedLista8">
    <w:name w:val="Numbered List: a) 8"/>
    <w:basedOn w:val="NumberedLista7"/>
    <w:semiHidden/>
    <w:rsid w:val="00BE1229"/>
    <w:pPr>
      <w:numPr>
        <w:ilvl w:val="8"/>
      </w:numPr>
    </w:pPr>
  </w:style>
  <w:style w:type="paragraph" w:styleId="FootnoteText">
    <w:name w:val="footnote text"/>
    <w:basedOn w:val="PlainParagraph"/>
    <w:link w:val="FootnoteTextChar"/>
    <w:uiPriority w:val="99"/>
    <w:rsid w:val="00BE1229"/>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BE1229"/>
    <w:pPr>
      <w:tabs>
        <w:tab w:val="left" w:pos="425"/>
      </w:tabs>
      <w:spacing w:before="0" w:after="60" w:line="240" w:lineRule="auto"/>
      <w:ind w:left="425" w:hanging="425"/>
    </w:pPr>
    <w:rPr>
      <w:sz w:val="18"/>
      <w:szCs w:val="20"/>
    </w:rPr>
  </w:style>
  <w:style w:type="character" w:styleId="FootnoteReference">
    <w:name w:val="footnote reference"/>
    <w:uiPriority w:val="99"/>
    <w:semiHidden/>
    <w:rsid w:val="00BE1229"/>
    <w:rPr>
      <w:rFonts w:ascii="Arial" w:hAnsi="Arial" w:cs="Arial"/>
      <w:b w:val="0"/>
      <w:i w:val="0"/>
      <w:sz w:val="22"/>
      <w:vertAlign w:val="superscript"/>
    </w:rPr>
  </w:style>
  <w:style w:type="character" w:styleId="EndnoteReference">
    <w:name w:val="endnote reference"/>
    <w:semiHidden/>
    <w:rsid w:val="00BE1229"/>
    <w:rPr>
      <w:rFonts w:ascii="Arial" w:hAnsi="Arial" w:cs="Arial"/>
      <w:b w:val="0"/>
      <w:i w:val="0"/>
      <w:sz w:val="22"/>
      <w:vertAlign w:val="superscript"/>
    </w:rPr>
  </w:style>
  <w:style w:type="character" w:styleId="PageNumber">
    <w:name w:val="page number"/>
    <w:semiHidden/>
    <w:rsid w:val="00BE1229"/>
    <w:rPr>
      <w:rFonts w:ascii="Arial" w:hAnsi="Arial" w:cs="Arial"/>
      <w:b w:val="0"/>
      <w:i w:val="0"/>
      <w:sz w:val="16"/>
    </w:rPr>
  </w:style>
  <w:style w:type="character" w:styleId="Hyperlink">
    <w:name w:val="Hyperlink"/>
    <w:uiPriority w:val="99"/>
    <w:rsid w:val="00574443"/>
    <w:rPr>
      <w:rFonts w:ascii="Arial" w:hAnsi="Arial" w:cs="Arial"/>
      <w:noProof/>
      <w:color w:val="0000FF"/>
      <w:u w:val="single"/>
    </w:rPr>
  </w:style>
  <w:style w:type="paragraph" w:styleId="TOC1">
    <w:name w:val="toc 1"/>
    <w:next w:val="Normal"/>
    <w:autoRedefine/>
    <w:uiPriority w:val="39"/>
    <w:rsid w:val="0000730B"/>
    <w:pPr>
      <w:tabs>
        <w:tab w:val="right" w:leader="dot" w:pos="8777"/>
      </w:tabs>
      <w:spacing w:before="360"/>
    </w:pPr>
    <w:rPr>
      <w:rFonts w:ascii="Calibri" w:hAnsi="Calibri" w:cs="Arial"/>
      <w:b/>
      <w:bCs/>
      <w:caps/>
      <w:sz w:val="24"/>
      <w:szCs w:val="24"/>
    </w:rPr>
  </w:style>
  <w:style w:type="paragraph" w:styleId="TOC2">
    <w:name w:val="toc 2"/>
    <w:basedOn w:val="TOC1"/>
    <w:next w:val="Normal"/>
    <w:autoRedefine/>
    <w:uiPriority w:val="39"/>
    <w:rsid w:val="009E4F15"/>
    <w:pPr>
      <w:spacing w:before="240"/>
    </w:pPr>
    <w:rPr>
      <w:rFonts w:cs="Times New Roman"/>
      <w:caps w:val="0"/>
      <w:sz w:val="20"/>
      <w:szCs w:val="20"/>
    </w:rPr>
  </w:style>
  <w:style w:type="paragraph" w:styleId="TOC3">
    <w:name w:val="toc 3"/>
    <w:basedOn w:val="TOC2"/>
    <w:next w:val="Normal"/>
    <w:uiPriority w:val="39"/>
    <w:rsid w:val="00BE1229"/>
    <w:pPr>
      <w:spacing w:before="0"/>
      <w:ind w:left="220"/>
    </w:pPr>
    <w:rPr>
      <w:b w:val="0"/>
      <w:bCs w:val="0"/>
    </w:rPr>
  </w:style>
  <w:style w:type="paragraph" w:customStyle="1" w:styleId="Notes-client">
    <w:name w:val="Notes - client"/>
    <w:basedOn w:val="PlainParagraph"/>
    <w:rsid w:val="00BE1229"/>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BE1229"/>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BE1229"/>
    <w:rPr>
      <w:vanish/>
      <w:color w:val="0000FF"/>
    </w:rPr>
  </w:style>
  <w:style w:type="paragraph" w:customStyle="1" w:styleId="TablePlainParagraph">
    <w:name w:val="Table: Plain Paragraph"/>
    <w:basedOn w:val="PlainParagraph"/>
    <w:rsid w:val="00BE1229"/>
    <w:pPr>
      <w:spacing w:before="60" w:after="60" w:line="240" w:lineRule="atLeast"/>
    </w:pPr>
    <w:rPr>
      <w:sz w:val="20"/>
    </w:rPr>
  </w:style>
  <w:style w:type="paragraph" w:customStyle="1" w:styleId="TableHeading1">
    <w:name w:val="Table: Heading 1"/>
    <w:basedOn w:val="PlainParagraph"/>
    <w:rsid w:val="00BE1229"/>
    <w:pPr>
      <w:keepNext/>
      <w:keepLines/>
      <w:spacing w:before="60" w:after="0" w:line="240" w:lineRule="atLeast"/>
    </w:pPr>
    <w:rPr>
      <w:b/>
      <w:caps/>
      <w:sz w:val="20"/>
    </w:rPr>
  </w:style>
  <w:style w:type="paragraph" w:customStyle="1" w:styleId="TableHeading2">
    <w:name w:val="Table: Heading 2"/>
    <w:basedOn w:val="HeadingBase"/>
    <w:next w:val="TablePlainParagraph"/>
    <w:rsid w:val="00BE1229"/>
    <w:pPr>
      <w:keepNext/>
      <w:keepLines/>
      <w:spacing w:before="60" w:line="240" w:lineRule="atLeast"/>
    </w:pPr>
    <w:rPr>
      <w:b/>
    </w:rPr>
  </w:style>
  <w:style w:type="paragraph" w:customStyle="1" w:styleId="TableHeading3">
    <w:name w:val="Table: Heading 3"/>
    <w:basedOn w:val="HeadingBase"/>
    <w:next w:val="TablePlainParagraph"/>
    <w:rsid w:val="00BE1229"/>
    <w:pPr>
      <w:keepNext/>
      <w:keepLines/>
      <w:spacing w:before="60" w:line="240" w:lineRule="atLeast"/>
    </w:pPr>
    <w:rPr>
      <w:b/>
      <w:i/>
    </w:rPr>
  </w:style>
  <w:style w:type="paragraph" w:customStyle="1" w:styleId="TableHeading4">
    <w:name w:val="Table: Heading 4"/>
    <w:basedOn w:val="HeadingBase"/>
    <w:next w:val="TablePlainParagraph"/>
    <w:rsid w:val="00BE1229"/>
    <w:pPr>
      <w:keepNext/>
      <w:keepLines/>
      <w:spacing w:before="60" w:line="240" w:lineRule="atLeast"/>
    </w:pPr>
    <w:rPr>
      <w:i/>
    </w:rPr>
  </w:style>
  <w:style w:type="paragraph" w:customStyle="1" w:styleId="TableHeading5">
    <w:name w:val="Table: Heading 5"/>
    <w:basedOn w:val="HeadingBase"/>
    <w:next w:val="TablePlainParagraph"/>
    <w:rsid w:val="00BE1229"/>
    <w:pPr>
      <w:keepNext/>
      <w:keepLines/>
      <w:spacing w:before="60" w:line="240" w:lineRule="atLeast"/>
    </w:pPr>
    <w:rPr>
      <w:b/>
      <w:sz w:val="18"/>
    </w:rPr>
  </w:style>
  <w:style w:type="paragraph" w:customStyle="1" w:styleId="TableQAQuestion">
    <w:name w:val="Table: Q&amp;A: Question"/>
    <w:basedOn w:val="TablePlainParagraph"/>
    <w:next w:val="TableQAAnswer"/>
    <w:rsid w:val="00BE1229"/>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BE1229"/>
    <w:pPr>
      <w:tabs>
        <w:tab w:val="left" w:pos="283"/>
        <w:tab w:val="left" w:pos="567"/>
      </w:tabs>
      <w:spacing w:before="0"/>
      <w:ind w:left="283" w:hanging="283"/>
    </w:pPr>
  </w:style>
  <w:style w:type="paragraph" w:customStyle="1" w:styleId="TableQAText">
    <w:name w:val="Table: Q&amp;A: Text"/>
    <w:basedOn w:val="TablePlainParagraph"/>
    <w:rsid w:val="00BE1229"/>
    <w:pPr>
      <w:keepNext/>
      <w:widowControl w:val="0"/>
      <w:ind w:left="283" w:hanging="283"/>
    </w:pPr>
    <w:rPr>
      <w:i/>
    </w:rPr>
  </w:style>
  <w:style w:type="paragraph" w:customStyle="1" w:styleId="TableNumberLevel1">
    <w:name w:val="Table: Number Level 1"/>
    <w:basedOn w:val="TablePlainParagraph"/>
    <w:rsid w:val="00BE1229"/>
    <w:pPr>
      <w:numPr>
        <w:numId w:val="7"/>
      </w:numPr>
    </w:pPr>
  </w:style>
  <w:style w:type="paragraph" w:customStyle="1" w:styleId="TableNumberLevel2">
    <w:name w:val="Table: Number Level 2"/>
    <w:basedOn w:val="TablePlainParagraph"/>
    <w:rsid w:val="00BE1229"/>
    <w:pPr>
      <w:numPr>
        <w:ilvl w:val="1"/>
        <w:numId w:val="7"/>
      </w:numPr>
    </w:pPr>
  </w:style>
  <w:style w:type="paragraph" w:customStyle="1" w:styleId="TableNumberLevel3">
    <w:name w:val="Table: Number Level 3"/>
    <w:basedOn w:val="TablePlainParagraph"/>
    <w:rsid w:val="00BE1229"/>
    <w:pPr>
      <w:numPr>
        <w:ilvl w:val="2"/>
        <w:numId w:val="7"/>
      </w:numPr>
    </w:pPr>
  </w:style>
  <w:style w:type="paragraph" w:customStyle="1" w:styleId="TableNumberLevel4">
    <w:name w:val="Table: Number Level 4"/>
    <w:basedOn w:val="TablePlainParagraph"/>
    <w:rsid w:val="00BE1229"/>
    <w:pPr>
      <w:numPr>
        <w:ilvl w:val="3"/>
        <w:numId w:val="7"/>
      </w:numPr>
      <w:spacing w:before="0"/>
    </w:pPr>
  </w:style>
  <w:style w:type="paragraph" w:customStyle="1" w:styleId="TableNumberLevel5">
    <w:name w:val="Table: Number Level 5"/>
    <w:basedOn w:val="TablePlainParagraph"/>
    <w:semiHidden/>
    <w:rsid w:val="00BE1229"/>
    <w:pPr>
      <w:numPr>
        <w:ilvl w:val="4"/>
        <w:numId w:val="7"/>
      </w:numPr>
      <w:spacing w:before="0"/>
    </w:pPr>
  </w:style>
  <w:style w:type="paragraph" w:customStyle="1" w:styleId="TableNumberLevel6">
    <w:name w:val="Table: Number Level 6"/>
    <w:basedOn w:val="TablePlainParagraph"/>
    <w:semiHidden/>
    <w:rsid w:val="00BE1229"/>
    <w:pPr>
      <w:numPr>
        <w:ilvl w:val="5"/>
        <w:numId w:val="7"/>
      </w:numPr>
      <w:spacing w:before="0"/>
    </w:pPr>
  </w:style>
  <w:style w:type="paragraph" w:customStyle="1" w:styleId="TableNumberLevel7">
    <w:name w:val="Table: Number Level 7"/>
    <w:basedOn w:val="TablePlainParagraph"/>
    <w:semiHidden/>
    <w:rsid w:val="00BE1229"/>
    <w:pPr>
      <w:numPr>
        <w:ilvl w:val="6"/>
        <w:numId w:val="7"/>
      </w:numPr>
      <w:spacing w:before="0"/>
    </w:pPr>
  </w:style>
  <w:style w:type="paragraph" w:customStyle="1" w:styleId="TableNumberLevel8">
    <w:name w:val="Table: Number Level 8"/>
    <w:basedOn w:val="TablePlainParagraph"/>
    <w:semiHidden/>
    <w:rsid w:val="00BE1229"/>
    <w:pPr>
      <w:numPr>
        <w:ilvl w:val="7"/>
        <w:numId w:val="7"/>
      </w:numPr>
      <w:spacing w:before="0"/>
    </w:pPr>
  </w:style>
  <w:style w:type="paragraph" w:customStyle="1" w:styleId="TableNumberLevel9">
    <w:name w:val="Table: Number Level 9"/>
    <w:basedOn w:val="TablePlainParagraph"/>
    <w:semiHidden/>
    <w:rsid w:val="00BE1229"/>
    <w:pPr>
      <w:numPr>
        <w:ilvl w:val="8"/>
        <w:numId w:val="7"/>
      </w:numPr>
      <w:spacing w:before="0"/>
    </w:pPr>
  </w:style>
  <w:style w:type="paragraph" w:customStyle="1" w:styleId="TableDashEm">
    <w:name w:val="Table: Dash: Em"/>
    <w:basedOn w:val="TablePlainParagraph"/>
    <w:semiHidden/>
    <w:rsid w:val="00BE1229"/>
    <w:pPr>
      <w:numPr>
        <w:numId w:val="8"/>
      </w:numPr>
      <w:spacing w:before="0"/>
    </w:pPr>
  </w:style>
  <w:style w:type="paragraph" w:customStyle="1" w:styleId="TableDashEm1">
    <w:name w:val="Table: Dash: Em 1"/>
    <w:basedOn w:val="TablePlainParagraph"/>
    <w:rsid w:val="00BE1229"/>
    <w:pPr>
      <w:numPr>
        <w:ilvl w:val="1"/>
        <w:numId w:val="8"/>
      </w:numPr>
      <w:spacing w:before="0"/>
    </w:pPr>
  </w:style>
  <w:style w:type="paragraph" w:customStyle="1" w:styleId="TableDashEn1">
    <w:name w:val="Table: Dash: En 1"/>
    <w:basedOn w:val="TablePlainParagraph"/>
    <w:rsid w:val="00BE1229"/>
    <w:pPr>
      <w:numPr>
        <w:ilvl w:val="2"/>
        <w:numId w:val="8"/>
      </w:numPr>
      <w:spacing w:before="0"/>
    </w:pPr>
  </w:style>
  <w:style w:type="paragraph" w:customStyle="1" w:styleId="TableDashEn2">
    <w:name w:val="Table: Dash: En 2"/>
    <w:basedOn w:val="TablePlainParagraph"/>
    <w:semiHidden/>
    <w:rsid w:val="00BE1229"/>
    <w:pPr>
      <w:numPr>
        <w:ilvl w:val="3"/>
        <w:numId w:val="8"/>
      </w:numPr>
      <w:spacing w:before="0"/>
    </w:pPr>
  </w:style>
  <w:style w:type="paragraph" w:customStyle="1" w:styleId="TableDashEn3">
    <w:name w:val="Table: Dash: En 3"/>
    <w:basedOn w:val="TablePlainParagraph"/>
    <w:semiHidden/>
    <w:rsid w:val="00BE1229"/>
    <w:pPr>
      <w:numPr>
        <w:ilvl w:val="4"/>
        <w:numId w:val="8"/>
      </w:numPr>
      <w:spacing w:before="0"/>
    </w:pPr>
  </w:style>
  <w:style w:type="paragraph" w:customStyle="1" w:styleId="TableDashEn4">
    <w:name w:val="Table: Dash: En 4"/>
    <w:basedOn w:val="TablePlainParagraph"/>
    <w:semiHidden/>
    <w:rsid w:val="00BE1229"/>
    <w:pPr>
      <w:numPr>
        <w:ilvl w:val="5"/>
        <w:numId w:val="8"/>
      </w:numPr>
      <w:spacing w:before="0"/>
    </w:pPr>
  </w:style>
  <w:style w:type="paragraph" w:customStyle="1" w:styleId="TableDashEn5">
    <w:name w:val="Table: Dash: En 5"/>
    <w:basedOn w:val="TablePlainParagraph"/>
    <w:semiHidden/>
    <w:rsid w:val="00BE1229"/>
    <w:pPr>
      <w:numPr>
        <w:ilvl w:val="6"/>
        <w:numId w:val="8"/>
      </w:numPr>
      <w:spacing w:before="0"/>
    </w:pPr>
  </w:style>
  <w:style w:type="paragraph" w:customStyle="1" w:styleId="TableDashEn6">
    <w:name w:val="Table: Dash: En 6"/>
    <w:basedOn w:val="TablePlainParagraph"/>
    <w:semiHidden/>
    <w:rsid w:val="00BE1229"/>
    <w:pPr>
      <w:numPr>
        <w:ilvl w:val="7"/>
        <w:numId w:val="8"/>
      </w:numPr>
      <w:spacing w:before="0"/>
    </w:pPr>
  </w:style>
  <w:style w:type="paragraph" w:customStyle="1" w:styleId="TableDashEn7">
    <w:name w:val="Table: Dash: En 7"/>
    <w:basedOn w:val="TablePlainParagraph"/>
    <w:semiHidden/>
    <w:rsid w:val="00BE1229"/>
    <w:pPr>
      <w:numPr>
        <w:ilvl w:val="8"/>
        <w:numId w:val="8"/>
      </w:numPr>
      <w:spacing w:before="0"/>
    </w:pPr>
  </w:style>
  <w:style w:type="paragraph" w:customStyle="1" w:styleId="TableIndentHanging">
    <w:name w:val="Table: Indent: Hanging"/>
    <w:basedOn w:val="TablePlainParagraph"/>
    <w:semiHidden/>
    <w:rsid w:val="00BE1229"/>
    <w:pPr>
      <w:numPr>
        <w:numId w:val="9"/>
      </w:numPr>
      <w:tabs>
        <w:tab w:val="left" w:pos="283"/>
      </w:tabs>
      <w:spacing w:before="0"/>
    </w:pPr>
  </w:style>
  <w:style w:type="paragraph" w:customStyle="1" w:styleId="TableIndentHanging1">
    <w:name w:val="Table: Indent: Hanging 1"/>
    <w:basedOn w:val="TablePlainParagraph"/>
    <w:rsid w:val="00BE1229"/>
    <w:pPr>
      <w:numPr>
        <w:ilvl w:val="1"/>
        <w:numId w:val="9"/>
      </w:numPr>
      <w:tabs>
        <w:tab w:val="left" w:pos="283"/>
      </w:tabs>
      <w:spacing w:before="0"/>
    </w:pPr>
  </w:style>
  <w:style w:type="paragraph" w:customStyle="1" w:styleId="TableIndentHanging2">
    <w:name w:val="Table: Indent: Hanging 2"/>
    <w:basedOn w:val="TablePlainParagraph"/>
    <w:semiHidden/>
    <w:rsid w:val="00BE1229"/>
    <w:pPr>
      <w:numPr>
        <w:ilvl w:val="2"/>
        <w:numId w:val="9"/>
      </w:numPr>
      <w:tabs>
        <w:tab w:val="left" w:pos="567"/>
      </w:tabs>
      <w:spacing w:before="0"/>
    </w:pPr>
  </w:style>
  <w:style w:type="paragraph" w:customStyle="1" w:styleId="TableIndentHanging3">
    <w:name w:val="Table: Indent: Hanging 3"/>
    <w:basedOn w:val="TablePlainParagraph"/>
    <w:semiHidden/>
    <w:rsid w:val="00BE1229"/>
    <w:pPr>
      <w:numPr>
        <w:ilvl w:val="3"/>
        <w:numId w:val="9"/>
      </w:numPr>
      <w:tabs>
        <w:tab w:val="left" w:pos="850"/>
      </w:tabs>
      <w:spacing w:before="0"/>
    </w:pPr>
  </w:style>
  <w:style w:type="paragraph" w:customStyle="1" w:styleId="TableIndentHanging4">
    <w:name w:val="Table: Indent: Hanging 4"/>
    <w:basedOn w:val="TablePlainParagraph"/>
    <w:semiHidden/>
    <w:rsid w:val="00BE1229"/>
    <w:pPr>
      <w:numPr>
        <w:ilvl w:val="4"/>
        <w:numId w:val="9"/>
      </w:numPr>
      <w:tabs>
        <w:tab w:val="left" w:pos="1134"/>
      </w:tabs>
      <w:spacing w:before="0"/>
    </w:pPr>
  </w:style>
  <w:style w:type="paragraph" w:customStyle="1" w:styleId="TableIndentHanging5">
    <w:name w:val="Table: Indent: Hanging 5"/>
    <w:basedOn w:val="TablePlainParagraph"/>
    <w:semiHidden/>
    <w:rsid w:val="00BE1229"/>
    <w:pPr>
      <w:numPr>
        <w:ilvl w:val="5"/>
        <w:numId w:val="9"/>
      </w:numPr>
      <w:tabs>
        <w:tab w:val="left" w:pos="1417"/>
      </w:tabs>
      <w:spacing w:before="0"/>
    </w:pPr>
  </w:style>
  <w:style w:type="paragraph" w:customStyle="1" w:styleId="TableIndentHanging6">
    <w:name w:val="Table: Indent: Hanging 6"/>
    <w:basedOn w:val="TablePlainParagraph"/>
    <w:semiHidden/>
    <w:rsid w:val="00BE1229"/>
    <w:pPr>
      <w:numPr>
        <w:ilvl w:val="6"/>
        <w:numId w:val="9"/>
      </w:numPr>
      <w:tabs>
        <w:tab w:val="left" w:pos="1701"/>
      </w:tabs>
      <w:spacing w:before="0"/>
    </w:pPr>
  </w:style>
  <w:style w:type="paragraph" w:customStyle="1" w:styleId="TableIndentHanging7">
    <w:name w:val="Table: Indent: Hanging 7"/>
    <w:basedOn w:val="TablePlainParagraph"/>
    <w:semiHidden/>
    <w:rsid w:val="00BE1229"/>
    <w:pPr>
      <w:numPr>
        <w:ilvl w:val="7"/>
        <w:numId w:val="9"/>
      </w:numPr>
      <w:tabs>
        <w:tab w:val="left" w:pos="1984"/>
      </w:tabs>
      <w:spacing w:before="0"/>
    </w:pPr>
  </w:style>
  <w:style w:type="paragraph" w:customStyle="1" w:styleId="TableIndentHanging8">
    <w:name w:val="Table: Indent: Hanging 8"/>
    <w:basedOn w:val="TablePlainParagraph"/>
    <w:semiHidden/>
    <w:rsid w:val="00BE1229"/>
    <w:pPr>
      <w:numPr>
        <w:ilvl w:val="8"/>
        <w:numId w:val="9"/>
      </w:numPr>
      <w:tabs>
        <w:tab w:val="left" w:pos="2268"/>
      </w:tabs>
      <w:spacing w:before="0"/>
    </w:pPr>
  </w:style>
  <w:style w:type="paragraph" w:customStyle="1" w:styleId="TableIndentFull">
    <w:name w:val="Table: Indent: Full"/>
    <w:basedOn w:val="TablePlainParagraph"/>
    <w:semiHidden/>
    <w:rsid w:val="00BE1229"/>
    <w:pPr>
      <w:numPr>
        <w:numId w:val="10"/>
      </w:numPr>
      <w:spacing w:before="0"/>
    </w:pPr>
  </w:style>
  <w:style w:type="paragraph" w:customStyle="1" w:styleId="TableIndentFull1">
    <w:name w:val="Table: Indent: Full 1"/>
    <w:basedOn w:val="TablePlainParagraph"/>
    <w:rsid w:val="00BE1229"/>
    <w:pPr>
      <w:numPr>
        <w:ilvl w:val="1"/>
        <w:numId w:val="10"/>
      </w:numPr>
      <w:spacing w:before="0"/>
    </w:pPr>
  </w:style>
  <w:style w:type="paragraph" w:customStyle="1" w:styleId="TableIndentFull2">
    <w:name w:val="Table: Indent: Full 2"/>
    <w:basedOn w:val="TablePlainParagraph"/>
    <w:semiHidden/>
    <w:rsid w:val="00BE1229"/>
    <w:pPr>
      <w:numPr>
        <w:ilvl w:val="2"/>
        <w:numId w:val="10"/>
      </w:numPr>
      <w:spacing w:before="0"/>
    </w:pPr>
  </w:style>
  <w:style w:type="paragraph" w:customStyle="1" w:styleId="TableIndentFull3">
    <w:name w:val="Table: Indent: Full 3"/>
    <w:basedOn w:val="TablePlainParagraph"/>
    <w:semiHidden/>
    <w:rsid w:val="00BE1229"/>
    <w:pPr>
      <w:numPr>
        <w:ilvl w:val="3"/>
        <w:numId w:val="10"/>
      </w:numPr>
      <w:spacing w:before="0"/>
    </w:pPr>
  </w:style>
  <w:style w:type="paragraph" w:customStyle="1" w:styleId="TableIndentFull4">
    <w:name w:val="Table: Indent: Full 4"/>
    <w:basedOn w:val="TablePlainParagraph"/>
    <w:semiHidden/>
    <w:rsid w:val="00BE1229"/>
    <w:pPr>
      <w:numPr>
        <w:ilvl w:val="4"/>
        <w:numId w:val="10"/>
      </w:numPr>
      <w:spacing w:before="0"/>
    </w:pPr>
  </w:style>
  <w:style w:type="paragraph" w:customStyle="1" w:styleId="TableIndentFull5">
    <w:name w:val="Table: Indent: Full 5"/>
    <w:basedOn w:val="TablePlainParagraph"/>
    <w:semiHidden/>
    <w:rsid w:val="00BE1229"/>
    <w:pPr>
      <w:numPr>
        <w:ilvl w:val="5"/>
        <w:numId w:val="10"/>
      </w:numPr>
      <w:spacing w:before="0"/>
    </w:pPr>
  </w:style>
  <w:style w:type="paragraph" w:customStyle="1" w:styleId="TableIndentFull6">
    <w:name w:val="Table: Indent: Full 6"/>
    <w:basedOn w:val="TablePlainParagraph"/>
    <w:semiHidden/>
    <w:rsid w:val="00BE1229"/>
    <w:pPr>
      <w:numPr>
        <w:ilvl w:val="6"/>
        <w:numId w:val="10"/>
      </w:numPr>
      <w:spacing w:before="0"/>
    </w:pPr>
  </w:style>
  <w:style w:type="paragraph" w:customStyle="1" w:styleId="TableIndentFull7">
    <w:name w:val="Table: Indent: Full 7"/>
    <w:basedOn w:val="TablePlainParagraph"/>
    <w:semiHidden/>
    <w:rsid w:val="00BE1229"/>
    <w:pPr>
      <w:numPr>
        <w:ilvl w:val="7"/>
        <w:numId w:val="10"/>
      </w:numPr>
      <w:spacing w:before="0"/>
    </w:pPr>
  </w:style>
  <w:style w:type="paragraph" w:customStyle="1" w:styleId="TableIndentFull8">
    <w:name w:val="Table: Indent: Full 8"/>
    <w:basedOn w:val="TablePlainParagraph"/>
    <w:semiHidden/>
    <w:rsid w:val="00BE1229"/>
    <w:pPr>
      <w:numPr>
        <w:ilvl w:val="8"/>
        <w:numId w:val="10"/>
      </w:numPr>
      <w:spacing w:before="0"/>
    </w:pPr>
  </w:style>
  <w:style w:type="paragraph" w:customStyle="1" w:styleId="TableNumberedList1">
    <w:name w:val="Table: Numbered List: 1)"/>
    <w:basedOn w:val="TablePlainParagraph"/>
    <w:semiHidden/>
    <w:rsid w:val="00BE1229"/>
    <w:pPr>
      <w:numPr>
        <w:numId w:val="11"/>
      </w:numPr>
      <w:spacing w:before="0"/>
    </w:pPr>
  </w:style>
  <w:style w:type="paragraph" w:customStyle="1" w:styleId="TableNumberedList11">
    <w:name w:val="Table: Numbered List: 1) 1"/>
    <w:basedOn w:val="TablePlainParagraph"/>
    <w:rsid w:val="00BE1229"/>
    <w:pPr>
      <w:numPr>
        <w:ilvl w:val="1"/>
        <w:numId w:val="11"/>
      </w:numPr>
      <w:spacing w:before="0"/>
    </w:pPr>
  </w:style>
  <w:style w:type="paragraph" w:customStyle="1" w:styleId="TableNumberedList12">
    <w:name w:val="Table: Numbered List: 1) 2"/>
    <w:basedOn w:val="TablePlainParagraph"/>
    <w:semiHidden/>
    <w:rsid w:val="00BE1229"/>
    <w:pPr>
      <w:numPr>
        <w:ilvl w:val="2"/>
        <w:numId w:val="11"/>
      </w:numPr>
      <w:spacing w:before="0"/>
    </w:pPr>
  </w:style>
  <w:style w:type="paragraph" w:customStyle="1" w:styleId="TableNumberedList13">
    <w:name w:val="Table: Numbered List: 1) 3"/>
    <w:basedOn w:val="TablePlainParagraph"/>
    <w:semiHidden/>
    <w:rsid w:val="00BE1229"/>
    <w:pPr>
      <w:numPr>
        <w:ilvl w:val="3"/>
        <w:numId w:val="11"/>
      </w:numPr>
      <w:spacing w:before="0"/>
    </w:pPr>
  </w:style>
  <w:style w:type="paragraph" w:customStyle="1" w:styleId="TableNumberedList14">
    <w:name w:val="Table: Numbered List: 1) 4"/>
    <w:basedOn w:val="TablePlainParagraph"/>
    <w:semiHidden/>
    <w:rsid w:val="00BE1229"/>
    <w:pPr>
      <w:numPr>
        <w:ilvl w:val="4"/>
        <w:numId w:val="11"/>
      </w:numPr>
      <w:spacing w:before="0"/>
    </w:pPr>
  </w:style>
  <w:style w:type="paragraph" w:customStyle="1" w:styleId="TableNumberedList15">
    <w:name w:val="Table: Numbered List: 1) 5"/>
    <w:basedOn w:val="TablePlainParagraph"/>
    <w:semiHidden/>
    <w:rsid w:val="00BE1229"/>
    <w:pPr>
      <w:numPr>
        <w:ilvl w:val="5"/>
        <w:numId w:val="11"/>
      </w:numPr>
      <w:spacing w:before="0"/>
    </w:pPr>
  </w:style>
  <w:style w:type="paragraph" w:customStyle="1" w:styleId="TableNumberedList16">
    <w:name w:val="Table: Numbered List: 1) 6"/>
    <w:basedOn w:val="TablePlainParagraph"/>
    <w:semiHidden/>
    <w:rsid w:val="00BE1229"/>
    <w:pPr>
      <w:numPr>
        <w:ilvl w:val="6"/>
        <w:numId w:val="11"/>
      </w:numPr>
      <w:spacing w:before="0"/>
    </w:pPr>
  </w:style>
  <w:style w:type="paragraph" w:customStyle="1" w:styleId="TableNumberedList17">
    <w:name w:val="Table: Numbered List: 1) 7"/>
    <w:basedOn w:val="TablePlainParagraph"/>
    <w:semiHidden/>
    <w:rsid w:val="00BE1229"/>
    <w:pPr>
      <w:numPr>
        <w:ilvl w:val="7"/>
        <w:numId w:val="11"/>
      </w:numPr>
      <w:spacing w:before="0"/>
    </w:pPr>
  </w:style>
  <w:style w:type="paragraph" w:customStyle="1" w:styleId="TableNumberedList18">
    <w:name w:val="Table: Numbered List: 1) 8"/>
    <w:basedOn w:val="TablePlainParagraph"/>
    <w:semiHidden/>
    <w:rsid w:val="00BE1229"/>
    <w:pPr>
      <w:numPr>
        <w:ilvl w:val="8"/>
        <w:numId w:val="11"/>
      </w:numPr>
      <w:spacing w:before="0"/>
    </w:pPr>
  </w:style>
  <w:style w:type="paragraph" w:customStyle="1" w:styleId="TableNumberedLista">
    <w:name w:val="Table: Numbered List: a)"/>
    <w:basedOn w:val="TablePlainParagraph"/>
    <w:semiHidden/>
    <w:rsid w:val="00BE1229"/>
    <w:pPr>
      <w:numPr>
        <w:numId w:val="12"/>
      </w:numPr>
      <w:spacing w:before="0"/>
    </w:pPr>
  </w:style>
  <w:style w:type="paragraph" w:customStyle="1" w:styleId="TableNumberedLista1">
    <w:name w:val="Table: Numbered List: a) 1"/>
    <w:basedOn w:val="TablePlainParagraph"/>
    <w:rsid w:val="00BE1229"/>
    <w:pPr>
      <w:numPr>
        <w:ilvl w:val="1"/>
        <w:numId w:val="12"/>
      </w:numPr>
      <w:spacing w:before="0"/>
    </w:pPr>
  </w:style>
  <w:style w:type="paragraph" w:customStyle="1" w:styleId="TableNumberedLista2">
    <w:name w:val="Table: Numbered List: a) 2"/>
    <w:basedOn w:val="TablePlainParagraph"/>
    <w:semiHidden/>
    <w:rsid w:val="00BE1229"/>
    <w:pPr>
      <w:numPr>
        <w:ilvl w:val="2"/>
        <w:numId w:val="12"/>
      </w:numPr>
      <w:spacing w:before="0"/>
    </w:pPr>
  </w:style>
  <w:style w:type="paragraph" w:customStyle="1" w:styleId="TableNumberedLista3">
    <w:name w:val="Table: Numbered List: a) 3"/>
    <w:basedOn w:val="TablePlainParagraph"/>
    <w:semiHidden/>
    <w:rsid w:val="00BE1229"/>
    <w:pPr>
      <w:numPr>
        <w:ilvl w:val="3"/>
        <w:numId w:val="12"/>
      </w:numPr>
      <w:spacing w:before="0"/>
    </w:pPr>
  </w:style>
  <w:style w:type="paragraph" w:customStyle="1" w:styleId="TableNumberedLista4">
    <w:name w:val="Table: Numbered List: a) 4"/>
    <w:basedOn w:val="TablePlainParagraph"/>
    <w:semiHidden/>
    <w:rsid w:val="00BE1229"/>
    <w:pPr>
      <w:numPr>
        <w:ilvl w:val="4"/>
        <w:numId w:val="12"/>
      </w:numPr>
      <w:spacing w:before="0"/>
    </w:pPr>
  </w:style>
  <w:style w:type="paragraph" w:customStyle="1" w:styleId="TableNumberedLista5">
    <w:name w:val="Table: Numbered List: a) 5"/>
    <w:basedOn w:val="TablePlainParagraph"/>
    <w:semiHidden/>
    <w:rsid w:val="00BE1229"/>
    <w:pPr>
      <w:numPr>
        <w:ilvl w:val="5"/>
        <w:numId w:val="12"/>
      </w:numPr>
      <w:spacing w:before="0"/>
    </w:pPr>
  </w:style>
  <w:style w:type="paragraph" w:customStyle="1" w:styleId="TableNumberedLista6">
    <w:name w:val="Table: Numbered List: a) 6"/>
    <w:basedOn w:val="TablePlainParagraph"/>
    <w:semiHidden/>
    <w:rsid w:val="00BE1229"/>
    <w:pPr>
      <w:numPr>
        <w:ilvl w:val="6"/>
        <w:numId w:val="12"/>
      </w:numPr>
      <w:spacing w:before="0"/>
    </w:pPr>
  </w:style>
  <w:style w:type="paragraph" w:customStyle="1" w:styleId="TableNumberedLista7">
    <w:name w:val="Table: Numbered List: a) 7"/>
    <w:basedOn w:val="TablePlainParagraph"/>
    <w:semiHidden/>
    <w:rsid w:val="00BE1229"/>
    <w:pPr>
      <w:numPr>
        <w:ilvl w:val="7"/>
        <w:numId w:val="12"/>
      </w:numPr>
      <w:spacing w:before="0"/>
    </w:pPr>
  </w:style>
  <w:style w:type="paragraph" w:customStyle="1" w:styleId="TableNumberedLista8">
    <w:name w:val="Table: Numbered List: a) 8"/>
    <w:basedOn w:val="TablePlainParagraph"/>
    <w:semiHidden/>
    <w:rsid w:val="00BE1229"/>
    <w:pPr>
      <w:numPr>
        <w:ilvl w:val="8"/>
        <w:numId w:val="12"/>
      </w:numPr>
      <w:spacing w:before="0"/>
    </w:pPr>
  </w:style>
  <w:style w:type="paragraph" w:customStyle="1" w:styleId="Subrand">
    <w:name w:val="Subrand"/>
    <w:semiHidden/>
    <w:rsid w:val="00BE1229"/>
    <w:pPr>
      <w:spacing w:line="200" w:lineRule="atLeast"/>
      <w:jc w:val="right"/>
    </w:pPr>
    <w:rPr>
      <w:rFonts w:ascii="Arial" w:hAnsi="Arial" w:cs="Arial"/>
      <w:b/>
      <w:i/>
      <w:szCs w:val="22"/>
    </w:rPr>
  </w:style>
  <w:style w:type="table" w:styleId="TableGrid">
    <w:name w:val="Table Grid"/>
    <w:basedOn w:val="TableNormal"/>
    <w:rsid w:val="00BE1229"/>
    <w:tblPr/>
  </w:style>
  <w:style w:type="paragraph" w:styleId="BodyTextIndent">
    <w:name w:val="Body Text Indent"/>
    <w:basedOn w:val="Normal"/>
    <w:link w:val="BodyTextIndentChar"/>
    <w:rsid w:val="00BE1229"/>
    <w:pPr>
      <w:ind w:left="2160"/>
      <w:jc w:val="both"/>
    </w:pPr>
    <w:rPr>
      <w:i/>
      <w:szCs w:val="22"/>
    </w:rPr>
  </w:style>
  <w:style w:type="paragraph" w:styleId="TOC4">
    <w:name w:val="toc 4"/>
    <w:basedOn w:val="Normal"/>
    <w:next w:val="Normal"/>
    <w:uiPriority w:val="39"/>
    <w:rsid w:val="00912F30"/>
    <w:pPr>
      <w:ind w:left="440"/>
    </w:pPr>
    <w:rPr>
      <w:rFonts w:cs="Times New Roman"/>
      <w:sz w:val="20"/>
      <w:szCs w:val="20"/>
    </w:rPr>
  </w:style>
  <w:style w:type="paragraph" w:styleId="TOC5">
    <w:name w:val="toc 5"/>
    <w:basedOn w:val="Normal"/>
    <w:next w:val="Normal"/>
    <w:rsid w:val="00912F30"/>
    <w:pPr>
      <w:ind w:left="660"/>
    </w:pPr>
    <w:rPr>
      <w:rFonts w:cs="Times New Roman"/>
      <w:sz w:val="20"/>
      <w:szCs w:val="20"/>
    </w:rPr>
  </w:style>
  <w:style w:type="paragraph" w:customStyle="1" w:styleId="Number1">
    <w:name w:val="Number 1"/>
    <w:basedOn w:val="Normal"/>
    <w:rsid w:val="00BE1229"/>
    <w:pPr>
      <w:tabs>
        <w:tab w:val="num" w:pos="360"/>
      </w:tabs>
      <w:spacing w:before="120" w:after="120" w:line="300" w:lineRule="atLeast"/>
      <w:ind w:left="360" w:hanging="360"/>
      <w:jc w:val="both"/>
    </w:pPr>
    <w:rPr>
      <w:color w:val="000000"/>
      <w:szCs w:val="22"/>
    </w:rPr>
  </w:style>
  <w:style w:type="paragraph" w:customStyle="1" w:styleId="Numbera">
    <w:name w:val="Number(a)"/>
    <w:basedOn w:val="Normal"/>
    <w:rsid w:val="00BE1229"/>
    <w:pPr>
      <w:spacing w:before="80" w:after="80" w:line="280" w:lineRule="atLeast"/>
      <w:jc w:val="both"/>
    </w:pPr>
    <w:rPr>
      <w:color w:val="000000"/>
      <w:szCs w:val="22"/>
    </w:rPr>
  </w:style>
  <w:style w:type="paragraph" w:customStyle="1" w:styleId="Numberi">
    <w:name w:val="Number(i)"/>
    <w:basedOn w:val="Normal"/>
    <w:rsid w:val="00BE1229"/>
    <w:pPr>
      <w:spacing w:before="80" w:after="80" w:line="280" w:lineRule="atLeast"/>
      <w:jc w:val="both"/>
    </w:pPr>
    <w:rPr>
      <w:color w:val="000000"/>
      <w:szCs w:val="22"/>
    </w:rPr>
  </w:style>
  <w:style w:type="paragraph" w:styleId="BodyText">
    <w:name w:val="Body Text"/>
    <w:basedOn w:val="Normal"/>
    <w:link w:val="BodyTextChar"/>
    <w:rsid w:val="00BE1229"/>
    <w:pPr>
      <w:widowControl w:val="0"/>
      <w:jc w:val="center"/>
    </w:pPr>
    <w:rPr>
      <w:szCs w:val="22"/>
    </w:rPr>
  </w:style>
  <w:style w:type="paragraph" w:customStyle="1" w:styleId="p2">
    <w:name w:val="p2"/>
    <w:basedOn w:val="Normal"/>
    <w:rsid w:val="00BE1229"/>
    <w:pPr>
      <w:tabs>
        <w:tab w:val="left" w:pos="720"/>
      </w:tabs>
      <w:spacing w:line="320" w:lineRule="atLeast"/>
    </w:pPr>
    <w:rPr>
      <w:szCs w:val="22"/>
    </w:rPr>
  </w:style>
  <w:style w:type="paragraph" w:customStyle="1" w:styleId="p6">
    <w:name w:val="p6"/>
    <w:basedOn w:val="Normal"/>
    <w:rsid w:val="00BE1229"/>
    <w:pPr>
      <w:spacing w:line="320" w:lineRule="atLeast"/>
    </w:pPr>
    <w:rPr>
      <w:szCs w:val="22"/>
    </w:rPr>
  </w:style>
  <w:style w:type="paragraph" w:customStyle="1" w:styleId="p4">
    <w:name w:val="p4"/>
    <w:basedOn w:val="Normal"/>
    <w:rsid w:val="00BE1229"/>
    <w:pPr>
      <w:tabs>
        <w:tab w:val="left" w:pos="720"/>
      </w:tabs>
      <w:spacing w:line="320" w:lineRule="atLeast"/>
    </w:pPr>
    <w:rPr>
      <w:szCs w:val="22"/>
    </w:rPr>
  </w:style>
  <w:style w:type="paragraph" w:styleId="BlockText">
    <w:name w:val="Block Text"/>
    <w:basedOn w:val="Normal"/>
    <w:rsid w:val="00BE1229"/>
    <w:pPr>
      <w:ind w:left="3119" w:right="3119"/>
      <w:jc w:val="center"/>
    </w:pPr>
    <w:rPr>
      <w:szCs w:val="22"/>
    </w:rPr>
  </w:style>
  <w:style w:type="paragraph" w:styleId="BodyText2">
    <w:name w:val="Body Text 2"/>
    <w:basedOn w:val="Normal"/>
    <w:rsid w:val="00BE1229"/>
    <w:pPr>
      <w:jc w:val="both"/>
    </w:pPr>
    <w:rPr>
      <w:szCs w:val="22"/>
    </w:rPr>
  </w:style>
  <w:style w:type="paragraph" w:styleId="Title">
    <w:name w:val="Title"/>
    <w:basedOn w:val="Normal"/>
    <w:qFormat/>
    <w:rsid w:val="00BE1229"/>
    <w:pPr>
      <w:tabs>
        <w:tab w:val="left" w:pos="1170"/>
      </w:tabs>
      <w:jc w:val="center"/>
    </w:pPr>
    <w:rPr>
      <w:b/>
      <w:szCs w:val="22"/>
    </w:rPr>
  </w:style>
  <w:style w:type="paragraph" w:styleId="BodyText3">
    <w:name w:val="Body Text 3"/>
    <w:basedOn w:val="Normal"/>
    <w:rsid w:val="00BE1229"/>
    <w:pPr>
      <w:jc w:val="both"/>
    </w:pPr>
    <w:rPr>
      <w:color w:val="0000FF"/>
      <w:szCs w:val="22"/>
    </w:rPr>
  </w:style>
  <w:style w:type="paragraph" w:customStyle="1" w:styleId="TxtParagraph">
    <w:name w:val="Txt  Paragraph"/>
    <w:basedOn w:val="Normal"/>
    <w:rsid w:val="00BE1229"/>
    <w:pPr>
      <w:tabs>
        <w:tab w:val="left" w:pos="567"/>
      </w:tabs>
      <w:spacing w:before="120" w:after="120" w:line="300" w:lineRule="atLeast"/>
      <w:jc w:val="both"/>
    </w:pPr>
    <w:rPr>
      <w:color w:val="000000"/>
      <w:szCs w:val="22"/>
    </w:rPr>
  </w:style>
  <w:style w:type="paragraph" w:styleId="BodyTextIndent2">
    <w:name w:val="Body Text Indent 2"/>
    <w:basedOn w:val="Normal"/>
    <w:rsid w:val="00BE1229"/>
    <w:pPr>
      <w:ind w:left="720"/>
    </w:pPr>
    <w:rPr>
      <w:szCs w:val="22"/>
    </w:rPr>
  </w:style>
  <w:style w:type="paragraph" w:styleId="BodyTextIndent3">
    <w:name w:val="Body Text Indent 3"/>
    <w:basedOn w:val="Normal"/>
    <w:rsid w:val="00BE1229"/>
    <w:pPr>
      <w:spacing w:before="120" w:after="120" w:line="300" w:lineRule="atLeast"/>
      <w:ind w:left="720"/>
      <w:jc w:val="both"/>
    </w:pPr>
    <w:rPr>
      <w:szCs w:val="22"/>
    </w:rPr>
  </w:style>
  <w:style w:type="paragraph" w:customStyle="1" w:styleId="Quotation1Char">
    <w:name w:val="Quotation 1 Char"/>
    <w:basedOn w:val="PlainParagraph"/>
    <w:link w:val="Quotation1CharChar"/>
    <w:rsid w:val="00BE1229"/>
    <w:pPr>
      <w:spacing w:before="0" w:line="260" w:lineRule="atLeast"/>
    </w:pPr>
  </w:style>
  <w:style w:type="paragraph" w:customStyle="1" w:styleId="TxtIndent1">
    <w:name w:val="Txt Indent 1"/>
    <w:basedOn w:val="TxtParagraph"/>
    <w:rsid w:val="00BE1229"/>
    <w:pPr>
      <w:tabs>
        <w:tab w:val="clear" w:pos="567"/>
      </w:tabs>
      <w:spacing w:before="80" w:after="80" w:line="280" w:lineRule="atLeast"/>
      <w:ind w:left="567" w:hanging="567"/>
    </w:pPr>
  </w:style>
  <w:style w:type="paragraph" w:customStyle="1" w:styleId="Subbrand">
    <w:name w:val="Subbrand"/>
    <w:rsid w:val="00BE1229"/>
    <w:pPr>
      <w:spacing w:line="200" w:lineRule="atLeast"/>
      <w:jc w:val="right"/>
    </w:pPr>
    <w:rPr>
      <w:rFonts w:ascii="Arial" w:hAnsi="Arial" w:cs="Arial"/>
      <w:b/>
      <w:i/>
      <w:sz w:val="22"/>
      <w:szCs w:val="24"/>
    </w:rPr>
  </w:style>
  <w:style w:type="paragraph" w:customStyle="1" w:styleId="ActHead5">
    <w:name w:val="ActHead 5"/>
    <w:aliases w:val="s"/>
    <w:basedOn w:val="Normal"/>
    <w:next w:val="Normal"/>
    <w:rsid w:val="00BE1229"/>
    <w:pPr>
      <w:keepNext/>
      <w:keepLines/>
      <w:spacing w:before="280"/>
      <w:ind w:left="1134" w:hanging="1134"/>
      <w:outlineLvl w:val="4"/>
    </w:pPr>
    <w:rPr>
      <w:b/>
      <w:bCs/>
      <w:kern w:val="28"/>
      <w:szCs w:val="32"/>
    </w:rPr>
  </w:style>
  <w:style w:type="character" w:customStyle="1" w:styleId="NormalBaseChar">
    <w:name w:val="Normal Base Char"/>
    <w:rsid w:val="00BE1229"/>
    <w:rPr>
      <w:rFonts w:ascii="Arial" w:hAnsi="Arial" w:cs="Arial"/>
      <w:sz w:val="22"/>
      <w:szCs w:val="22"/>
      <w:lang w:val="en-AU" w:eastAsia="en-AU" w:bidi="ar-SA"/>
    </w:rPr>
  </w:style>
  <w:style w:type="character" w:customStyle="1" w:styleId="PlainParagraphChar">
    <w:name w:val="Plain Paragraph Char"/>
    <w:rsid w:val="00BE1229"/>
    <w:rPr>
      <w:rFonts w:ascii="Arial" w:hAnsi="Arial" w:cs="Arial"/>
      <w:sz w:val="22"/>
      <w:szCs w:val="22"/>
      <w:lang w:val="en-AU" w:eastAsia="en-AU" w:bidi="ar-SA"/>
    </w:rPr>
  </w:style>
  <w:style w:type="character" w:customStyle="1" w:styleId="DashEmChar">
    <w:name w:val="Dash: Em Char"/>
    <w:rsid w:val="00BE1229"/>
    <w:rPr>
      <w:rFonts w:ascii="Arial" w:hAnsi="Arial" w:cs="Arial"/>
      <w:sz w:val="22"/>
      <w:szCs w:val="22"/>
      <w:lang w:val="en-AU" w:eastAsia="en-AU" w:bidi="ar-SA"/>
    </w:rPr>
  </w:style>
  <w:style w:type="character" w:customStyle="1" w:styleId="DashEn1Char">
    <w:name w:val="Dash: En 1 Char"/>
    <w:rsid w:val="00BE1229"/>
    <w:rPr>
      <w:rFonts w:ascii="Arial" w:hAnsi="Arial" w:cs="Arial"/>
      <w:sz w:val="22"/>
      <w:szCs w:val="22"/>
      <w:lang w:val="en-AU" w:eastAsia="en-AU" w:bidi="ar-SA"/>
    </w:rPr>
  </w:style>
  <w:style w:type="character" w:customStyle="1" w:styleId="NormalBaseChar1">
    <w:name w:val="Normal Base Char1"/>
    <w:rsid w:val="00BE1229"/>
    <w:rPr>
      <w:rFonts w:ascii="Arial" w:hAnsi="Arial" w:cs="Arial"/>
      <w:sz w:val="22"/>
      <w:szCs w:val="22"/>
      <w:lang w:val="en-AU" w:eastAsia="en-AU" w:bidi="ar-SA"/>
    </w:rPr>
  </w:style>
  <w:style w:type="character" w:customStyle="1" w:styleId="PlainParagraphChar1">
    <w:name w:val="Plain Paragraph Char1"/>
    <w:rsid w:val="00BE1229"/>
    <w:rPr>
      <w:rFonts w:ascii="Arial" w:hAnsi="Arial" w:cs="Arial"/>
      <w:sz w:val="22"/>
      <w:szCs w:val="22"/>
      <w:lang w:val="en-AU" w:eastAsia="en-AU" w:bidi="ar-SA"/>
    </w:rPr>
  </w:style>
  <w:style w:type="character" w:customStyle="1" w:styleId="NumberLevel1Char">
    <w:name w:val="Number Level 1 Char"/>
    <w:rsid w:val="00BE1229"/>
    <w:rPr>
      <w:rFonts w:ascii="Arial" w:hAnsi="Arial" w:cs="Arial"/>
      <w:sz w:val="22"/>
      <w:szCs w:val="22"/>
      <w:lang w:val="en-AU" w:eastAsia="en-AU" w:bidi="ar-SA"/>
    </w:rPr>
  </w:style>
  <w:style w:type="character" w:customStyle="1" w:styleId="CharAmSchNo">
    <w:name w:val="CharAmSchNo"/>
    <w:rsid w:val="00BE1229"/>
    <w:rPr>
      <w:rFonts w:ascii="Arial" w:hAnsi="Arial" w:cs="Arial"/>
      <w:sz w:val="22"/>
    </w:rPr>
  </w:style>
  <w:style w:type="character" w:customStyle="1" w:styleId="CharSectno">
    <w:name w:val="CharSectno"/>
    <w:rsid w:val="00BE1229"/>
    <w:rPr>
      <w:rFonts w:ascii="Arial" w:hAnsi="Arial" w:cs="Arial"/>
      <w:sz w:val="22"/>
    </w:rPr>
  </w:style>
  <w:style w:type="paragraph" w:customStyle="1" w:styleId="notetext">
    <w:name w:val="note(text)"/>
    <w:aliases w:val="n"/>
    <w:rsid w:val="00BE1229"/>
    <w:pPr>
      <w:spacing w:before="122" w:line="198" w:lineRule="exact"/>
      <w:ind w:left="1985" w:hanging="851"/>
    </w:pPr>
    <w:rPr>
      <w:rFonts w:ascii="Arial" w:hAnsi="Arial" w:cs="Arial"/>
      <w:sz w:val="22"/>
      <w:szCs w:val="24"/>
    </w:rPr>
  </w:style>
  <w:style w:type="paragraph" w:customStyle="1" w:styleId="subsection">
    <w:name w:val="subsection"/>
    <w:aliases w:val="ss"/>
    <w:rsid w:val="00BE1229"/>
    <w:pPr>
      <w:tabs>
        <w:tab w:val="right" w:pos="1021"/>
      </w:tabs>
      <w:spacing w:before="180"/>
      <w:ind w:left="1134" w:hanging="1134"/>
    </w:pPr>
    <w:rPr>
      <w:rFonts w:ascii="Arial" w:hAnsi="Arial" w:cs="Arial"/>
      <w:sz w:val="22"/>
      <w:szCs w:val="24"/>
    </w:rPr>
  </w:style>
  <w:style w:type="paragraph" w:customStyle="1" w:styleId="paragraph">
    <w:name w:val="paragraph"/>
    <w:aliases w:val="a"/>
    <w:rsid w:val="00BE1229"/>
    <w:pPr>
      <w:tabs>
        <w:tab w:val="right" w:pos="1531"/>
      </w:tabs>
      <w:spacing w:before="40"/>
      <w:ind w:left="1644" w:hanging="1644"/>
    </w:pPr>
    <w:rPr>
      <w:rFonts w:ascii="Arial" w:hAnsi="Arial" w:cs="Arial"/>
      <w:sz w:val="22"/>
      <w:szCs w:val="24"/>
    </w:rPr>
  </w:style>
  <w:style w:type="paragraph" w:customStyle="1" w:styleId="subsection2">
    <w:name w:val="subsection2"/>
    <w:aliases w:val="ss2"/>
    <w:basedOn w:val="subsection"/>
    <w:next w:val="subsection"/>
    <w:rsid w:val="00BE1229"/>
    <w:pPr>
      <w:tabs>
        <w:tab w:val="clear" w:pos="1021"/>
      </w:tabs>
      <w:spacing w:before="40"/>
      <w:ind w:firstLine="0"/>
    </w:pPr>
  </w:style>
  <w:style w:type="paragraph" w:customStyle="1" w:styleId="SubsectionHead">
    <w:name w:val="SubsectionHead"/>
    <w:aliases w:val="ssh"/>
    <w:basedOn w:val="subsection"/>
    <w:next w:val="subsection"/>
    <w:rsid w:val="00BE1229"/>
    <w:pPr>
      <w:keepNext/>
      <w:keepLines/>
      <w:tabs>
        <w:tab w:val="clear" w:pos="1021"/>
      </w:tabs>
      <w:spacing w:before="240"/>
      <w:ind w:firstLine="0"/>
    </w:pPr>
    <w:rPr>
      <w:i/>
    </w:rPr>
  </w:style>
  <w:style w:type="paragraph" w:styleId="CommentText">
    <w:name w:val="annotation text"/>
    <w:basedOn w:val="Normal"/>
    <w:link w:val="CommentTextChar"/>
    <w:uiPriority w:val="99"/>
    <w:semiHidden/>
    <w:rsid w:val="00BE1229"/>
    <w:rPr>
      <w:szCs w:val="22"/>
    </w:rPr>
  </w:style>
  <w:style w:type="character" w:styleId="Strong">
    <w:name w:val="Strong"/>
    <w:qFormat/>
    <w:rsid w:val="00BE1229"/>
    <w:rPr>
      <w:rFonts w:ascii="Arial" w:hAnsi="Arial" w:cs="Arial"/>
      <w:b/>
      <w:bCs/>
      <w:sz w:val="22"/>
    </w:rPr>
  </w:style>
  <w:style w:type="character" w:styleId="FollowedHyperlink">
    <w:name w:val="FollowedHyperlink"/>
    <w:rsid w:val="00BE1229"/>
    <w:rPr>
      <w:rFonts w:ascii="Arial" w:hAnsi="Arial" w:cs="Arial"/>
      <w:color w:val="800080"/>
      <w:sz w:val="22"/>
      <w:u w:val="single"/>
    </w:rPr>
  </w:style>
  <w:style w:type="paragraph" w:styleId="BalloonText">
    <w:name w:val="Balloon Text"/>
    <w:basedOn w:val="Normal"/>
    <w:link w:val="BalloonTextChar"/>
    <w:semiHidden/>
    <w:rsid w:val="00BE1229"/>
    <w:rPr>
      <w:szCs w:val="16"/>
    </w:rPr>
  </w:style>
  <w:style w:type="character" w:styleId="CommentReference">
    <w:name w:val="annotation reference"/>
    <w:uiPriority w:val="99"/>
    <w:semiHidden/>
    <w:rsid w:val="00BE1229"/>
    <w:rPr>
      <w:rFonts w:ascii="Arial" w:hAnsi="Arial" w:cs="Arial"/>
      <w:sz w:val="22"/>
      <w:szCs w:val="16"/>
    </w:rPr>
  </w:style>
  <w:style w:type="character" w:customStyle="1" w:styleId="Quotation1CharChar">
    <w:name w:val="Quotation 1 Char Char"/>
    <w:link w:val="Quotation1Char"/>
    <w:rsid w:val="00BE1229"/>
    <w:rPr>
      <w:rFonts w:ascii="Arial" w:hAnsi="Arial" w:cs="Arial"/>
      <w:sz w:val="22"/>
      <w:szCs w:val="22"/>
      <w:lang w:val="en-AU" w:eastAsia="en-AU" w:bidi="ar-SA"/>
    </w:rPr>
  </w:style>
  <w:style w:type="paragraph" w:styleId="CommentSubject">
    <w:name w:val="annotation subject"/>
    <w:basedOn w:val="CommentText"/>
    <w:next w:val="CommentText"/>
    <w:semiHidden/>
    <w:rsid w:val="00BE1229"/>
    <w:rPr>
      <w:b/>
      <w:bCs/>
      <w:szCs w:val="20"/>
    </w:rPr>
  </w:style>
  <w:style w:type="character" w:customStyle="1" w:styleId="FooterChar1">
    <w:name w:val="Footer Char1"/>
    <w:link w:val="Footer"/>
    <w:rsid w:val="00BE1229"/>
    <w:rPr>
      <w:rFonts w:ascii="Arial" w:hAnsi="Arial" w:cs="Arial"/>
      <w:sz w:val="16"/>
      <w:szCs w:val="22"/>
      <w:lang w:val="en-AU" w:eastAsia="en-AU" w:bidi="ar-SA"/>
    </w:rPr>
  </w:style>
  <w:style w:type="paragraph" w:styleId="NormalWeb">
    <w:name w:val="Normal (Web)"/>
    <w:basedOn w:val="Normal"/>
    <w:uiPriority w:val="99"/>
    <w:rsid w:val="00BE1229"/>
    <w:pPr>
      <w:spacing w:after="240" w:line="312" w:lineRule="atLeast"/>
    </w:pPr>
    <w:rPr>
      <w:color w:val="3B3B3B"/>
      <w:szCs w:val="22"/>
    </w:rPr>
  </w:style>
  <w:style w:type="numbering" w:styleId="111111">
    <w:name w:val="Outline List 2"/>
    <w:basedOn w:val="NoList"/>
    <w:rsid w:val="00BE1229"/>
    <w:pPr>
      <w:numPr>
        <w:numId w:val="13"/>
      </w:numPr>
    </w:pPr>
  </w:style>
  <w:style w:type="numbering" w:styleId="1ai">
    <w:name w:val="Outline List 1"/>
    <w:basedOn w:val="NoList"/>
    <w:rsid w:val="00BE1229"/>
    <w:pPr>
      <w:numPr>
        <w:numId w:val="14"/>
      </w:numPr>
    </w:pPr>
  </w:style>
  <w:style w:type="numbering" w:styleId="ArticleSection">
    <w:name w:val="Outline List 3"/>
    <w:basedOn w:val="NoList"/>
    <w:rsid w:val="00BE1229"/>
    <w:pPr>
      <w:numPr>
        <w:numId w:val="15"/>
      </w:numPr>
    </w:pPr>
  </w:style>
  <w:style w:type="paragraph" w:styleId="BodyTextFirstIndent">
    <w:name w:val="Body Text First Indent"/>
    <w:basedOn w:val="BodyText"/>
    <w:rsid w:val="00BE1229"/>
    <w:pPr>
      <w:widowControl/>
      <w:spacing w:after="120"/>
      <w:ind w:firstLine="210"/>
      <w:jc w:val="left"/>
    </w:pPr>
    <w:rPr>
      <w:szCs w:val="24"/>
    </w:rPr>
  </w:style>
  <w:style w:type="paragraph" w:styleId="BodyTextFirstIndent2">
    <w:name w:val="Body Text First Indent 2"/>
    <w:basedOn w:val="BodyTextIndent"/>
    <w:rsid w:val="00BE1229"/>
    <w:pPr>
      <w:spacing w:after="120"/>
      <w:ind w:left="283" w:firstLine="210"/>
      <w:jc w:val="left"/>
    </w:pPr>
    <w:rPr>
      <w:i w:val="0"/>
      <w:szCs w:val="24"/>
    </w:rPr>
  </w:style>
  <w:style w:type="paragraph" w:styleId="Caption">
    <w:name w:val="caption"/>
    <w:basedOn w:val="Normal"/>
    <w:next w:val="Normal"/>
    <w:qFormat/>
    <w:rsid w:val="007C3794"/>
    <w:rPr>
      <w:b/>
      <w:bCs/>
      <w:sz w:val="18"/>
      <w:szCs w:val="20"/>
    </w:rPr>
  </w:style>
  <w:style w:type="paragraph" w:styleId="Closing">
    <w:name w:val="Closing"/>
    <w:basedOn w:val="Normal"/>
    <w:rsid w:val="00BE1229"/>
    <w:pPr>
      <w:ind w:left="4252"/>
    </w:pPr>
  </w:style>
  <w:style w:type="paragraph" w:styleId="Date">
    <w:name w:val="Date"/>
    <w:basedOn w:val="Normal"/>
    <w:next w:val="Normal"/>
    <w:rsid w:val="00BE1229"/>
  </w:style>
  <w:style w:type="paragraph" w:styleId="DocumentMap">
    <w:name w:val="Document Map"/>
    <w:basedOn w:val="Normal"/>
    <w:semiHidden/>
    <w:rsid w:val="00BE1229"/>
    <w:pPr>
      <w:shd w:val="clear" w:color="auto" w:fill="000080"/>
    </w:pPr>
    <w:rPr>
      <w:szCs w:val="20"/>
    </w:rPr>
  </w:style>
  <w:style w:type="paragraph" w:styleId="E-mailSignature">
    <w:name w:val="E-mail Signature"/>
    <w:basedOn w:val="Normal"/>
    <w:rsid w:val="00BE1229"/>
  </w:style>
  <w:style w:type="character" w:styleId="Emphasis">
    <w:name w:val="Emphasis"/>
    <w:qFormat/>
    <w:rsid w:val="00BE1229"/>
    <w:rPr>
      <w:rFonts w:ascii="Arial" w:hAnsi="Arial" w:cs="Arial"/>
      <w:i/>
      <w:iCs/>
      <w:sz w:val="22"/>
    </w:rPr>
  </w:style>
  <w:style w:type="paragraph" w:styleId="EnvelopeAddress">
    <w:name w:val="envelope address"/>
    <w:basedOn w:val="Normal"/>
    <w:rsid w:val="00BE1229"/>
    <w:pPr>
      <w:framePr w:w="7920" w:h="1980" w:hRule="exact" w:hSpace="180" w:wrap="auto" w:hAnchor="page" w:xAlign="center" w:yAlign="bottom"/>
      <w:ind w:left="2880"/>
    </w:pPr>
  </w:style>
  <w:style w:type="paragraph" w:styleId="EnvelopeReturn">
    <w:name w:val="envelope return"/>
    <w:basedOn w:val="Normal"/>
    <w:rsid w:val="00BE1229"/>
    <w:rPr>
      <w:szCs w:val="20"/>
    </w:rPr>
  </w:style>
  <w:style w:type="character" w:styleId="HTMLAcronym">
    <w:name w:val="HTML Acronym"/>
    <w:rsid w:val="00BE1229"/>
    <w:rPr>
      <w:rFonts w:ascii="Arial" w:hAnsi="Arial" w:cs="Arial"/>
      <w:sz w:val="22"/>
    </w:rPr>
  </w:style>
  <w:style w:type="paragraph" w:styleId="HTMLAddress">
    <w:name w:val="HTML Address"/>
    <w:basedOn w:val="Normal"/>
    <w:rsid w:val="00BE1229"/>
    <w:rPr>
      <w:i/>
      <w:iCs/>
    </w:rPr>
  </w:style>
  <w:style w:type="character" w:styleId="HTMLCite">
    <w:name w:val="HTML Cite"/>
    <w:uiPriority w:val="99"/>
    <w:rsid w:val="00BE1229"/>
    <w:rPr>
      <w:rFonts w:ascii="Arial" w:hAnsi="Arial" w:cs="Arial"/>
      <w:i/>
      <w:iCs/>
      <w:sz w:val="22"/>
    </w:rPr>
  </w:style>
  <w:style w:type="character" w:styleId="HTMLCode">
    <w:name w:val="HTML Code"/>
    <w:rsid w:val="00BE1229"/>
    <w:rPr>
      <w:rFonts w:ascii="Courier New" w:hAnsi="Courier New" w:cs="Courier New"/>
      <w:sz w:val="22"/>
      <w:szCs w:val="20"/>
    </w:rPr>
  </w:style>
  <w:style w:type="character" w:styleId="HTMLDefinition">
    <w:name w:val="HTML Definition"/>
    <w:rsid w:val="00BE1229"/>
    <w:rPr>
      <w:rFonts w:ascii="Arial" w:hAnsi="Arial" w:cs="Arial"/>
      <w:i/>
      <w:iCs/>
      <w:sz w:val="22"/>
    </w:rPr>
  </w:style>
  <w:style w:type="character" w:styleId="HTMLKeyboard">
    <w:name w:val="HTML Keyboard"/>
    <w:rsid w:val="00BE1229"/>
    <w:rPr>
      <w:rFonts w:ascii="Courier New" w:hAnsi="Courier New" w:cs="Courier New"/>
      <w:sz w:val="22"/>
      <w:szCs w:val="20"/>
    </w:rPr>
  </w:style>
  <w:style w:type="paragraph" w:styleId="HTMLPreformatted">
    <w:name w:val="HTML Preformatted"/>
    <w:basedOn w:val="Normal"/>
    <w:rsid w:val="00BE1229"/>
    <w:rPr>
      <w:szCs w:val="20"/>
    </w:rPr>
  </w:style>
  <w:style w:type="character" w:styleId="HTMLSample">
    <w:name w:val="HTML Sample"/>
    <w:rsid w:val="00BE1229"/>
    <w:rPr>
      <w:rFonts w:ascii="Courier New" w:hAnsi="Courier New" w:cs="Courier New"/>
      <w:sz w:val="22"/>
    </w:rPr>
  </w:style>
  <w:style w:type="character" w:styleId="HTMLTypewriter">
    <w:name w:val="HTML Typewriter"/>
    <w:rsid w:val="00BE1229"/>
    <w:rPr>
      <w:rFonts w:ascii="Courier New" w:hAnsi="Courier New" w:cs="Courier New"/>
      <w:sz w:val="22"/>
      <w:szCs w:val="20"/>
    </w:rPr>
  </w:style>
  <w:style w:type="character" w:styleId="HTMLVariable">
    <w:name w:val="HTML Variable"/>
    <w:rsid w:val="00BE1229"/>
    <w:rPr>
      <w:rFonts w:ascii="Arial" w:hAnsi="Arial" w:cs="Arial"/>
      <w:i/>
      <w:iCs/>
      <w:sz w:val="22"/>
    </w:rPr>
  </w:style>
  <w:style w:type="paragraph" w:styleId="Index1">
    <w:name w:val="index 1"/>
    <w:basedOn w:val="Normal"/>
    <w:next w:val="Normal"/>
    <w:autoRedefine/>
    <w:semiHidden/>
    <w:rsid w:val="00BE1229"/>
    <w:pPr>
      <w:ind w:left="240" w:hanging="240"/>
    </w:pPr>
  </w:style>
  <w:style w:type="paragraph" w:styleId="Index2">
    <w:name w:val="index 2"/>
    <w:basedOn w:val="Normal"/>
    <w:next w:val="Normal"/>
    <w:autoRedefine/>
    <w:semiHidden/>
    <w:rsid w:val="00BE1229"/>
    <w:pPr>
      <w:ind w:left="480" w:hanging="240"/>
    </w:pPr>
  </w:style>
  <w:style w:type="paragraph" w:styleId="Index3">
    <w:name w:val="index 3"/>
    <w:basedOn w:val="Normal"/>
    <w:next w:val="Normal"/>
    <w:autoRedefine/>
    <w:semiHidden/>
    <w:rsid w:val="00BE1229"/>
    <w:pPr>
      <w:ind w:left="720" w:hanging="240"/>
    </w:pPr>
  </w:style>
  <w:style w:type="paragraph" w:styleId="Index4">
    <w:name w:val="index 4"/>
    <w:basedOn w:val="Normal"/>
    <w:next w:val="Normal"/>
    <w:autoRedefine/>
    <w:semiHidden/>
    <w:rsid w:val="00BE1229"/>
    <w:pPr>
      <w:ind w:left="960" w:hanging="240"/>
    </w:pPr>
  </w:style>
  <w:style w:type="paragraph" w:styleId="Index5">
    <w:name w:val="index 5"/>
    <w:basedOn w:val="Normal"/>
    <w:next w:val="Normal"/>
    <w:autoRedefine/>
    <w:semiHidden/>
    <w:rsid w:val="00BE1229"/>
    <w:pPr>
      <w:ind w:left="1200" w:hanging="240"/>
    </w:pPr>
  </w:style>
  <w:style w:type="paragraph" w:styleId="Index6">
    <w:name w:val="index 6"/>
    <w:basedOn w:val="Normal"/>
    <w:next w:val="Normal"/>
    <w:autoRedefine/>
    <w:semiHidden/>
    <w:rsid w:val="00BE1229"/>
    <w:pPr>
      <w:ind w:left="1440" w:hanging="240"/>
    </w:pPr>
  </w:style>
  <w:style w:type="paragraph" w:styleId="Index7">
    <w:name w:val="index 7"/>
    <w:basedOn w:val="Normal"/>
    <w:next w:val="Normal"/>
    <w:autoRedefine/>
    <w:semiHidden/>
    <w:rsid w:val="00BE1229"/>
    <w:pPr>
      <w:ind w:left="1680" w:hanging="240"/>
    </w:pPr>
  </w:style>
  <w:style w:type="paragraph" w:styleId="Index8">
    <w:name w:val="index 8"/>
    <w:basedOn w:val="Normal"/>
    <w:next w:val="Normal"/>
    <w:autoRedefine/>
    <w:semiHidden/>
    <w:rsid w:val="00BE1229"/>
    <w:pPr>
      <w:ind w:left="1920" w:hanging="240"/>
    </w:pPr>
  </w:style>
  <w:style w:type="paragraph" w:styleId="Index9">
    <w:name w:val="index 9"/>
    <w:basedOn w:val="Normal"/>
    <w:next w:val="Normal"/>
    <w:autoRedefine/>
    <w:semiHidden/>
    <w:rsid w:val="00BE1229"/>
    <w:pPr>
      <w:ind w:left="2160" w:hanging="240"/>
    </w:pPr>
  </w:style>
  <w:style w:type="paragraph" w:styleId="IndexHeading">
    <w:name w:val="index heading"/>
    <w:basedOn w:val="Normal"/>
    <w:next w:val="Index1"/>
    <w:semiHidden/>
    <w:rsid w:val="00BE1229"/>
    <w:rPr>
      <w:b/>
      <w:bCs/>
    </w:rPr>
  </w:style>
  <w:style w:type="character" w:styleId="LineNumber">
    <w:name w:val="line number"/>
    <w:rsid w:val="00BE1229"/>
    <w:rPr>
      <w:rFonts w:ascii="Arial" w:hAnsi="Arial" w:cs="Arial"/>
      <w:sz w:val="22"/>
    </w:rPr>
  </w:style>
  <w:style w:type="paragraph" w:styleId="List">
    <w:name w:val="List"/>
    <w:basedOn w:val="Normal"/>
    <w:rsid w:val="00BE1229"/>
    <w:pPr>
      <w:ind w:left="283" w:hanging="283"/>
    </w:pPr>
  </w:style>
  <w:style w:type="paragraph" w:styleId="List2">
    <w:name w:val="List 2"/>
    <w:basedOn w:val="Normal"/>
    <w:rsid w:val="00BE1229"/>
    <w:pPr>
      <w:ind w:left="566" w:hanging="283"/>
    </w:pPr>
  </w:style>
  <w:style w:type="paragraph" w:styleId="List3">
    <w:name w:val="List 3"/>
    <w:basedOn w:val="Normal"/>
    <w:rsid w:val="00BE1229"/>
    <w:pPr>
      <w:ind w:left="849" w:hanging="283"/>
    </w:pPr>
  </w:style>
  <w:style w:type="paragraph" w:styleId="List4">
    <w:name w:val="List 4"/>
    <w:basedOn w:val="Normal"/>
    <w:rsid w:val="00BE1229"/>
    <w:pPr>
      <w:ind w:left="1132" w:hanging="283"/>
    </w:pPr>
  </w:style>
  <w:style w:type="paragraph" w:styleId="List5">
    <w:name w:val="List 5"/>
    <w:basedOn w:val="Normal"/>
    <w:rsid w:val="00BE1229"/>
    <w:pPr>
      <w:ind w:left="1415" w:hanging="283"/>
    </w:pPr>
  </w:style>
  <w:style w:type="paragraph" w:styleId="ListBullet">
    <w:name w:val="List Bullet"/>
    <w:basedOn w:val="Normal"/>
    <w:rsid w:val="00BE1229"/>
  </w:style>
  <w:style w:type="paragraph" w:styleId="ListBullet2">
    <w:name w:val="List Bullet 2"/>
    <w:basedOn w:val="Normal"/>
    <w:rsid w:val="00BE1229"/>
  </w:style>
  <w:style w:type="paragraph" w:styleId="ListBullet3">
    <w:name w:val="List Bullet 3"/>
    <w:basedOn w:val="Normal"/>
    <w:rsid w:val="00BE1229"/>
  </w:style>
  <w:style w:type="paragraph" w:styleId="ListBullet4">
    <w:name w:val="List Bullet 4"/>
    <w:basedOn w:val="Normal"/>
    <w:rsid w:val="00BE1229"/>
  </w:style>
  <w:style w:type="paragraph" w:styleId="ListBullet5">
    <w:name w:val="List Bullet 5"/>
    <w:basedOn w:val="Normal"/>
    <w:rsid w:val="00BE1229"/>
  </w:style>
  <w:style w:type="paragraph" w:styleId="ListContinue">
    <w:name w:val="List Continue"/>
    <w:basedOn w:val="Normal"/>
    <w:rsid w:val="00BE1229"/>
    <w:pPr>
      <w:spacing w:after="120"/>
      <w:ind w:left="283"/>
    </w:pPr>
  </w:style>
  <w:style w:type="paragraph" w:styleId="ListContinue2">
    <w:name w:val="List Continue 2"/>
    <w:basedOn w:val="Normal"/>
    <w:rsid w:val="00BE1229"/>
    <w:pPr>
      <w:spacing w:after="120"/>
      <w:ind w:left="566"/>
    </w:pPr>
  </w:style>
  <w:style w:type="paragraph" w:styleId="ListContinue3">
    <w:name w:val="List Continue 3"/>
    <w:basedOn w:val="Normal"/>
    <w:rsid w:val="00BE1229"/>
    <w:pPr>
      <w:spacing w:after="120"/>
      <w:ind w:left="849"/>
    </w:pPr>
  </w:style>
  <w:style w:type="paragraph" w:styleId="ListContinue4">
    <w:name w:val="List Continue 4"/>
    <w:basedOn w:val="Normal"/>
    <w:rsid w:val="00BE1229"/>
    <w:pPr>
      <w:spacing w:after="120"/>
      <w:ind w:left="1132"/>
    </w:pPr>
  </w:style>
  <w:style w:type="paragraph" w:styleId="ListContinue5">
    <w:name w:val="List Continue 5"/>
    <w:basedOn w:val="Normal"/>
    <w:rsid w:val="00BE1229"/>
    <w:pPr>
      <w:spacing w:after="120"/>
      <w:ind w:left="1415"/>
    </w:pPr>
  </w:style>
  <w:style w:type="paragraph" w:styleId="ListNumber">
    <w:name w:val="List Number"/>
    <w:basedOn w:val="Normal"/>
    <w:rsid w:val="00BE1229"/>
  </w:style>
  <w:style w:type="paragraph" w:styleId="ListNumber2">
    <w:name w:val="List Number 2"/>
    <w:basedOn w:val="Normal"/>
    <w:rsid w:val="00BE1229"/>
  </w:style>
  <w:style w:type="paragraph" w:styleId="ListNumber3">
    <w:name w:val="List Number 3"/>
    <w:basedOn w:val="Normal"/>
    <w:rsid w:val="00BE1229"/>
  </w:style>
  <w:style w:type="paragraph" w:styleId="ListNumber4">
    <w:name w:val="List Number 4"/>
    <w:basedOn w:val="Normal"/>
    <w:rsid w:val="00BE1229"/>
  </w:style>
  <w:style w:type="paragraph" w:styleId="ListNumber5">
    <w:name w:val="List Number 5"/>
    <w:basedOn w:val="Normal"/>
    <w:rsid w:val="00BE1229"/>
  </w:style>
  <w:style w:type="paragraph" w:styleId="MacroText">
    <w:name w:val="macro"/>
    <w:semiHidden/>
    <w:rsid w:val="00BE1229"/>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rPr>
  </w:style>
  <w:style w:type="paragraph" w:styleId="MessageHeader">
    <w:name w:val="Message Header"/>
    <w:basedOn w:val="Normal"/>
    <w:rsid w:val="00BE1229"/>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BE1229"/>
    <w:pPr>
      <w:ind w:left="425"/>
    </w:pPr>
  </w:style>
  <w:style w:type="paragraph" w:styleId="NoteHeading">
    <w:name w:val="Note Heading"/>
    <w:basedOn w:val="Normal"/>
    <w:next w:val="Normal"/>
    <w:rsid w:val="00BE1229"/>
  </w:style>
  <w:style w:type="paragraph" w:styleId="PlainText">
    <w:name w:val="Plain Text"/>
    <w:basedOn w:val="Normal"/>
    <w:link w:val="PlainTextChar"/>
    <w:uiPriority w:val="99"/>
    <w:rsid w:val="00BE1229"/>
    <w:rPr>
      <w:szCs w:val="20"/>
    </w:rPr>
  </w:style>
  <w:style w:type="paragraph" w:styleId="Salutation">
    <w:name w:val="Salutation"/>
    <w:basedOn w:val="Normal"/>
    <w:next w:val="Normal"/>
    <w:rsid w:val="00BE1229"/>
  </w:style>
  <w:style w:type="paragraph" w:styleId="Signature">
    <w:name w:val="Signature"/>
    <w:basedOn w:val="Normal"/>
    <w:rsid w:val="00BE1229"/>
    <w:pPr>
      <w:ind w:left="4252"/>
    </w:pPr>
  </w:style>
  <w:style w:type="paragraph" w:styleId="Subtitle">
    <w:name w:val="Subtitle"/>
    <w:basedOn w:val="Normal"/>
    <w:qFormat/>
    <w:rsid w:val="00BE1229"/>
    <w:pPr>
      <w:spacing w:after="60"/>
      <w:jc w:val="center"/>
      <w:outlineLvl w:val="1"/>
    </w:pPr>
  </w:style>
  <w:style w:type="table" w:styleId="Table3Deffects1">
    <w:name w:val="Table 3D effects 1"/>
    <w:basedOn w:val="TableNormal"/>
    <w:rsid w:val="00BE1229"/>
    <w:rPr>
      <w:rFonts w:ascii="Arial" w:hAnsi="Arial" w:cs="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1229"/>
    <w:rPr>
      <w:rFonts w:ascii="Arial" w:hAnsi="Arial" w:cs="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1229"/>
    <w:rPr>
      <w:rFonts w:ascii="Arial" w:hAnsi="Arial" w:cs="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1229"/>
    <w:rPr>
      <w:rFonts w:ascii="Arial" w:hAnsi="Arial" w:cs="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1229"/>
    <w:rPr>
      <w:rFonts w:ascii="Arial" w:hAnsi="Arial" w:cs="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1229"/>
    <w:rPr>
      <w:rFonts w:ascii="Arial" w:hAnsi="Arial" w:cs="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1229"/>
    <w:rPr>
      <w:rFonts w:ascii="Arial" w:hAnsi="Arial" w:cs="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1229"/>
    <w:rPr>
      <w:rFonts w:ascii="Arial" w:hAnsi="Arial" w:cs="Arial"/>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1229"/>
    <w:rPr>
      <w:rFonts w:ascii="Arial" w:hAnsi="Arial" w:cs="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1229"/>
    <w:rPr>
      <w:rFonts w:ascii="Arial" w:hAnsi="Arial" w:cs="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1229"/>
    <w:rPr>
      <w:rFonts w:ascii="Arial" w:hAnsi="Arial" w:cs="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1229"/>
    <w:rPr>
      <w:rFonts w:ascii="Arial" w:hAnsi="Arial" w:cs="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1229"/>
    <w:rPr>
      <w:rFonts w:ascii="Arial" w:hAnsi="Arial" w:cs="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1229"/>
    <w:rPr>
      <w:rFonts w:ascii="Arial" w:hAnsi="Arial" w:cs="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1229"/>
    <w:rPr>
      <w:rFonts w:ascii="Arial" w:hAnsi="Arial" w:cs="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1229"/>
    <w:rPr>
      <w:rFonts w:ascii="Arial" w:hAnsi="Arial" w:cs="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1229"/>
    <w:rPr>
      <w:rFonts w:ascii="Arial" w:hAnsi="Arial" w:cs="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1229"/>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1229"/>
    <w:rPr>
      <w:rFonts w:ascii="Arial" w:hAnsi="Arial" w:cs="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1229"/>
    <w:rPr>
      <w:rFonts w:ascii="Arial" w:hAnsi="Arial" w:cs="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1229"/>
    <w:rPr>
      <w:rFonts w:ascii="Arial" w:hAnsi="Arial" w:cs="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1229"/>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1229"/>
    <w:rPr>
      <w:rFonts w:ascii="Arial" w:hAnsi="Arial" w:cs="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1229"/>
    <w:rPr>
      <w:rFonts w:ascii="Arial" w:hAnsi="Arial" w:cs="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1229"/>
    <w:rPr>
      <w:rFonts w:ascii="Arial" w:hAnsi="Arial" w:cs="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1229"/>
    <w:rPr>
      <w:rFonts w:ascii="Arial" w:hAnsi="Arial" w:cs="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1229"/>
    <w:rPr>
      <w:rFonts w:ascii="Arial" w:hAnsi="Arial" w:cs="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1229"/>
    <w:rPr>
      <w:rFonts w:ascii="Arial" w:hAnsi="Arial" w:cs="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1229"/>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1229"/>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1229"/>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1229"/>
    <w:rPr>
      <w:rFonts w:ascii="Arial" w:hAnsi="Arial" w:cs="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1229"/>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E1229"/>
    <w:pPr>
      <w:ind w:left="220" w:hanging="220"/>
    </w:pPr>
  </w:style>
  <w:style w:type="paragraph" w:styleId="TableofFigures">
    <w:name w:val="table of figures"/>
    <w:basedOn w:val="Normal"/>
    <w:next w:val="Normal"/>
    <w:semiHidden/>
    <w:rsid w:val="00BE1229"/>
  </w:style>
  <w:style w:type="table" w:styleId="TableProfessional">
    <w:name w:val="Table Professional"/>
    <w:basedOn w:val="TableNormal"/>
    <w:rsid w:val="00BE1229"/>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1229"/>
    <w:rPr>
      <w:rFonts w:ascii="Arial" w:hAnsi="Arial" w:cs="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1229"/>
    <w:rPr>
      <w:rFonts w:ascii="Arial" w:hAnsi="Arial" w:cs="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1229"/>
    <w:rPr>
      <w:rFonts w:ascii="Arial" w:hAnsi="Arial" w:cs="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1229"/>
    <w:rPr>
      <w:rFonts w:ascii="Arial" w:hAnsi="Arial" w:cs="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1229"/>
    <w:rPr>
      <w:rFonts w:ascii="Arial" w:hAnsi="Arial" w:cs="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1229"/>
    <w:rPr>
      <w:rFonts w:ascii="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1229"/>
    <w:rPr>
      <w:rFonts w:ascii="Arial" w:hAnsi="Arial" w:cs="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1229"/>
    <w:rPr>
      <w:rFonts w:ascii="Arial" w:hAnsi="Arial" w:cs="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1229"/>
    <w:rPr>
      <w:rFonts w:ascii="Arial" w:hAnsi="Arial" w:cs="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E1229"/>
    <w:pPr>
      <w:spacing w:before="120"/>
    </w:pPr>
    <w:rPr>
      <w:b/>
      <w:bCs/>
    </w:rPr>
  </w:style>
  <w:style w:type="paragraph" w:styleId="TOC6">
    <w:name w:val="toc 6"/>
    <w:basedOn w:val="Normal"/>
    <w:next w:val="Normal"/>
    <w:autoRedefine/>
    <w:semiHidden/>
    <w:rsid w:val="00912F30"/>
    <w:pPr>
      <w:ind w:left="880"/>
    </w:pPr>
    <w:rPr>
      <w:rFonts w:cs="Times New Roman"/>
      <w:sz w:val="20"/>
      <w:szCs w:val="20"/>
    </w:rPr>
  </w:style>
  <w:style w:type="paragraph" w:styleId="TOC7">
    <w:name w:val="toc 7"/>
    <w:basedOn w:val="Normal"/>
    <w:next w:val="Normal"/>
    <w:autoRedefine/>
    <w:semiHidden/>
    <w:rsid w:val="00912F30"/>
    <w:pPr>
      <w:ind w:left="1100"/>
    </w:pPr>
    <w:rPr>
      <w:rFonts w:cs="Times New Roman"/>
      <w:sz w:val="20"/>
      <w:szCs w:val="20"/>
    </w:rPr>
  </w:style>
  <w:style w:type="paragraph" w:styleId="TOC8">
    <w:name w:val="toc 8"/>
    <w:basedOn w:val="Normal"/>
    <w:next w:val="Normal"/>
    <w:autoRedefine/>
    <w:semiHidden/>
    <w:rsid w:val="00912F30"/>
    <w:pPr>
      <w:ind w:left="1320"/>
    </w:pPr>
    <w:rPr>
      <w:rFonts w:cs="Times New Roman"/>
      <w:sz w:val="20"/>
      <w:szCs w:val="20"/>
    </w:rPr>
  </w:style>
  <w:style w:type="paragraph" w:styleId="TOC9">
    <w:name w:val="toc 9"/>
    <w:basedOn w:val="Normal"/>
    <w:next w:val="Normal"/>
    <w:autoRedefine/>
    <w:semiHidden/>
    <w:rsid w:val="00912F30"/>
    <w:pPr>
      <w:ind w:left="1540"/>
    </w:pPr>
    <w:rPr>
      <w:rFonts w:cs="Times New Roman"/>
      <w:sz w:val="20"/>
      <w:szCs w:val="20"/>
    </w:rPr>
  </w:style>
  <w:style w:type="paragraph" w:customStyle="1" w:styleId="paragraphsub">
    <w:name w:val="paragraphsub"/>
    <w:basedOn w:val="Normal"/>
    <w:rsid w:val="00BE1229"/>
    <w:pPr>
      <w:spacing w:before="100" w:beforeAutospacing="1" w:after="100" w:afterAutospacing="1"/>
    </w:pPr>
    <w:rPr>
      <w:rFonts w:ascii="Times New Roman" w:hAnsi="Times New Roman" w:cs="Times New Roman"/>
    </w:rPr>
  </w:style>
  <w:style w:type="numbering" w:customStyle="1" w:styleId="Style1">
    <w:name w:val="Style1"/>
    <w:basedOn w:val="NoList"/>
    <w:rsid w:val="00BE1229"/>
    <w:pPr>
      <w:numPr>
        <w:numId w:val="16"/>
      </w:numPr>
    </w:pPr>
  </w:style>
  <w:style w:type="character" w:customStyle="1" w:styleId="NormalBaseChar2">
    <w:name w:val="Normal Base Char2"/>
    <w:link w:val="NormalBase"/>
    <w:rsid w:val="00BE1229"/>
    <w:rPr>
      <w:rFonts w:ascii="Arial" w:hAnsi="Arial" w:cs="Arial"/>
      <w:sz w:val="22"/>
      <w:szCs w:val="22"/>
      <w:lang w:val="en-AU" w:eastAsia="en-AU" w:bidi="ar-SA"/>
    </w:rPr>
  </w:style>
  <w:style w:type="character" w:customStyle="1" w:styleId="PlainParagraphChar2">
    <w:name w:val="Plain Paragraph Char2"/>
    <w:link w:val="PlainParagraph"/>
    <w:rsid w:val="00BE1229"/>
    <w:rPr>
      <w:rFonts w:ascii="Arial" w:hAnsi="Arial" w:cs="Arial"/>
      <w:sz w:val="22"/>
      <w:szCs w:val="22"/>
      <w:lang w:val="en-AU" w:eastAsia="en-AU" w:bidi="ar-SA"/>
    </w:rPr>
  </w:style>
  <w:style w:type="character" w:customStyle="1" w:styleId="NumberLevel1Char1">
    <w:name w:val="Number Level 1 Char1"/>
    <w:link w:val="NumberLevel1"/>
    <w:rsid w:val="00BE1229"/>
    <w:rPr>
      <w:rFonts w:ascii="Arial" w:hAnsi="Arial" w:cs="Arial"/>
      <w:sz w:val="22"/>
      <w:szCs w:val="22"/>
      <w:lang w:val="en-AU" w:eastAsia="en-AU" w:bidi="ar-SA"/>
    </w:rPr>
  </w:style>
  <w:style w:type="character" w:customStyle="1" w:styleId="Heading2Char">
    <w:name w:val="Heading 2 Char"/>
    <w:link w:val="Heading2"/>
    <w:rsid w:val="00162E6E"/>
    <w:rPr>
      <w:rFonts w:ascii="Calibri" w:hAnsi="Calibri" w:cs="Arial"/>
      <w:b/>
      <w:bCs/>
      <w:iCs/>
      <w:sz w:val="24"/>
      <w:szCs w:val="28"/>
      <w:lang w:val="en-AU" w:eastAsia="en-AU"/>
    </w:rPr>
  </w:style>
  <w:style w:type="character" w:customStyle="1" w:styleId="Heading3Char">
    <w:name w:val="Heading 3 Char"/>
    <w:link w:val="Heading3"/>
    <w:rsid w:val="003E4E31"/>
    <w:rPr>
      <w:rFonts w:ascii="Calibri" w:hAnsi="Calibri" w:cs="Arial"/>
      <w:b/>
      <w:bCs/>
      <w:sz w:val="22"/>
      <w:szCs w:val="26"/>
      <w:lang w:val="en-AU" w:eastAsia="en-AU"/>
    </w:rPr>
  </w:style>
  <w:style w:type="paragraph" w:customStyle="1" w:styleId="Default">
    <w:name w:val="Default"/>
    <w:rsid w:val="00BE1229"/>
    <w:pPr>
      <w:autoSpaceDE w:val="0"/>
      <w:autoSpaceDN w:val="0"/>
      <w:adjustRightInd w:val="0"/>
    </w:pPr>
    <w:rPr>
      <w:rFonts w:ascii="Arial" w:hAnsi="Arial" w:cs="Arial"/>
      <w:color w:val="000000"/>
      <w:sz w:val="24"/>
      <w:szCs w:val="24"/>
    </w:rPr>
  </w:style>
  <w:style w:type="character" w:customStyle="1" w:styleId="Quotation1Char1">
    <w:name w:val="Quotation 1 Char1"/>
    <w:link w:val="Quotation1"/>
    <w:rsid w:val="00BE1229"/>
    <w:rPr>
      <w:rFonts w:ascii="Arial" w:hAnsi="Arial" w:cs="Arial"/>
      <w:szCs w:val="22"/>
    </w:rPr>
  </w:style>
  <w:style w:type="character" w:customStyle="1" w:styleId="HeadingBaseChar">
    <w:name w:val="Heading Base Char"/>
    <w:link w:val="HeadingBase"/>
    <w:rsid w:val="00BE1229"/>
    <w:rPr>
      <w:rFonts w:ascii="Arial" w:hAnsi="Arial" w:cs="Arial"/>
      <w:szCs w:val="22"/>
      <w:lang w:val="en-AU" w:eastAsia="en-AU" w:bidi="ar-SA"/>
    </w:rPr>
  </w:style>
  <w:style w:type="character" w:customStyle="1" w:styleId="Heading1Char">
    <w:name w:val="Heading 1 Char"/>
    <w:link w:val="Heading1"/>
    <w:rsid w:val="00232FA3"/>
    <w:rPr>
      <w:rFonts w:ascii="Calibri" w:hAnsi="Calibri" w:cs="Arial"/>
      <w:b/>
      <w:bCs/>
      <w:caps/>
      <w:kern w:val="32"/>
      <w:sz w:val="28"/>
      <w:szCs w:val="32"/>
      <w:lang w:val="en-AU" w:eastAsia="en-AU"/>
    </w:rPr>
  </w:style>
  <w:style w:type="character" w:customStyle="1" w:styleId="CommentTextChar">
    <w:name w:val="Comment Text Char"/>
    <w:link w:val="CommentText"/>
    <w:uiPriority w:val="99"/>
    <w:semiHidden/>
    <w:locked/>
    <w:rsid w:val="00BE1229"/>
    <w:rPr>
      <w:rFonts w:ascii="Arial" w:hAnsi="Arial" w:cs="Arial"/>
      <w:sz w:val="22"/>
      <w:szCs w:val="22"/>
      <w:lang w:val="en-AU" w:eastAsia="en-AU" w:bidi="ar-SA"/>
    </w:rPr>
  </w:style>
  <w:style w:type="character" w:customStyle="1" w:styleId="FootnoteTextChar">
    <w:name w:val="Footnote Text Char"/>
    <w:link w:val="FootnoteText"/>
    <w:uiPriority w:val="99"/>
    <w:locked/>
    <w:rsid w:val="00BE1229"/>
    <w:rPr>
      <w:rFonts w:ascii="Arial" w:hAnsi="Arial" w:cs="Arial"/>
      <w:sz w:val="18"/>
      <w:lang w:val="en-AU" w:eastAsia="en-AU" w:bidi="ar-SA"/>
    </w:rPr>
  </w:style>
  <w:style w:type="paragraph" w:customStyle="1" w:styleId="Level1">
    <w:name w:val="Level 1"/>
    <w:basedOn w:val="Heading2"/>
    <w:rsid w:val="00BE1229"/>
    <w:rPr>
      <w:snapToGrid w:val="0"/>
      <w:lang w:val="en-US" w:eastAsia="en-US"/>
    </w:rPr>
  </w:style>
  <w:style w:type="character" w:customStyle="1" w:styleId="name">
    <w:name w:val="name"/>
    <w:basedOn w:val="DefaultParagraphFont"/>
    <w:rsid w:val="00BE1229"/>
  </w:style>
  <w:style w:type="paragraph" w:customStyle="1" w:styleId="Keryl">
    <w:name w:val="Keryl"/>
    <w:basedOn w:val="Normal"/>
    <w:rsid w:val="00BE1229"/>
    <w:pPr>
      <w:numPr>
        <w:numId w:val="17"/>
      </w:numPr>
    </w:pPr>
    <w:rPr>
      <w:rFonts w:ascii="Times New Roman" w:hAnsi="Times New Roman" w:cs="Times New Roman"/>
    </w:rPr>
  </w:style>
  <w:style w:type="character" w:customStyle="1" w:styleId="Heading4Char">
    <w:name w:val="Heading 4 Char"/>
    <w:link w:val="Heading4"/>
    <w:rsid w:val="00473460"/>
    <w:rPr>
      <w:rFonts w:ascii="Calibri" w:hAnsi="Calibri" w:cs="Arial"/>
      <w:b/>
      <w:bCs/>
      <w:i/>
      <w:sz w:val="22"/>
      <w:szCs w:val="28"/>
      <w:lang w:val="en-AU" w:eastAsia="en-AU"/>
    </w:rPr>
  </w:style>
  <w:style w:type="character" w:customStyle="1" w:styleId="HeaderChar">
    <w:name w:val="Header Char"/>
    <w:link w:val="Header"/>
    <w:locked/>
    <w:rsid w:val="00BE1229"/>
    <w:rPr>
      <w:rFonts w:ascii="Arial" w:hAnsi="Arial" w:cs="Arial"/>
      <w:szCs w:val="22"/>
      <w:lang w:val="en-AU" w:eastAsia="en-AU" w:bidi="ar-SA"/>
    </w:rPr>
  </w:style>
  <w:style w:type="character" w:customStyle="1" w:styleId="FooterChar">
    <w:name w:val="Footer Char"/>
    <w:locked/>
    <w:rsid w:val="00BE1229"/>
    <w:rPr>
      <w:rFonts w:ascii="Times" w:hAnsi="Times" w:cs="Times"/>
      <w:sz w:val="24"/>
      <w:lang w:val="en-AU" w:eastAsia="en-AU" w:bidi="ar-SA"/>
    </w:rPr>
  </w:style>
  <w:style w:type="character" w:customStyle="1" w:styleId="highlight">
    <w:name w:val="highlight"/>
    <w:basedOn w:val="DefaultParagraphFont"/>
    <w:rsid w:val="00BE1229"/>
  </w:style>
  <w:style w:type="paragraph" w:customStyle="1" w:styleId="CM14">
    <w:name w:val="CM14"/>
    <w:basedOn w:val="Default"/>
    <w:next w:val="Default"/>
    <w:rsid w:val="00BE1229"/>
    <w:rPr>
      <w:rFonts w:ascii="Times New Roman" w:hAnsi="Times New Roman" w:cs="Times New Roman"/>
      <w:color w:val="auto"/>
    </w:rPr>
  </w:style>
  <w:style w:type="character" w:customStyle="1" w:styleId="CharChar2">
    <w:name w:val="Char Char2"/>
    <w:semiHidden/>
    <w:locked/>
    <w:rsid w:val="00BE1229"/>
    <w:rPr>
      <w:rFonts w:ascii="Arial" w:hAnsi="Arial" w:cs="Arial"/>
      <w:sz w:val="18"/>
      <w:szCs w:val="18"/>
      <w:lang w:val="en-AU" w:eastAsia="en-AU" w:bidi="ar-SA"/>
    </w:rPr>
  </w:style>
  <w:style w:type="character" w:customStyle="1" w:styleId="NumberLevel2Char">
    <w:name w:val="Number Level 2 Char"/>
    <w:link w:val="NumberLevel2"/>
    <w:locked/>
    <w:rsid w:val="00BE1229"/>
    <w:rPr>
      <w:rFonts w:ascii="Arial" w:hAnsi="Arial" w:cs="Arial"/>
      <w:sz w:val="22"/>
      <w:szCs w:val="22"/>
      <w:lang w:val="en-AU" w:eastAsia="en-AU" w:bidi="ar-SA"/>
    </w:rPr>
  </w:style>
  <w:style w:type="character" w:customStyle="1" w:styleId="EmailStyle371">
    <w:name w:val="EmailStyle371"/>
    <w:semiHidden/>
    <w:rsid w:val="00BE1229"/>
    <w:rPr>
      <w:rFonts w:ascii="Times New Roman" w:hAnsi="Times New Roman" w:cs="Times New Roman"/>
      <w:b w:val="0"/>
      <w:bCs w:val="0"/>
      <w:i w:val="0"/>
      <w:iCs w:val="0"/>
      <w:strike w:val="0"/>
      <w:color w:val="000000"/>
      <w:sz w:val="24"/>
      <w:szCs w:val="24"/>
      <w:u w:val="none"/>
    </w:rPr>
  </w:style>
  <w:style w:type="character" w:customStyle="1" w:styleId="CharChar4">
    <w:name w:val="Char Char4"/>
    <w:rsid w:val="00BE1229"/>
    <w:rPr>
      <w:rFonts w:ascii="Arial" w:hAnsi="Arial" w:cs="Arial"/>
      <w:sz w:val="16"/>
      <w:szCs w:val="22"/>
      <w:lang w:val="en-AU" w:eastAsia="en-AU" w:bidi="ar-SA"/>
    </w:rPr>
  </w:style>
  <w:style w:type="character" w:customStyle="1" w:styleId="CharChar7">
    <w:name w:val="Char Char7"/>
    <w:rsid w:val="00BE1229"/>
    <w:rPr>
      <w:rFonts w:ascii="Arial" w:hAnsi="Arial" w:cs="Arial"/>
      <w:b/>
      <w:bCs/>
      <w:iCs/>
      <w:sz w:val="22"/>
      <w:szCs w:val="28"/>
      <w:lang w:val="en-AU" w:eastAsia="en-AU" w:bidi="ar-SA"/>
    </w:rPr>
  </w:style>
  <w:style w:type="character" w:customStyle="1" w:styleId="CharChar6">
    <w:name w:val="Char Char6"/>
    <w:rsid w:val="00BE1229"/>
    <w:rPr>
      <w:rFonts w:ascii="Arial" w:hAnsi="Arial" w:cs="Arial"/>
      <w:b/>
      <w:bCs/>
      <w:i/>
      <w:szCs w:val="26"/>
      <w:lang w:val="en-AU" w:eastAsia="en-AU" w:bidi="ar-SA"/>
    </w:rPr>
  </w:style>
  <w:style w:type="character" w:customStyle="1" w:styleId="CharChar8">
    <w:name w:val="Char Char8"/>
    <w:rsid w:val="00BE1229"/>
    <w:rPr>
      <w:rFonts w:ascii="Arial" w:hAnsi="Arial" w:cs="Arial"/>
      <w:b/>
      <w:bCs/>
      <w:caps/>
      <w:kern w:val="32"/>
      <w:szCs w:val="32"/>
      <w:lang w:val="en-AU" w:eastAsia="en-AU" w:bidi="ar-SA"/>
    </w:rPr>
  </w:style>
  <w:style w:type="character" w:customStyle="1" w:styleId="CharChar1">
    <w:name w:val="Char Char1"/>
    <w:semiHidden/>
    <w:locked/>
    <w:rsid w:val="00BE1229"/>
    <w:rPr>
      <w:rFonts w:ascii="Arial" w:hAnsi="Arial" w:cs="Arial"/>
      <w:sz w:val="18"/>
      <w:lang w:val="en-AU" w:eastAsia="en-AU" w:bidi="ar-SA"/>
    </w:rPr>
  </w:style>
  <w:style w:type="character" w:customStyle="1" w:styleId="CharChar5">
    <w:name w:val="Char Char5"/>
    <w:rsid w:val="00BE1229"/>
    <w:rPr>
      <w:rFonts w:ascii="Arial" w:hAnsi="Arial" w:cs="Arial"/>
      <w:bCs/>
      <w:i/>
      <w:szCs w:val="28"/>
      <w:lang w:val="en-AU" w:eastAsia="en-AU" w:bidi="ar-SA"/>
    </w:rPr>
  </w:style>
  <w:style w:type="character" w:customStyle="1" w:styleId="CharChar3">
    <w:name w:val="Char Char3"/>
    <w:semiHidden/>
    <w:locked/>
    <w:rsid w:val="00BE1229"/>
    <w:rPr>
      <w:rFonts w:ascii="Arial" w:hAnsi="Arial" w:cs="Arial"/>
      <w:szCs w:val="22"/>
      <w:lang w:val="en-AU" w:eastAsia="en-AU" w:bidi="ar-SA"/>
    </w:rPr>
  </w:style>
  <w:style w:type="paragraph" w:customStyle="1" w:styleId="style6">
    <w:name w:val="style6"/>
    <w:basedOn w:val="Normal"/>
    <w:rsid w:val="00BE1229"/>
    <w:rPr>
      <w:rFonts w:ascii="Times New Roman" w:hAnsi="Times New Roman" w:cs="Times New Roman"/>
      <w:color w:val="000000"/>
      <w:sz w:val="20"/>
      <w:szCs w:val="20"/>
    </w:rPr>
  </w:style>
  <w:style w:type="character" w:customStyle="1" w:styleId="CharChar11">
    <w:name w:val="Char Char11"/>
    <w:semiHidden/>
    <w:locked/>
    <w:rsid w:val="00BE1229"/>
    <w:rPr>
      <w:rFonts w:ascii="Arial" w:hAnsi="Arial" w:cs="Arial"/>
      <w:sz w:val="18"/>
      <w:lang w:val="en-AU" w:eastAsia="en-AU" w:bidi="ar-SA"/>
    </w:rPr>
  </w:style>
  <w:style w:type="paragraph" w:customStyle="1" w:styleId="numberlevel10">
    <w:name w:val="numberlevel1"/>
    <w:basedOn w:val="Normal"/>
    <w:rsid w:val="00BE1229"/>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6D4FE9"/>
    <w:pPr>
      <w:ind w:left="709"/>
    </w:pPr>
  </w:style>
  <w:style w:type="paragraph" w:customStyle="1" w:styleId="NormalNumbered">
    <w:name w:val="NormalNumbered"/>
    <w:basedOn w:val="Normal"/>
    <w:link w:val="NormalNumberedChar"/>
    <w:qFormat/>
    <w:rsid w:val="00000E77"/>
    <w:pPr>
      <w:numPr>
        <w:numId w:val="35"/>
      </w:numPr>
      <w:spacing w:after="160"/>
    </w:pPr>
    <w:rPr>
      <w:rFonts w:eastAsia="Calibri" w:cs="Times New Roman"/>
      <w:szCs w:val="22"/>
      <w:lang w:eastAsia="en-US"/>
    </w:rPr>
  </w:style>
  <w:style w:type="character" w:customStyle="1" w:styleId="NormalNumberedChar">
    <w:name w:val="NormalNumbered Char"/>
    <w:link w:val="NormalNumbered"/>
    <w:rsid w:val="00000E77"/>
    <w:rPr>
      <w:rFonts w:ascii="Calibri" w:eastAsia="Calibri" w:hAnsi="Calibri"/>
      <w:sz w:val="22"/>
      <w:szCs w:val="22"/>
      <w:lang w:eastAsia="en-US"/>
    </w:rPr>
  </w:style>
  <w:style w:type="paragraph" w:customStyle="1" w:styleId="NormalAlpha">
    <w:name w:val="NormalAlpha"/>
    <w:basedOn w:val="NormalNumbered"/>
    <w:link w:val="NormalAlphaChar"/>
    <w:qFormat/>
    <w:rsid w:val="007E1973"/>
    <w:pPr>
      <w:numPr>
        <w:numId w:val="21"/>
      </w:numPr>
    </w:pPr>
  </w:style>
  <w:style w:type="paragraph" w:customStyle="1" w:styleId="NormalDeclareNumbered">
    <w:name w:val="NormalDeclareNumbered"/>
    <w:basedOn w:val="NormalAlpha"/>
    <w:link w:val="NormalDeclareNumberedChar"/>
    <w:qFormat/>
    <w:rsid w:val="00DB0916"/>
    <w:pPr>
      <w:numPr>
        <w:numId w:val="20"/>
      </w:numPr>
    </w:pPr>
  </w:style>
  <w:style w:type="character" w:customStyle="1" w:styleId="NormalAlphaChar">
    <w:name w:val="NormalAlpha Char"/>
    <w:link w:val="NormalAlpha"/>
    <w:rsid w:val="00691CF7"/>
    <w:rPr>
      <w:rFonts w:ascii="Calibri" w:eastAsia="Calibri" w:hAnsi="Calibri"/>
      <w:sz w:val="22"/>
      <w:szCs w:val="22"/>
      <w:lang w:eastAsia="en-US"/>
    </w:rPr>
  </w:style>
  <w:style w:type="character" w:customStyle="1" w:styleId="NormalDeclareNumberedChar">
    <w:name w:val="NormalDeclareNumbered Char"/>
    <w:link w:val="NormalDeclareNumbered"/>
    <w:rsid w:val="00000E77"/>
    <w:rPr>
      <w:rFonts w:ascii="Calibri" w:eastAsia="Calibri" w:hAnsi="Calibri"/>
      <w:sz w:val="22"/>
      <w:szCs w:val="22"/>
      <w:lang w:eastAsia="en-US"/>
    </w:rPr>
  </w:style>
  <w:style w:type="paragraph" w:customStyle="1" w:styleId="NormalBullet">
    <w:name w:val="NormalBullet"/>
    <w:basedOn w:val="NormalNumbered"/>
    <w:link w:val="NormalBulletChar"/>
    <w:qFormat/>
    <w:rsid w:val="00691CF7"/>
    <w:pPr>
      <w:numPr>
        <w:numId w:val="22"/>
      </w:numPr>
      <w:ind w:left="1635"/>
    </w:pPr>
  </w:style>
  <w:style w:type="character" w:customStyle="1" w:styleId="NormalBulletChar">
    <w:name w:val="NormalBullet Char"/>
    <w:link w:val="NormalBullet"/>
    <w:rsid w:val="00691CF7"/>
    <w:rPr>
      <w:rFonts w:ascii="Calibri" w:eastAsia="Calibri" w:hAnsi="Calibri"/>
      <w:sz w:val="22"/>
      <w:szCs w:val="22"/>
      <w:lang w:eastAsia="en-US"/>
    </w:rPr>
  </w:style>
  <w:style w:type="paragraph" w:customStyle="1" w:styleId="Normal-Dash">
    <w:name w:val="Normal-Dash"/>
    <w:basedOn w:val="Normal"/>
    <w:link w:val="Normal-DashChar"/>
    <w:qFormat/>
    <w:rsid w:val="00766615"/>
    <w:pPr>
      <w:numPr>
        <w:numId w:val="18"/>
      </w:numPr>
      <w:spacing w:after="140"/>
      <w:ind w:left="1565" w:hanging="357"/>
    </w:pPr>
  </w:style>
  <w:style w:type="paragraph" w:styleId="Quote">
    <w:name w:val="Quote"/>
    <w:basedOn w:val="Normal"/>
    <w:next w:val="Normal"/>
    <w:link w:val="QuoteChar"/>
    <w:uiPriority w:val="29"/>
    <w:qFormat/>
    <w:rsid w:val="00332F72"/>
    <w:pPr>
      <w:spacing w:after="160"/>
      <w:ind w:left="1633" w:right="862"/>
    </w:pPr>
    <w:rPr>
      <w:iCs/>
      <w:color w:val="404040"/>
      <w:sz w:val="20"/>
    </w:rPr>
  </w:style>
  <w:style w:type="character" w:customStyle="1" w:styleId="Normal-DashChar">
    <w:name w:val="Normal-Dash Char"/>
    <w:link w:val="Normal-Dash"/>
    <w:rsid w:val="00766615"/>
    <w:rPr>
      <w:rFonts w:ascii="Calibri" w:hAnsi="Calibri" w:cs="Arial"/>
      <w:sz w:val="22"/>
      <w:szCs w:val="24"/>
    </w:rPr>
  </w:style>
  <w:style w:type="character" w:customStyle="1" w:styleId="QuoteChar">
    <w:name w:val="Quote Char"/>
    <w:link w:val="Quote"/>
    <w:uiPriority w:val="29"/>
    <w:rsid w:val="00332F72"/>
    <w:rPr>
      <w:rFonts w:ascii="Calibri" w:hAnsi="Calibri" w:cs="Arial"/>
      <w:iCs/>
      <w:color w:val="404040"/>
      <w:szCs w:val="24"/>
      <w:lang w:val="en-AU" w:eastAsia="en-AU"/>
    </w:rPr>
  </w:style>
  <w:style w:type="paragraph" w:customStyle="1" w:styleId="Numberediiii">
    <w:name w:val="Numbered iiii"/>
    <w:basedOn w:val="NormalDeclareNumbered"/>
    <w:link w:val="NumberediiiiChar"/>
    <w:qFormat/>
    <w:rsid w:val="00BC4952"/>
    <w:pPr>
      <w:numPr>
        <w:numId w:val="23"/>
      </w:numPr>
      <w:tabs>
        <w:tab w:val="num" w:pos="360"/>
        <w:tab w:val="num" w:pos="1091"/>
      </w:tabs>
      <w:spacing w:after="120"/>
      <w:ind w:left="2482" w:hanging="357"/>
    </w:pPr>
    <w:rPr>
      <w:szCs w:val="24"/>
    </w:rPr>
  </w:style>
  <w:style w:type="paragraph" w:customStyle="1" w:styleId="NumberedCapital">
    <w:name w:val="NumberedCapital"/>
    <w:basedOn w:val="Normal"/>
    <w:link w:val="NumberedCapitalChar"/>
    <w:qFormat/>
    <w:rsid w:val="007E1973"/>
    <w:pPr>
      <w:numPr>
        <w:numId w:val="19"/>
      </w:numPr>
      <w:spacing w:before="140" w:after="140" w:line="280" w:lineRule="atLeast"/>
    </w:pPr>
  </w:style>
  <w:style w:type="character" w:customStyle="1" w:styleId="NumberediiiiChar">
    <w:name w:val="Numbered iiii Char"/>
    <w:link w:val="Numberediiii"/>
    <w:rsid w:val="00BC4952"/>
    <w:rPr>
      <w:rFonts w:ascii="Calibri" w:eastAsia="Calibri" w:hAnsi="Calibri"/>
      <w:sz w:val="22"/>
      <w:szCs w:val="24"/>
      <w:lang w:eastAsia="en-US"/>
    </w:rPr>
  </w:style>
  <w:style w:type="character" w:customStyle="1" w:styleId="ListParagraphChar">
    <w:name w:val="List Paragraph Char"/>
    <w:link w:val="ListParagraph"/>
    <w:uiPriority w:val="34"/>
    <w:rsid w:val="00EB3E3B"/>
    <w:rPr>
      <w:rFonts w:ascii="Calibri" w:hAnsi="Calibri" w:cs="Arial"/>
      <w:sz w:val="24"/>
      <w:szCs w:val="24"/>
      <w:lang w:val="en-AU" w:eastAsia="en-AU"/>
    </w:rPr>
  </w:style>
  <w:style w:type="character" w:customStyle="1" w:styleId="NumberedCapitalChar">
    <w:name w:val="NumberedCapital Char"/>
    <w:link w:val="NumberedCapital"/>
    <w:rsid w:val="007E1973"/>
    <w:rPr>
      <w:rFonts w:ascii="Calibri" w:hAnsi="Calibri" w:cs="Arial"/>
      <w:sz w:val="22"/>
      <w:szCs w:val="24"/>
    </w:rPr>
  </w:style>
  <w:style w:type="paragraph" w:customStyle="1" w:styleId="EndNoteBibliography">
    <w:name w:val="EndNote Bibliography"/>
    <w:basedOn w:val="Normal"/>
    <w:link w:val="EndNoteBibliographyChar"/>
    <w:rsid w:val="0060167A"/>
    <w:pPr>
      <w:spacing w:after="200"/>
    </w:pPr>
    <w:rPr>
      <w:rFonts w:eastAsia="Calibri" w:cs="Calibri"/>
      <w:noProof/>
      <w:sz w:val="24"/>
      <w:szCs w:val="22"/>
      <w:lang w:val="en-US" w:eastAsia="en-US"/>
    </w:rPr>
  </w:style>
  <w:style w:type="character" w:customStyle="1" w:styleId="EndNoteBibliographyChar">
    <w:name w:val="EndNote Bibliography Char"/>
    <w:link w:val="EndNoteBibliography"/>
    <w:rsid w:val="0085439A"/>
    <w:rPr>
      <w:rFonts w:ascii="Calibri" w:eastAsia="Calibri" w:hAnsi="Calibri" w:cs="Calibri"/>
      <w:noProof/>
      <w:sz w:val="24"/>
      <w:szCs w:val="22"/>
      <w:lang w:val="en-US" w:eastAsia="en-US"/>
    </w:rPr>
  </w:style>
  <w:style w:type="paragraph" w:customStyle="1" w:styleId="bulletDotNormal">
    <w:name w:val="bulletDotNormal"/>
    <w:basedOn w:val="Normal"/>
    <w:link w:val="bulletDotNormalChar"/>
    <w:qFormat/>
    <w:rsid w:val="00942E03"/>
    <w:pPr>
      <w:numPr>
        <w:numId w:val="24"/>
      </w:numPr>
      <w:spacing w:after="160"/>
      <w:ind w:left="1080"/>
    </w:pPr>
    <w:rPr>
      <w:rFonts w:ascii="Arial" w:eastAsia="Calibri" w:hAnsi="Arial"/>
      <w:szCs w:val="22"/>
      <w:lang w:val="en-GB" w:eastAsia="en-US"/>
    </w:rPr>
  </w:style>
  <w:style w:type="character" w:customStyle="1" w:styleId="bulletDotNormalChar">
    <w:name w:val="bulletDotNormal Char"/>
    <w:link w:val="bulletDotNormal"/>
    <w:rsid w:val="00942E03"/>
    <w:rPr>
      <w:rFonts w:ascii="Arial" w:eastAsia="Calibri" w:hAnsi="Arial" w:cs="Arial"/>
      <w:sz w:val="22"/>
      <w:szCs w:val="22"/>
      <w:lang w:val="en-GB" w:eastAsia="en-US"/>
    </w:rPr>
  </w:style>
  <w:style w:type="paragraph" w:customStyle="1" w:styleId="NormalDeclare">
    <w:name w:val="NormalDeclare"/>
    <w:basedOn w:val="NormalNumbered"/>
    <w:link w:val="NormalDeclareChar"/>
    <w:qFormat/>
    <w:rsid w:val="000D5111"/>
    <w:pPr>
      <w:numPr>
        <w:numId w:val="0"/>
      </w:numPr>
      <w:spacing w:before="120" w:after="240" w:line="280" w:lineRule="atLeast"/>
      <w:ind w:left="1276"/>
    </w:pPr>
  </w:style>
  <w:style w:type="paragraph" w:customStyle="1" w:styleId="NormalII">
    <w:name w:val="NormalII"/>
    <w:basedOn w:val="NormalDeclare"/>
    <w:link w:val="NormalIIChar"/>
    <w:qFormat/>
    <w:rsid w:val="0085439A"/>
  </w:style>
  <w:style w:type="character" w:customStyle="1" w:styleId="NormalDeclareChar">
    <w:name w:val="NormalDeclare Char"/>
    <w:link w:val="NormalDeclare"/>
    <w:rsid w:val="000D5111"/>
    <w:rPr>
      <w:rFonts w:ascii="Calibri" w:eastAsia="Calibri" w:hAnsi="Calibri"/>
      <w:sz w:val="22"/>
      <w:szCs w:val="22"/>
      <w:lang w:val="en-AU" w:eastAsia="en-US"/>
    </w:rPr>
  </w:style>
  <w:style w:type="paragraph" w:customStyle="1" w:styleId="AppendixHeading">
    <w:name w:val="AppendixHeading"/>
    <w:basedOn w:val="Heading2"/>
    <w:link w:val="AppendixHeadingChar"/>
    <w:qFormat/>
    <w:rsid w:val="00DF0B49"/>
    <w:rPr>
      <w:szCs w:val="24"/>
    </w:rPr>
  </w:style>
  <w:style w:type="character" w:customStyle="1" w:styleId="NormalIIChar">
    <w:name w:val="NormalII Char"/>
    <w:link w:val="NormalII"/>
    <w:rsid w:val="0085439A"/>
    <w:rPr>
      <w:rFonts w:ascii="Calibri" w:eastAsia="Calibri" w:hAnsi="Calibri"/>
      <w:sz w:val="24"/>
      <w:szCs w:val="22"/>
      <w:lang w:val="en-AU" w:eastAsia="en-US"/>
    </w:rPr>
  </w:style>
  <w:style w:type="character" w:customStyle="1" w:styleId="AppendixHeadingChar">
    <w:name w:val="AppendixHeading Char"/>
    <w:link w:val="AppendixHeading"/>
    <w:rsid w:val="00DF0B49"/>
    <w:rPr>
      <w:rFonts w:ascii="Calibri" w:hAnsi="Calibri" w:cs="Arial"/>
      <w:b/>
      <w:bCs/>
      <w:iCs/>
      <w:sz w:val="24"/>
      <w:szCs w:val="24"/>
      <w:lang w:val="en-AU" w:eastAsia="en-AU"/>
    </w:rPr>
  </w:style>
  <w:style w:type="paragraph" w:customStyle="1" w:styleId="Footnote">
    <w:name w:val="Footnote"/>
    <w:basedOn w:val="FootnoteText"/>
    <w:link w:val="FootnoteChar"/>
    <w:qFormat/>
    <w:rsid w:val="00A8169C"/>
    <w:rPr>
      <w:rFonts w:ascii="Calibri" w:hAnsi="Calibri"/>
      <w:szCs w:val="16"/>
    </w:rPr>
  </w:style>
  <w:style w:type="paragraph" w:customStyle="1" w:styleId="QuoteAlpha">
    <w:name w:val="QuoteAlpha"/>
    <w:basedOn w:val="Quote"/>
    <w:link w:val="QuoteAlphaChar"/>
    <w:qFormat/>
    <w:rsid w:val="001B504F"/>
    <w:pPr>
      <w:numPr>
        <w:numId w:val="25"/>
      </w:numPr>
    </w:pPr>
  </w:style>
  <w:style w:type="character" w:customStyle="1" w:styleId="FootnoteChar">
    <w:name w:val="Footnote Char"/>
    <w:link w:val="Footnote"/>
    <w:rsid w:val="00A8169C"/>
    <w:rPr>
      <w:rFonts w:ascii="Calibri" w:hAnsi="Calibri" w:cs="Arial"/>
      <w:sz w:val="18"/>
      <w:szCs w:val="16"/>
      <w:lang w:val="en-AU" w:eastAsia="en-AU" w:bidi="ar-SA"/>
    </w:rPr>
  </w:style>
  <w:style w:type="paragraph" w:customStyle="1" w:styleId="QuoteiII">
    <w:name w:val="QuoteiII"/>
    <w:basedOn w:val="Quote"/>
    <w:link w:val="QuoteiIIChar"/>
    <w:qFormat/>
    <w:rsid w:val="001B504F"/>
    <w:pPr>
      <w:numPr>
        <w:numId w:val="26"/>
      </w:numPr>
      <w:ind w:left="2910"/>
    </w:pPr>
  </w:style>
  <w:style w:type="character" w:customStyle="1" w:styleId="QuoteAlphaChar">
    <w:name w:val="QuoteAlpha Char"/>
    <w:link w:val="QuoteAlpha"/>
    <w:rsid w:val="001B504F"/>
    <w:rPr>
      <w:rFonts w:ascii="Calibri" w:hAnsi="Calibri" w:cs="Arial"/>
      <w:iCs/>
      <w:color w:val="404040"/>
      <w:szCs w:val="24"/>
    </w:rPr>
  </w:style>
  <w:style w:type="paragraph" w:customStyle="1" w:styleId="StyleEndNoteBibliographyAfter12pt">
    <w:name w:val="Style EndNote Bibliography + After:  12 pt"/>
    <w:basedOn w:val="EndNoteBibliography"/>
    <w:rsid w:val="00A61E57"/>
    <w:pPr>
      <w:spacing w:after="240"/>
    </w:pPr>
    <w:rPr>
      <w:rFonts w:eastAsia="Times New Roman" w:cs="Times New Roman"/>
      <w:szCs w:val="20"/>
    </w:rPr>
  </w:style>
  <w:style w:type="character" w:customStyle="1" w:styleId="QuoteiIIChar">
    <w:name w:val="QuoteiII Char"/>
    <w:link w:val="QuoteiII"/>
    <w:rsid w:val="001B504F"/>
    <w:rPr>
      <w:rFonts w:ascii="Calibri" w:hAnsi="Calibri" w:cs="Arial"/>
      <w:iCs/>
      <w:color w:val="404040"/>
      <w:szCs w:val="24"/>
    </w:rPr>
  </w:style>
  <w:style w:type="paragraph" w:customStyle="1" w:styleId="EndNoteBibliographyTitle">
    <w:name w:val="EndNote Bibliography Title"/>
    <w:basedOn w:val="Normal"/>
    <w:link w:val="EndNoteBibliographyTitleChar"/>
    <w:rsid w:val="000D5111"/>
    <w:pPr>
      <w:jc w:val="center"/>
    </w:pPr>
    <w:rPr>
      <w:rFonts w:cs="Calibri"/>
      <w:noProof/>
      <w:sz w:val="24"/>
    </w:rPr>
  </w:style>
  <w:style w:type="character" w:customStyle="1" w:styleId="Heading5Char">
    <w:name w:val="Heading 5 Char"/>
    <w:link w:val="Heading5"/>
    <w:rsid w:val="00935776"/>
    <w:rPr>
      <w:rFonts w:ascii="Calibri" w:hAnsi="Calibri" w:cs="Arial"/>
      <w:b/>
      <w:bCs/>
      <w:iCs/>
      <w:sz w:val="22"/>
      <w:szCs w:val="26"/>
      <w:lang w:val="en-AU" w:eastAsia="en-AU" w:bidi="ar-SA"/>
    </w:rPr>
  </w:style>
  <w:style w:type="character" w:customStyle="1" w:styleId="EndNoteBibliographyTitleChar">
    <w:name w:val="EndNote Bibliography Title Char"/>
    <w:link w:val="EndNoteBibliographyTitle"/>
    <w:rsid w:val="000D5111"/>
    <w:rPr>
      <w:rFonts w:ascii="Calibri" w:hAnsi="Calibri" w:cs="Calibri"/>
      <w:noProof/>
      <w:sz w:val="24"/>
      <w:szCs w:val="24"/>
    </w:rPr>
  </w:style>
  <w:style w:type="paragraph" w:customStyle="1" w:styleId="Normalnumbered2">
    <w:name w:val="Normalnumbered2"/>
    <w:basedOn w:val="Normal"/>
    <w:qFormat/>
    <w:rsid w:val="00EE087B"/>
    <w:pPr>
      <w:numPr>
        <w:numId w:val="27"/>
      </w:numPr>
      <w:spacing w:after="160"/>
      <w:ind w:left="3332" w:hanging="357"/>
      <w:contextualSpacing/>
    </w:pPr>
    <w:rPr>
      <w:rFonts w:eastAsia="Calibri" w:cs="Times New Roman"/>
      <w:szCs w:val="22"/>
    </w:rPr>
  </w:style>
  <w:style w:type="paragraph" w:styleId="Revision">
    <w:name w:val="Revision"/>
    <w:hidden/>
    <w:uiPriority w:val="99"/>
    <w:semiHidden/>
    <w:rsid w:val="00364634"/>
    <w:rPr>
      <w:rFonts w:ascii="Calibri" w:hAnsi="Calibri" w:cs="Arial"/>
      <w:sz w:val="22"/>
      <w:szCs w:val="24"/>
    </w:rPr>
  </w:style>
  <w:style w:type="paragraph" w:customStyle="1" w:styleId="Normalbullet0">
    <w:name w:val="Normal bullet"/>
    <w:basedOn w:val="Normal"/>
    <w:link w:val="NormalbulletChar0"/>
    <w:qFormat/>
    <w:rsid w:val="00F42916"/>
    <w:pPr>
      <w:numPr>
        <w:numId w:val="28"/>
      </w:numPr>
      <w:spacing w:after="160"/>
    </w:pPr>
    <w:rPr>
      <w:rFonts w:eastAsia="Calibri" w:cs="Times New Roman"/>
      <w:szCs w:val="22"/>
    </w:rPr>
  </w:style>
  <w:style w:type="character" w:customStyle="1" w:styleId="NormalbulletChar0">
    <w:name w:val="Normal bullet Char"/>
    <w:link w:val="Normalbullet0"/>
    <w:rsid w:val="00F42916"/>
    <w:rPr>
      <w:rFonts w:ascii="Calibri" w:eastAsia="Calibri" w:hAnsi="Calibri"/>
      <w:sz w:val="22"/>
      <w:szCs w:val="22"/>
    </w:rPr>
  </w:style>
  <w:style w:type="paragraph" w:customStyle="1" w:styleId="Normalnumbered0">
    <w:name w:val="Normal numbered"/>
    <w:basedOn w:val="Normal"/>
    <w:link w:val="NormalnumberedChar0"/>
    <w:qFormat/>
    <w:rsid w:val="00F42916"/>
    <w:pPr>
      <w:numPr>
        <w:numId w:val="29"/>
      </w:numPr>
      <w:spacing w:after="160"/>
    </w:pPr>
    <w:rPr>
      <w:rFonts w:eastAsia="Calibri" w:cs="Times New Roman"/>
      <w:szCs w:val="22"/>
      <w:lang w:eastAsia="en-US"/>
    </w:rPr>
  </w:style>
  <w:style w:type="character" w:customStyle="1" w:styleId="NormalnumberedChar0">
    <w:name w:val="Normal numbered Char"/>
    <w:link w:val="Normalnumbered0"/>
    <w:rsid w:val="00F42916"/>
    <w:rPr>
      <w:rFonts w:ascii="Calibri" w:eastAsia="Calibri" w:hAnsi="Calibri"/>
      <w:sz w:val="22"/>
      <w:szCs w:val="22"/>
      <w:lang w:eastAsia="en-US"/>
    </w:rPr>
  </w:style>
  <w:style w:type="paragraph" w:customStyle="1" w:styleId="HeadingNormal">
    <w:name w:val="HeadingNormal"/>
    <w:basedOn w:val="Heading5"/>
    <w:link w:val="HeadingNormalChar"/>
    <w:qFormat/>
    <w:rsid w:val="007C44C6"/>
    <w:pPr>
      <w:spacing w:before="120"/>
    </w:pPr>
    <w:rPr>
      <w:rFonts w:eastAsia="Calibri"/>
      <w:i/>
    </w:rPr>
  </w:style>
  <w:style w:type="character" w:customStyle="1" w:styleId="HeadingNormalChar">
    <w:name w:val="HeadingNormal Char"/>
    <w:link w:val="HeadingNormal"/>
    <w:rsid w:val="007C44C6"/>
    <w:rPr>
      <w:rFonts w:ascii="Calibri" w:eastAsia="Calibri" w:hAnsi="Calibri" w:cs="Arial"/>
      <w:b/>
      <w:bCs/>
      <w:i/>
      <w:iCs/>
      <w:sz w:val="22"/>
      <w:szCs w:val="26"/>
      <w:lang w:val="en-AU" w:eastAsia="en-AU" w:bidi="ar-SA"/>
    </w:rPr>
  </w:style>
  <w:style w:type="character" w:customStyle="1" w:styleId="PlainTextChar">
    <w:name w:val="Plain Text Char"/>
    <w:link w:val="PlainText"/>
    <w:uiPriority w:val="99"/>
    <w:rsid w:val="000860DB"/>
    <w:rPr>
      <w:rFonts w:ascii="Calibri" w:hAnsi="Calibri" w:cs="Arial"/>
      <w:sz w:val="22"/>
      <w:lang w:val="en-AU" w:eastAsia="en-AU"/>
    </w:rPr>
  </w:style>
  <w:style w:type="character" w:customStyle="1" w:styleId="apple-converted-space">
    <w:name w:val="apple-converted-space"/>
    <w:basedOn w:val="DefaultParagraphFont"/>
    <w:rsid w:val="00271EB0"/>
  </w:style>
  <w:style w:type="character" w:customStyle="1" w:styleId="size-m">
    <w:name w:val="size-m"/>
    <w:basedOn w:val="DefaultParagraphFont"/>
    <w:rsid w:val="00D27A2F"/>
  </w:style>
  <w:style w:type="character" w:customStyle="1" w:styleId="size-xl">
    <w:name w:val="size-xl"/>
    <w:basedOn w:val="DefaultParagraphFont"/>
    <w:rsid w:val="00D27A2F"/>
  </w:style>
  <w:style w:type="character" w:customStyle="1" w:styleId="tgc">
    <w:name w:val="_tgc"/>
    <w:basedOn w:val="DefaultParagraphFont"/>
    <w:rsid w:val="008F6582"/>
  </w:style>
  <w:style w:type="paragraph" w:customStyle="1" w:styleId="BulletpointNormalDecalre">
    <w:name w:val="BulletpointNormalDecalre"/>
    <w:basedOn w:val="NormalDeclare"/>
    <w:link w:val="BulletpointNormalDecalreChar"/>
    <w:qFormat/>
    <w:rsid w:val="003444BF"/>
  </w:style>
  <w:style w:type="character" w:customStyle="1" w:styleId="BulletpointNormalDecalreChar">
    <w:name w:val="BulletpointNormalDecalre Char"/>
    <w:link w:val="BulletpointNormalDecalre"/>
    <w:rsid w:val="003444BF"/>
    <w:rPr>
      <w:rFonts w:ascii="Calibri" w:eastAsia="Calibri" w:hAnsi="Calibri"/>
      <w:sz w:val="22"/>
      <w:szCs w:val="22"/>
      <w:lang w:val="en-AU" w:eastAsia="en-US"/>
    </w:rPr>
  </w:style>
  <w:style w:type="paragraph" w:customStyle="1" w:styleId="NumberedAlpha">
    <w:name w:val="Numbered Alpha"/>
    <w:basedOn w:val="Normal"/>
    <w:rsid w:val="00F61940"/>
    <w:pPr>
      <w:numPr>
        <w:numId w:val="30"/>
      </w:numPr>
      <w:tabs>
        <w:tab w:val="left" w:pos="2418"/>
        <w:tab w:val="left" w:pos="2835"/>
      </w:tabs>
      <w:spacing w:before="60" w:after="60" w:line="320" w:lineRule="atLeast"/>
      <w:ind w:left="0" w:right="567" w:firstLine="0"/>
    </w:pPr>
    <w:rPr>
      <w:szCs w:val="22"/>
    </w:rPr>
  </w:style>
  <w:style w:type="numbering" w:customStyle="1" w:styleId="NoList1">
    <w:name w:val="No List1"/>
    <w:next w:val="NoList"/>
    <w:uiPriority w:val="99"/>
    <w:semiHidden/>
    <w:unhideWhenUsed/>
    <w:rsid w:val="002A4F0C"/>
  </w:style>
  <w:style w:type="character" w:customStyle="1" w:styleId="Heading7Char">
    <w:name w:val="Heading 7 Char"/>
    <w:aliases w:val="Heading 7_Appendix Char"/>
    <w:link w:val="Heading7"/>
    <w:rsid w:val="002A4F0C"/>
    <w:rPr>
      <w:rFonts w:ascii="Calibri" w:hAnsi="Calibri" w:cs="Arial"/>
      <w:b/>
      <w:sz w:val="22"/>
      <w:szCs w:val="22"/>
      <w:lang w:val="en-AU" w:eastAsia="en-AU"/>
    </w:rPr>
  </w:style>
  <w:style w:type="character" w:customStyle="1" w:styleId="Heading8Char">
    <w:name w:val="Heading 8 Char"/>
    <w:link w:val="Heading8"/>
    <w:rsid w:val="002A4F0C"/>
    <w:rPr>
      <w:rFonts w:ascii="Calibri" w:hAnsi="Calibri" w:cs="Arial"/>
      <w:b/>
      <w:sz w:val="22"/>
      <w:szCs w:val="22"/>
      <w:lang w:val="en-AU" w:eastAsia="en-AU"/>
    </w:rPr>
  </w:style>
  <w:style w:type="paragraph" w:customStyle="1" w:styleId="NormalAlphaCap">
    <w:name w:val="NormalAlphaCap"/>
    <w:basedOn w:val="Normal"/>
    <w:link w:val="NormalAlphaCapChar"/>
    <w:qFormat/>
    <w:rsid w:val="002A4F0C"/>
    <w:pPr>
      <w:ind w:left="1635" w:hanging="360"/>
    </w:pPr>
  </w:style>
  <w:style w:type="paragraph" w:customStyle="1" w:styleId="NormalDash">
    <w:name w:val="NormalDash"/>
    <w:basedOn w:val="Normal"/>
    <w:link w:val="NormalDashChar"/>
    <w:qFormat/>
    <w:rsid w:val="002A4F0C"/>
    <w:pPr>
      <w:numPr>
        <w:numId w:val="32"/>
      </w:numPr>
      <w:spacing w:after="120"/>
      <w:ind w:left="1139" w:hanging="357"/>
    </w:pPr>
  </w:style>
  <w:style w:type="character" w:customStyle="1" w:styleId="NormalAlphaCapChar">
    <w:name w:val="NormalAlphaCap Char"/>
    <w:link w:val="NormalAlphaCap"/>
    <w:rsid w:val="002A4F0C"/>
    <w:rPr>
      <w:rFonts w:ascii="Calibri" w:hAnsi="Calibri" w:cs="Arial"/>
      <w:sz w:val="22"/>
      <w:szCs w:val="24"/>
      <w:lang w:val="en-AU" w:eastAsia="en-AU"/>
    </w:rPr>
  </w:style>
  <w:style w:type="character" w:customStyle="1" w:styleId="NormalDashChar">
    <w:name w:val="NormalDash Char"/>
    <w:link w:val="NormalDash"/>
    <w:rsid w:val="002A4F0C"/>
    <w:rPr>
      <w:rFonts w:ascii="Calibri" w:hAnsi="Calibri" w:cs="Arial"/>
      <w:sz w:val="22"/>
      <w:szCs w:val="24"/>
    </w:rPr>
  </w:style>
  <w:style w:type="character" w:customStyle="1" w:styleId="BalloonTextChar">
    <w:name w:val="Balloon Text Char"/>
    <w:link w:val="BalloonText"/>
    <w:semiHidden/>
    <w:rsid w:val="002A4F0C"/>
    <w:rPr>
      <w:rFonts w:ascii="Calibri" w:hAnsi="Calibri" w:cs="Arial"/>
      <w:sz w:val="22"/>
      <w:szCs w:val="16"/>
      <w:lang w:val="en-AU" w:eastAsia="en-AU"/>
    </w:rPr>
  </w:style>
  <w:style w:type="character" w:customStyle="1" w:styleId="BodyTextIndentChar">
    <w:name w:val="Body Text Indent Char"/>
    <w:link w:val="BodyTextIndent"/>
    <w:rsid w:val="002A4F0C"/>
    <w:rPr>
      <w:rFonts w:ascii="Calibri" w:hAnsi="Calibri" w:cs="Arial"/>
      <w:i/>
      <w:sz w:val="22"/>
      <w:szCs w:val="22"/>
      <w:lang w:val="en-AU" w:eastAsia="en-AU"/>
    </w:rPr>
  </w:style>
  <w:style w:type="character" w:customStyle="1" w:styleId="BodyTextChar">
    <w:name w:val="Body Text Char"/>
    <w:link w:val="BodyText"/>
    <w:rsid w:val="002A4F0C"/>
    <w:rPr>
      <w:rFonts w:ascii="Calibri" w:hAnsi="Calibri" w:cs="Arial"/>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0361">
      <w:bodyDiv w:val="1"/>
      <w:marLeft w:val="0"/>
      <w:marRight w:val="0"/>
      <w:marTop w:val="0"/>
      <w:marBottom w:val="0"/>
      <w:divBdr>
        <w:top w:val="none" w:sz="0" w:space="0" w:color="auto"/>
        <w:left w:val="none" w:sz="0" w:space="0" w:color="auto"/>
        <w:bottom w:val="none" w:sz="0" w:space="0" w:color="auto"/>
        <w:right w:val="none" w:sz="0" w:space="0" w:color="auto"/>
      </w:divBdr>
    </w:div>
    <w:div w:id="165903712">
      <w:bodyDiv w:val="1"/>
      <w:marLeft w:val="0"/>
      <w:marRight w:val="0"/>
      <w:marTop w:val="0"/>
      <w:marBottom w:val="0"/>
      <w:divBdr>
        <w:top w:val="none" w:sz="0" w:space="0" w:color="auto"/>
        <w:left w:val="none" w:sz="0" w:space="0" w:color="auto"/>
        <w:bottom w:val="none" w:sz="0" w:space="0" w:color="auto"/>
        <w:right w:val="none" w:sz="0" w:space="0" w:color="auto"/>
      </w:divBdr>
    </w:div>
    <w:div w:id="464541706">
      <w:bodyDiv w:val="1"/>
      <w:marLeft w:val="0"/>
      <w:marRight w:val="0"/>
      <w:marTop w:val="0"/>
      <w:marBottom w:val="0"/>
      <w:divBdr>
        <w:top w:val="none" w:sz="0" w:space="0" w:color="auto"/>
        <w:left w:val="none" w:sz="0" w:space="0" w:color="auto"/>
        <w:bottom w:val="none" w:sz="0" w:space="0" w:color="auto"/>
        <w:right w:val="none" w:sz="0" w:space="0" w:color="auto"/>
      </w:divBdr>
    </w:div>
    <w:div w:id="1109818004">
      <w:bodyDiv w:val="1"/>
      <w:marLeft w:val="0"/>
      <w:marRight w:val="0"/>
      <w:marTop w:val="0"/>
      <w:marBottom w:val="0"/>
      <w:divBdr>
        <w:top w:val="none" w:sz="0" w:space="0" w:color="auto"/>
        <w:left w:val="none" w:sz="0" w:space="0" w:color="auto"/>
        <w:bottom w:val="none" w:sz="0" w:space="0" w:color="auto"/>
        <w:right w:val="none" w:sz="0" w:space="0" w:color="auto"/>
      </w:divBdr>
    </w:div>
    <w:div w:id="1751150242">
      <w:bodyDiv w:val="1"/>
      <w:marLeft w:val="0"/>
      <w:marRight w:val="0"/>
      <w:marTop w:val="0"/>
      <w:marBottom w:val="0"/>
      <w:divBdr>
        <w:top w:val="none" w:sz="0" w:space="0" w:color="auto"/>
        <w:left w:val="none" w:sz="0" w:space="0" w:color="auto"/>
        <w:bottom w:val="none" w:sz="0" w:space="0" w:color="auto"/>
        <w:right w:val="none" w:sz="0" w:space="0" w:color="auto"/>
      </w:divBdr>
    </w:div>
    <w:div w:id="1850296106">
      <w:bodyDiv w:val="1"/>
      <w:marLeft w:val="0"/>
      <w:marRight w:val="0"/>
      <w:marTop w:val="0"/>
      <w:marBottom w:val="0"/>
      <w:divBdr>
        <w:top w:val="none" w:sz="0" w:space="0" w:color="auto"/>
        <w:left w:val="none" w:sz="0" w:space="0" w:color="auto"/>
        <w:bottom w:val="none" w:sz="0" w:space="0" w:color="auto"/>
        <w:right w:val="none" w:sz="0" w:space="0" w:color="auto"/>
      </w:divBdr>
    </w:div>
    <w:div w:id="21264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18383638"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flink.osd.mil/khamisiyah_te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fveteransassociation.co.uk/Files/LloydReport171104.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space.library.uq.edu.au/view/UQ:2532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4B2-A7E6-41CC-BFB7-0CE4F8E7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25568</Words>
  <Characters>150260</Characters>
  <Application>Microsoft Office Word</Application>
  <DocSecurity>0</DocSecurity>
  <Lines>1252</Lines>
  <Paragraphs>350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2013-11-13T04:50:00Z</cp:lastPrinted>
  <dcterms:created xsi:type="dcterms:W3CDTF">2018-08-06T02:07:00Z</dcterms:created>
  <dcterms:modified xsi:type="dcterms:W3CDTF">2018-08-06T02:10:00Z</dcterms:modified>
</cp:coreProperties>
</file>