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F381" w14:textId="77777777" w:rsidR="00786897" w:rsidRPr="00395532" w:rsidRDefault="008D6AE5" w:rsidP="00786897">
      <w:pPr>
        <w:jc w:val="center"/>
        <w:rPr>
          <w:rFonts w:ascii="Calibri" w:hAnsi="Calibri"/>
          <w:sz w:val="24"/>
        </w:rPr>
      </w:pPr>
      <w:r w:rsidRPr="00395532">
        <w:rPr>
          <w:rFonts w:ascii="Calibri" w:hAnsi="Calibri"/>
          <w:noProof/>
          <w:sz w:val="24"/>
        </w:rPr>
        <w:drawing>
          <wp:inline distT="0" distB="0" distL="0" distR="0" wp14:anchorId="738F99A3" wp14:editId="6705FF1E">
            <wp:extent cx="1371600" cy="1135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5380"/>
                    </a:xfrm>
                    <a:prstGeom prst="rect">
                      <a:avLst/>
                    </a:prstGeom>
                    <a:noFill/>
                    <a:ln>
                      <a:noFill/>
                    </a:ln>
                  </pic:spPr>
                </pic:pic>
              </a:graphicData>
            </a:graphic>
          </wp:inline>
        </w:drawing>
      </w:r>
    </w:p>
    <w:p w14:paraId="0EF58E35" w14:textId="77777777" w:rsidR="00786897" w:rsidRPr="00395532" w:rsidRDefault="00786897" w:rsidP="00786897">
      <w:pPr>
        <w:jc w:val="center"/>
        <w:rPr>
          <w:rFonts w:ascii="Calibri" w:hAnsi="Calibri"/>
          <w:sz w:val="24"/>
        </w:rPr>
      </w:pPr>
    </w:p>
    <w:p w14:paraId="7D5D41C5" w14:textId="77777777" w:rsidR="00786897" w:rsidRPr="00810719" w:rsidRDefault="00786897" w:rsidP="00786897">
      <w:pPr>
        <w:jc w:val="center"/>
        <w:rPr>
          <w:rFonts w:ascii="Calibri" w:hAnsi="Calibri"/>
          <w:spacing w:val="-5"/>
          <w:sz w:val="36"/>
          <w:szCs w:val="36"/>
        </w:rPr>
      </w:pPr>
      <w:r w:rsidRPr="00810719">
        <w:rPr>
          <w:rFonts w:ascii="Calibri" w:hAnsi="Calibri"/>
          <w:spacing w:val="-5"/>
          <w:sz w:val="36"/>
          <w:szCs w:val="36"/>
        </w:rPr>
        <w:t xml:space="preserve">Specialist Medical </w:t>
      </w:r>
      <w:r w:rsidRPr="00810719">
        <w:rPr>
          <w:rFonts w:ascii="Calibri" w:hAnsi="Calibri"/>
          <w:spacing w:val="-15"/>
          <w:sz w:val="36"/>
          <w:szCs w:val="36"/>
        </w:rPr>
        <w:t>Re</w:t>
      </w:r>
      <w:r w:rsidRPr="00810719">
        <w:rPr>
          <w:rFonts w:ascii="Calibri" w:hAnsi="Calibri"/>
          <w:spacing w:val="-5"/>
          <w:sz w:val="36"/>
          <w:szCs w:val="36"/>
        </w:rPr>
        <w:t>view Council</w:t>
      </w:r>
    </w:p>
    <w:p w14:paraId="7DB11D72" w14:textId="77777777" w:rsidR="00786897" w:rsidRPr="00395532" w:rsidRDefault="00786897" w:rsidP="00786897">
      <w:pPr>
        <w:jc w:val="center"/>
        <w:rPr>
          <w:rFonts w:ascii="Calibri" w:hAnsi="Calibri"/>
          <w:sz w:val="24"/>
        </w:rPr>
      </w:pPr>
    </w:p>
    <w:p w14:paraId="0EC39A6C" w14:textId="77777777" w:rsidR="00786897" w:rsidRPr="00395532" w:rsidRDefault="00786897" w:rsidP="00786897">
      <w:pPr>
        <w:keepNext/>
        <w:widowControl w:val="0"/>
        <w:jc w:val="center"/>
        <w:outlineLvl w:val="6"/>
        <w:rPr>
          <w:rFonts w:ascii="Calibri" w:hAnsi="Calibri"/>
          <w:b/>
          <w:sz w:val="24"/>
        </w:rPr>
      </w:pPr>
      <w:bookmarkStart w:id="0" w:name="_GoBack"/>
      <w:bookmarkEnd w:id="0"/>
      <w:r w:rsidRPr="00395532">
        <w:rPr>
          <w:rFonts w:ascii="Calibri" w:hAnsi="Calibri"/>
          <w:b/>
          <w:sz w:val="24"/>
        </w:rPr>
        <w:t>Declaration and Reasons for Decisions</w:t>
      </w:r>
    </w:p>
    <w:p w14:paraId="0107EC64" w14:textId="77777777" w:rsidR="00786897" w:rsidRPr="00395532" w:rsidRDefault="00786897" w:rsidP="00786897">
      <w:pPr>
        <w:jc w:val="center"/>
        <w:rPr>
          <w:rFonts w:ascii="Calibri" w:hAnsi="Calibri"/>
          <w:sz w:val="24"/>
        </w:rPr>
      </w:pPr>
    </w:p>
    <w:p w14:paraId="280472ED" w14:textId="77777777" w:rsidR="00786897" w:rsidRPr="00395532" w:rsidRDefault="00786897" w:rsidP="00786897">
      <w:pPr>
        <w:widowControl w:val="0"/>
        <w:jc w:val="center"/>
        <w:rPr>
          <w:rFonts w:ascii="Calibri" w:hAnsi="Calibri"/>
          <w:i/>
          <w:sz w:val="24"/>
        </w:rPr>
      </w:pPr>
      <w:r w:rsidRPr="00395532">
        <w:rPr>
          <w:rFonts w:ascii="Calibri" w:hAnsi="Calibri"/>
          <w:i/>
          <w:sz w:val="24"/>
        </w:rPr>
        <w:t>Section 196W</w:t>
      </w:r>
      <w:r w:rsidRPr="00395532">
        <w:rPr>
          <w:rFonts w:ascii="Calibri" w:hAnsi="Calibri"/>
          <w:i/>
          <w:sz w:val="24"/>
        </w:rPr>
        <w:br/>
        <w:t>Veterans’ Entitlements Act 1986</w:t>
      </w:r>
    </w:p>
    <w:p w14:paraId="4DB9A339" w14:textId="77777777" w:rsidR="00786897" w:rsidRPr="00395532" w:rsidRDefault="00786897" w:rsidP="00786897">
      <w:pPr>
        <w:jc w:val="center"/>
        <w:rPr>
          <w:rFonts w:ascii="Calibri" w:hAnsi="Calibri"/>
          <w:sz w:val="24"/>
        </w:rPr>
      </w:pPr>
    </w:p>
    <w:p w14:paraId="65B79EBB" w14:textId="77777777" w:rsidR="00786897" w:rsidRPr="00395532" w:rsidRDefault="00786897" w:rsidP="00786897">
      <w:pPr>
        <w:pBdr>
          <w:top w:val="single" w:sz="12" w:space="1" w:color="auto"/>
        </w:pBdr>
        <w:ind w:left="3119" w:right="3119"/>
        <w:jc w:val="center"/>
        <w:rPr>
          <w:rFonts w:ascii="Calibri" w:hAnsi="Calibri"/>
          <w:sz w:val="24"/>
        </w:rPr>
      </w:pPr>
    </w:p>
    <w:p w14:paraId="505145FF" w14:textId="77777777" w:rsidR="008F386E" w:rsidRPr="00254882" w:rsidRDefault="008F386E" w:rsidP="00E415C1">
      <w:pPr>
        <w:spacing w:line="360" w:lineRule="auto"/>
        <w:jc w:val="center"/>
        <w:rPr>
          <w:rFonts w:ascii="Calibri" w:hAnsi="Calibri"/>
          <w:sz w:val="24"/>
        </w:rPr>
      </w:pPr>
      <w:bookmarkStart w:id="1" w:name="_Toc415481399"/>
      <w:bookmarkStart w:id="2" w:name="_Toc483923002"/>
      <w:bookmarkStart w:id="3" w:name="_Toc373244657"/>
      <w:bookmarkStart w:id="4" w:name="_Toc373244654"/>
      <w:bookmarkStart w:id="5" w:name="_Toc373244652"/>
      <w:bookmarkStart w:id="6" w:name="_Toc373244640"/>
      <w:r w:rsidRPr="00254882">
        <w:rPr>
          <w:rFonts w:ascii="Calibri" w:hAnsi="Calibri"/>
          <w:b/>
          <w:sz w:val="24"/>
        </w:rPr>
        <w:t>Re: Decision of the Repatriation Medical Authority not to make</w:t>
      </w:r>
    </w:p>
    <w:p w14:paraId="58F72E36" w14:textId="77777777" w:rsidR="00B56334" w:rsidRPr="00254882" w:rsidRDefault="008F386E" w:rsidP="00E415C1">
      <w:pPr>
        <w:spacing w:line="360" w:lineRule="auto"/>
        <w:jc w:val="center"/>
        <w:rPr>
          <w:rFonts w:ascii="Calibri" w:hAnsi="Calibri"/>
          <w:b/>
          <w:sz w:val="24"/>
        </w:rPr>
      </w:pPr>
      <w:r w:rsidRPr="00254882">
        <w:rPr>
          <w:rFonts w:ascii="Calibri" w:hAnsi="Calibri"/>
          <w:b/>
          <w:sz w:val="24"/>
        </w:rPr>
        <w:t xml:space="preserve">Statements of Principles for </w:t>
      </w:r>
      <w:r w:rsidR="00B56334" w:rsidRPr="00254882">
        <w:rPr>
          <w:rFonts w:ascii="Calibri" w:hAnsi="Calibri"/>
          <w:b/>
          <w:sz w:val="24"/>
        </w:rPr>
        <w:t>“chemically</w:t>
      </w:r>
      <w:r w:rsidR="00C9767A">
        <w:rPr>
          <w:rFonts w:ascii="Calibri" w:hAnsi="Calibri"/>
          <w:b/>
          <w:sz w:val="24"/>
        </w:rPr>
        <w:t>-</w:t>
      </w:r>
      <w:r w:rsidR="00B56334" w:rsidRPr="00254882">
        <w:rPr>
          <w:rFonts w:ascii="Calibri" w:hAnsi="Calibri"/>
          <w:b/>
          <w:sz w:val="24"/>
        </w:rPr>
        <w:t xml:space="preserve">acquired brain injury caused by mefloquine, tafenoquine or primaquine”. </w:t>
      </w:r>
    </w:p>
    <w:p w14:paraId="1DB4C102" w14:textId="77777777" w:rsidR="00B56334" w:rsidRPr="00254882" w:rsidRDefault="00B56334" w:rsidP="00B56334">
      <w:pPr>
        <w:jc w:val="center"/>
        <w:rPr>
          <w:rFonts w:ascii="Calibri" w:hAnsi="Calibri"/>
          <w:b/>
          <w:sz w:val="24"/>
        </w:rPr>
      </w:pPr>
    </w:p>
    <w:p w14:paraId="3A5D3914" w14:textId="77777777" w:rsidR="008F386E" w:rsidRPr="00810719" w:rsidRDefault="008F386E" w:rsidP="00B56334">
      <w:pPr>
        <w:jc w:val="center"/>
        <w:rPr>
          <w:rFonts w:ascii="Calibri" w:hAnsi="Calibri"/>
          <w:sz w:val="24"/>
        </w:rPr>
      </w:pPr>
      <w:r w:rsidRPr="00810719">
        <w:rPr>
          <w:rFonts w:ascii="Calibri" w:hAnsi="Calibri"/>
          <w:sz w:val="24"/>
        </w:rPr>
        <w:t xml:space="preserve">Request for Review Declaration No. </w:t>
      </w:r>
      <w:r w:rsidR="00FB3854">
        <w:rPr>
          <w:rFonts w:ascii="Calibri" w:hAnsi="Calibri"/>
          <w:sz w:val="24"/>
        </w:rPr>
        <w:t>34</w:t>
      </w:r>
    </w:p>
    <w:p w14:paraId="25637575" w14:textId="77777777" w:rsidR="0073466C" w:rsidRDefault="0073466C" w:rsidP="008F386E">
      <w:pPr>
        <w:ind w:left="1701" w:right="1701"/>
        <w:jc w:val="center"/>
      </w:pPr>
    </w:p>
    <w:p w14:paraId="739DBE07" w14:textId="77777777" w:rsidR="008F386E" w:rsidRPr="00005854" w:rsidRDefault="008F386E" w:rsidP="008F386E">
      <w:pPr>
        <w:ind w:left="1701" w:right="1701"/>
        <w:jc w:val="center"/>
      </w:pPr>
    </w:p>
    <w:p w14:paraId="64B9106E" w14:textId="77777777" w:rsidR="009C6E21" w:rsidRDefault="008F386E" w:rsidP="00024D4A">
      <w:pPr>
        <w:pStyle w:val="NormalNumbered"/>
        <w:numPr>
          <w:ilvl w:val="0"/>
          <w:numId w:val="25"/>
        </w:numPr>
        <w:rPr>
          <w:sz w:val="24"/>
          <w:szCs w:val="24"/>
        </w:rPr>
      </w:pPr>
      <w:bookmarkStart w:id="7" w:name="_Ref498342740"/>
      <w:r w:rsidRPr="00810719">
        <w:rPr>
          <w:sz w:val="24"/>
          <w:szCs w:val="24"/>
        </w:rPr>
        <w:t xml:space="preserve">In relation to the decision of the Repatriation Medical Authority (RMA) not to make Statements of Principles for </w:t>
      </w:r>
      <w:r w:rsidR="00B56334" w:rsidRPr="00810719">
        <w:rPr>
          <w:b/>
          <w:sz w:val="24"/>
          <w:szCs w:val="24"/>
        </w:rPr>
        <w:t>“</w:t>
      </w:r>
      <w:r w:rsidR="002C2420">
        <w:rPr>
          <w:b/>
          <w:sz w:val="24"/>
          <w:szCs w:val="24"/>
        </w:rPr>
        <w:t xml:space="preserve">chemically-acquired </w:t>
      </w:r>
      <w:r w:rsidR="00B56334" w:rsidRPr="00810719">
        <w:rPr>
          <w:b/>
          <w:sz w:val="24"/>
          <w:szCs w:val="24"/>
        </w:rPr>
        <w:t xml:space="preserve">brain injury caused by mefloquine, tafenoquine or primaquine” </w:t>
      </w:r>
      <w:r w:rsidRPr="00810719">
        <w:rPr>
          <w:sz w:val="24"/>
          <w:szCs w:val="24"/>
        </w:rPr>
        <w:t>the Counci</w:t>
      </w:r>
      <w:r w:rsidR="009C6E21">
        <w:rPr>
          <w:sz w:val="24"/>
          <w:szCs w:val="24"/>
        </w:rPr>
        <w:t>l under s.196W(5)(b) of the VEA,</w:t>
      </w:r>
    </w:p>
    <w:p w14:paraId="058FF90C" w14:textId="696FA77F" w:rsidR="008F386E" w:rsidRPr="00810719" w:rsidRDefault="008F386E" w:rsidP="009C6E21">
      <w:pPr>
        <w:pStyle w:val="NormalNumbered"/>
        <w:ind w:left="425"/>
        <w:rPr>
          <w:sz w:val="24"/>
          <w:szCs w:val="24"/>
        </w:rPr>
      </w:pPr>
      <w:r w:rsidRPr="00810719">
        <w:rPr>
          <w:sz w:val="24"/>
          <w:szCs w:val="24"/>
        </w:rPr>
        <w:t xml:space="preserve">DECLARES that it </w:t>
      </w:r>
      <w:r w:rsidR="00FA4C74" w:rsidRPr="00810719">
        <w:rPr>
          <w:b/>
          <w:sz w:val="24"/>
          <w:szCs w:val="24"/>
        </w:rPr>
        <w:t xml:space="preserve">was </w:t>
      </w:r>
      <w:r w:rsidRPr="00810719">
        <w:rPr>
          <w:b/>
          <w:sz w:val="24"/>
          <w:szCs w:val="24"/>
        </w:rPr>
        <w:t>not satisfied</w:t>
      </w:r>
      <w:r w:rsidRPr="00810719">
        <w:rPr>
          <w:sz w:val="24"/>
          <w:szCs w:val="24"/>
        </w:rPr>
        <w:t xml:space="preserve"> on the balance of probabilities that </w:t>
      </w:r>
      <w:r w:rsidR="00FA4C74" w:rsidRPr="00810719">
        <w:rPr>
          <w:sz w:val="24"/>
          <w:szCs w:val="24"/>
        </w:rPr>
        <w:t>“</w:t>
      </w:r>
      <w:r w:rsidR="002C2420">
        <w:rPr>
          <w:sz w:val="24"/>
          <w:szCs w:val="24"/>
        </w:rPr>
        <w:t>chemically-</w:t>
      </w:r>
      <w:r w:rsidR="009C6E21">
        <w:rPr>
          <w:sz w:val="24"/>
          <w:szCs w:val="24"/>
        </w:rPr>
        <w:t xml:space="preserve">acquired </w:t>
      </w:r>
      <w:r w:rsidR="009C6E21" w:rsidRPr="00810719">
        <w:rPr>
          <w:sz w:val="24"/>
          <w:szCs w:val="24"/>
        </w:rPr>
        <w:t>brain</w:t>
      </w:r>
      <w:r w:rsidR="00FA4C74" w:rsidRPr="00810719">
        <w:rPr>
          <w:sz w:val="24"/>
          <w:szCs w:val="24"/>
        </w:rPr>
        <w:t xml:space="preserve"> injury caused by mefloquine, tafenoquine or primaquine” </w:t>
      </w:r>
      <w:r w:rsidRPr="00810719">
        <w:rPr>
          <w:sz w:val="24"/>
          <w:szCs w:val="24"/>
        </w:rPr>
        <w:t xml:space="preserve">is a particular kind of injury or disease within the meaning of the VEA and accordingly the sound medical-scientific evidence available to the RMA is </w:t>
      </w:r>
      <w:r w:rsidRPr="00810719">
        <w:rPr>
          <w:b/>
          <w:sz w:val="24"/>
          <w:szCs w:val="24"/>
        </w:rPr>
        <w:t>insufficient</w:t>
      </w:r>
      <w:r w:rsidRPr="00810719">
        <w:rPr>
          <w:sz w:val="24"/>
          <w:szCs w:val="24"/>
        </w:rPr>
        <w:t xml:space="preserve"> to justify the making of Statements of Principles in respect of</w:t>
      </w:r>
      <w:r w:rsidR="009C6E21">
        <w:rPr>
          <w:sz w:val="24"/>
          <w:szCs w:val="24"/>
        </w:rPr>
        <w:t xml:space="preserve"> </w:t>
      </w:r>
      <w:r w:rsidR="002C2420">
        <w:rPr>
          <w:b/>
          <w:sz w:val="24"/>
          <w:szCs w:val="24"/>
        </w:rPr>
        <w:t>“chemically-</w:t>
      </w:r>
      <w:r w:rsidR="00FA4C74" w:rsidRPr="00810719">
        <w:rPr>
          <w:b/>
          <w:sz w:val="24"/>
          <w:szCs w:val="24"/>
        </w:rPr>
        <w:t>acquired brain injury caused by mefloquine, tafenoquine or primaquine”</w:t>
      </w:r>
      <w:r w:rsidRPr="00810719">
        <w:rPr>
          <w:sz w:val="24"/>
          <w:szCs w:val="24"/>
        </w:rPr>
        <w:t>.</w:t>
      </w:r>
      <w:bookmarkEnd w:id="7"/>
    </w:p>
    <w:p w14:paraId="7F52076A" w14:textId="77777777" w:rsidR="008F386E" w:rsidRPr="00005854" w:rsidRDefault="008F386E" w:rsidP="008F386E">
      <w:pPr>
        <w:pStyle w:val="NumberLevel1"/>
        <w:spacing w:before="0" w:after="0" w:line="240" w:lineRule="auto"/>
        <w:ind w:left="720"/>
        <w:rPr>
          <w:rFonts w:ascii="Calibri" w:hAnsi="Calibri"/>
          <w:sz w:val="24"/>
          <w:szCs w:val="24"/>
        </w:rPr>
      </w:pPr>
    </w:p>
    <w:p w14:paraId="08F36758" w14:textId="77777777" w:rsidR="008F386E" w:rsidRPr="008F386E" w:rsidRDefault="008F386E" w:rsidP="008F386E">
      <w:pPr>
        <w:rPr>
          <w:rFonts w:ascii="Calibri" w:hAnsi="Calibri"/>
          <w:b/>
          <w:sz w:val="24"/>
        </w:rPr>
      </w:pPr>
      <w:r w:rsidRPr="00530663">
        <w:br w:type="page"/>
      </w:r>
      <w:r w:rsidRPr="008F386E">
        <w:rPr>
          <w:rFonts w:ascii="Calibri" w:hAnsi="Calibri"/>
          <w:b/>
          <w:sz w:val="24"/>
        </w:rPr>
        <w:lastRenderedPageBreak/>
        <w:t xml:space="preserve">INDEX of CONTENTS </w:t>
      </w:r>
    </w:p>
    <w:bookmarkStart w:id="8" w:name="_Ref377387653"/>
    <w:p w14:paraId="5216B0DC" w14:textId="77777777" w:rsidR="00C07349" w:rsidRDefault="008F386E">
      <w:pPr>
        <w:pStyle w:val="TOC1"/>
        <w:tabs>
          <w:tab w:val="right" w:leader="dot" w:pos="8777"/>
        </w:tabs>
        <w:rPr>
          <w:rFonts w:asciiTheme="minorHAnsi" w:eastAsiaTheme="minorEastAsia" w:hAnsiTheme="minorHAnsi" w:cstheme="minorBidi"/>
          <w:b w:val="0"/>
          <w:bCs w:val="0"/>
          <w:caps w:val="0"/>
          <w:noProof/>
          <w:sz w:val="22"/>
          <w:szCs w:val="22"/>
        </w:rPr>
      </w:pPr>
      <w:r w:rsidRPr="008F386E">
        <w:rPr>
          <w:rFonts w:ascii="Calibri" w:hAnsi="Calibri"/>
          <w:i/>
          <w:iCs/>
        </w:rPr>
        <w:fldChar w:fldCharType="begin"/>
      </w:r>
      <w:r w:rsidRPr="0086223F">
        <w:rPr>
          <w:i/>
          <w:iCs/>
        </w:rPr>
        <w:instrText xml:space="preserve"> TOC \o "1-2" \h \z \u \t "Heading 6,2,Heading 7,3,Heading 8,4" </w:instrText>
      </w:r>
      <w:r w:rsidRPr="008F386E">
        <w:rPr>
          <w:rFonts w:ascii="Calibri" w:hAnsi="Calibri"/>
          <w:i/>
          <w:iCs/>
        </w:rPr>
        <w:fldChar w:fldCharType="separate"/>
      </w:r>
      <w:hyperlink w:anchor="_Toc524600777" w:history="1">
        <w:r w:rsidR="00C07349" w:rsidRPr="00434E1F">
          <w:rPr>
            <w:rStyle w:val="Hyperlink"/>
          </w:rPr>
          <w:t>REASONS FOR DECISIONS</w:t>
        </w:r>
        <w:r w:rsidR="00C07349">
          <w:rPr>
            <w:noProof/>
            <w:webHidden/>
          </w:rPr>
          <w:tab/>
        </w:r>
        <w:r w:rsidR="00C07349">
          <w:rPr>
            <w:noProof/>
            <w:webHidden/>
          </w:rPr>
          <w:fldChar w:fldCharType="begin"/>
        </w:r>
        <w:r w:rsidR="00C07349">
          <w:rPr>
            <w:noProof/>
            <w:webHidden/>
          </w:rPr>
          <w:instrText xml:space="preserve"> PAGEREF _Toc524600777 \h </w:instrText>
        </w:r>
        <w:r w:rsidR="00C07349">
          <w:rPr>
            <w:noProof/>
            <w:webHidden/>
          </w:rPr>
        </w:r>
        <w:r w:rsidR="00C07349">
          <w:rPr>
            <w:noProof/>
            <w:webHidden/>
          </w:rPr>
          <w:fldChar w:fldCharType="separate"/>
        </w:r>
        <w:r w:rsidR="0021301D">
          <w:rPr>
            <w:noProof/>
            <w:webHidden/>
          </w:rPr>
          <w:t>3</w:t>
        </w:r>
        <w:r w:rsidR="00C07349">
          <w:rPr>
            <w:noProof/>
            <w:webHidden/>
          </w:rPr>
          <w:fldChar w:fldCharType="end"/>
        </w:r>
      </w:hyperlink>
    </w:p>
    <w:p w14:paraId="4B8BDAF0"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78" w:history="1">
        <w:r w:rsidR="00C07349" w:rsidRPr="00434E1F">
          <w:rPr>
            <w:rStyle w:val="Hyperlink"/>
            <w:rFonts w:ascii="Calibri" w:hAnsi="Calibri"/>
          </w:rPr>
          <w:t>Introduction</w:t>
        </w:r>
        <w:r w:rsidR="00C07349">
          <w:rPr>
            <w:noProof/>
            <w:webHidden/>
          </w:rPr>
          <w:tab/>
        </w:r>
        <w:r w:rsidR="00C07349">
          <w:rPr>
            <w:noProof/>
            <w:webHidden/>
          </w:rPr>
          <w:fldChar w:fldCharType="begin"/>
        </w:r>
        <w:r w:rsidR="00C07349">
          <w:rPr>
            <w:noProof/>
            <w:webHidden/>
          </w:rPr>
          <w:instrText xml:space="preserve"> PAGEREF _Toc524600778 \h </w:instrText>
        </w:r>
        <w:r w:rsidR="00C07349">
          <w:rPr>
            <w:noProof/>
            <w:webHidden/>
          </w:rPr>
        </w:r>
        <w:r w:rsidR="00C07349">
          <w:rPr>
            <w:noProof/>
            <w:webHidden/>
          </w:rPr>
          <w:fldChar w:fldCharType="separate"/>
        </w:r>
        <w:r>
          <w:rPr>
            <w:noProof/>
            <w:webHidden/>
          </w:rPr>
          <w:t>3</w:t>
        </w:r>
        <w:r w:rsidR="00C07349">
          <w:rPr>
            <w:noProof/>
            <w:webHidden/>
          </w:rPr>
          <w:fldChar w:fldCharType="end"/>
        </w:r>
      </w:hyperlink>
    </w:p>
    <w:p w14:paraId="4F5AFC0F"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79" w:history="1">
        <w:r w:rsidR="00C07349" w:rsidRPr="00434E1F">
          <w:rPr>
            <w:rStyle w:val="Hyperlink"/>
          </w:rPr>
          <w:t>Scope of this review</w:t>
        </w:r>
        <w:r w:rsidR="00C07349">
          <w:rPr>
            <w:noProof/>
            <w:webHidden/>
          </w:rPr>
          <w:tab/>
        </w:r>
        <w:r w:rsidR="00C07349">
          <w:rPr>
            <w:noProof/>
            <w:webHidden/>
          </w:rPr>
          <w:fldChar w:fldCharType="begin"/>
        </w:r>
        <w:r w:rsidR="00C07349">
          <w:rPr>
            <w:noProof/>
            <w:webHidden/>
          </w:rPr>
          <w:instrText xml:space="preserve"> PAGEREF _Toc524600779 \h </w:instrText>
        </w:r>
        <w:r w:rsidR="00C07349">
          <w:rPr>
            <w:noProof/>
            <w:webHidden/>
          </w:rPr>
        </w:r>
        <w:r w:rsidR="00C07349">
          <w:rPr>
            <w:noProof/>
            <w:webHidden/>
          </w:rPr>
          <w:fldChar w:fldCharType="separate"/>
        </w:r>
        <w:r>
          <w:rPr>
            <w:noProof/>
            <w:webHidden/>
          </w:rPr>
          <w:t>4</w:t>
        </w:r>
        <w:r w:rsidR="00C07349">
          <w:rPr>
            <w:noProof/>
            <w:webHidden/>
          </w:rPr>
          <w:fldChar w:fldCharType="end"/>
        </w:r>
      </w:hyperlink>
    </w:p>
    <w:p w14:paraId="7084A13D"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0" w:history="1">
        <w:r w:rsidR="00C07349" w:rsidRPr="00434E1F">
          <w:rPr>
            <w:rStyle w:val="Hyperlink"/>
          </w:rPr>
          <w:t>Written and oral submissions</w:t>
        </w:r>
        <w:r w:rsidR="00C07349">
          <w:rPr>
            <w:noProof/>
            <w:webHidden/>
          </w:rPr>
          <w:tab/>
        </w:r>
        <w:r w:rsidR="00C07349">
          <w:rPr>
            <w:noProof/>
            <w:webHidden/>
          </w:rPr>
          <w:fldChar w:fldCharType="begin"/>
        </w:r>
        <w:r w:rsidR="00C07349">
          <w:rPr>
            <w:noProof/>
            <w:webHidden/>
          </w:rPr>
          <w:instrText xml:space="preserve"> PAGEREF _Toc524600780 \h </w:instrText>
        </w:r>
        <w:r w:rsidR="00C07349">
          <w:rPr>
            <w:noProof/>
            <w:webHidden/>
          </w:rPr>
        </w:r>
        <w:r w:rsidR="00C07349">
          <w:rPr>
            <w:noProof/>
            <w:webHidden/>
          </w:rPr>
          <w:fldChar w:fldCharType="separate"/>
        </w:r>
        <w:r>
          <w:rPr>
            <w:noProof/>
            <w:webHidden/>
          </w:rPr>
          <w:t>5</w:t>
        </w:r>
        <w:r w:rsidR="00C07349">
          <w:rPr>
            <w:noProof/>
            <w:webHidden/>
          </w:rPr>
          <w:fldChar w:fldCharType="end"/>
        </w:r>
      </w:hyperlink>
    </w:p>
    <w:p w14:paraId="2B2AA08A"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1" w:history="1">
        <w:r w:rsidR="00C07349" w:rsidRPr="00434E1F">
          <w:rPr>
            <w:rStyle w:val="Hyperlink"/>
          </w:rPr>
          <w:t>RMA Reasons</w:t>
        </w:r>
        <w:r w:rsidR="00C07349">
          <w:rPr>
            <w:noProof/>
            <w:webHidden/>
          </w:rPr>
          <w:tab/>
        </w:r>
        <w:r w:rsidR="00C07349">
          <w:rPr>
            <w:noProof/>
            <w:webHidden/>
          </w:rPr>
          <w:fldChar w:fldCharType="begin"/>
        </w:r>
        <w:r w:rsidR="00C07349">
          <w:rPr>
            <w:noProof/>
            <w:webHidden/>
          </w:rPr>
          <w:instrText xml:space="preserve"> PAGEREF _Toc524600781 \h </w:instrText>
        </w:r>
        <w:r w:rsidR="00C07349">
          <w:rPr>
            <w:noProof/>
            <w:webHidden/>
          </w:rPr>
        </w:r>
        <w:r w:rsidR="00C07349">
          <w:rPr>
            <w:noProof/>
            <w:webHidden/>
          </w:rPr>
          <w:fldChar w:fldCharType="separate"/>
        </w:r>
        <w:r>
          <w:rPr>
            <w:noProof/>
            <w:webHidden/>
          </w:rPr>
          <w:t>6</w:t>
        </w:r>
        <w:r w:rsidR="00C07349">
          <w:rPr>
            <w:noProof/>
            <w:webHidden/>
          </w:rPr>
          <w:fldChar w:fldCharType="end"/>
        </w:r>
      </w:hyperlink>
    </w:p>
    <w:p w14:paraId="1D5D9FE2"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2" w:history="1">
        <w:r w:rsidR="00C07349" w:rsidRPr="00434E1F">
          <w:rPr>
            <w:rStyle w:val="Hyperlink"/>
          </w:rPr>
          <w:t>Background</w:t>
        </w:r>
        <w:r w:rsidR="00C07349">
          <w:rPr>
            <w:noProof/>
            <w:webHidden/>
          </w:rPr>
          <w:tab/>
        </w:r>
        <w:r w:rsidR="00C07349">
          <w:rPr>
            <w:noProof/>
            <w:webHidden/>
          </w:rPr>
          <w:fldChar w:fldCharType="begin"/>
        </w:r>
        <w:r w:rsidR="00C07349">
          <w:rPr>
            <w:noProof/>
            <w:webHidden/>
          </w:rPr>
          <w:instrText xml:space="preserve"> PAGEREF _Toc524600782 \h </w:instrText>
        </w:r>
        <w:r w:rsidR="00C07349">
          <w:rPr>
            <w:noProof/>
            <w:webHidden/>
          </w:rPr>
        </w:r>
        <w:r w:rsidR="00C07349">
          <w:rPr>
            <w:noProof/>
            <w:webHidden/>
          </w:rPr>
          <w:fldChar w:fldCharType="separate"/>
        </w:r>
        <w:r>
          <w:rPr>
            <w:noProof/>
            <w:webHidden/>
          </w:rPr>
          <w:t>8</w:t>
        </w:r>
        <w:r w:rsidR="00C07349">
          <w:rPr>
            <w:noProof/>
            <w:webHidden/>
          </w:rPr>
          <w:fldChar w:fldCharType="end"/>
        </w:r>
      </w:hyperlink>
    </w:p>
    <w:p w14:paraId="2BCB5B19"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3" w:history="1">
        <w:r w:rsidR="00C07349" w:rsidRPr="00434E1F">
          <w:rPr>
            <w:rStyle w:val="Hyperlink"/>
          </w:rPr>
          <w:t>Council's decisions on the relevant SMSE</w:t>
        </w:r>
        <w:r w:rsidR="00C07349">
          <w:rPr>
            <w:noProof/>
            <w:webHidden/>
          </w:rPr>
          <w:tab/>
        </w:r>
        <w:r w:rsidR="00C07349">
          <w:rPr>
            <w:noProof/>
            <w:webHidden/>
          </w:rPr>
          <w:fldChar w:fldCharType="begin"/>
        </w:r>
        <w:r w:rsidR="00C07349">
          <w:rPr>
            <w:noProof/>
            <w:webHidden/>
          </w:rPr>
          <w:instrText xml:space="preserve"> PAGEREF _Toc524600783 \h </w:instrText>
        </w:r>
        <w:r w:rsidR="00C07349">
          <w:rPr>
            <w:noProof/>
            <w:webHidden/>
          </w:rPr>
        </w:r>
        <w:r w:rsidR="00C07349">
          <w:rPr>
            <w:noProof/>
            <w:webHidden/>
          </w:rPr>
          <w:fldChar w:fldCharType="separate"/>
        </w:r>
        <w:r>
          <w:rPr>
            <w:noProof/>
            <w:webHidden/>
          </w:rPr>
          <w:t>9</w:t>
        </w:r>
        <w:r w:rsidR="00C07349">
          <w:rPr>
            <w:noProof/>
            <w:webHidden/>
          </w:rPr>
          <w:fldChar w:fldCharType="end"/>
        </w:r>
      </w:hyperlink>
    </w:p>
    <w:p w14:paraId="33729830"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4" w:history="1">
        <w:r w:rsidR="00C07349" w:rsidRPr="00434E1F">
          <w:rPr>
            <w:rStyle w:val="Hyperlink"/>
          </w:rPr>
          <w:t>Council’s Evaluation of the SMSE</w:t>
        </w:r>
        <w:r w:rsidR="00C07349">
          <w:rPr>
            <w:noProof/>
            <w:webHidden/>
          </w:rPr>
          <w:tab/>
        </w:r>
        <w:r w:rsidR="00C07349">
          <w:rPr>
            <w:noProof/>
            <w:webHidden/>
          </w:rPr>
          <w:fldChar w:fldCharType="begin"/>
        </w:r>
        <w:r w:rsidR="00C07349">
          <w:rPr>
            <w:noProof/>
            <w:webHidden/>
          </w:rPr>
          <w:instrText xml:space="preserve"> PAGEREF _Toc524600784 \h </w:instrText>
        </w:r>
        <w:r w:rsidR="00C07349">
          <w:rPr>
            <w:noProof/>
            <w:webHidden/>
          </w:rPr>
        </w:r>
        <w:r w:rsidR="00C07349">
          <w:rPr>
            <w:noProof/>
            <w:webHidden/>
          </w:rPr>
          <w:fldChar w:fldCharType="separate"/>
        </w:r>
        <w:r>
          <w:rPr>
            <w:noProof/>
            <w:webHidden/>
          </w:rPr>
          <w:t>10</w:t>
        </w:r>
        <w:r w:rsidR="00C07349">
          <w:rPr>
            <w:noProof/>
            <w:webHidden/>
          </w:rPr>
          <w:fldChar w:fldCharType="end"/>
        </w:r>
      </w:hyperlink>
    </w:p>
    <w:p w14:paraId="4E453590"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5" w:history="1">
        <w:r w:rsidR="00C07349" w:rsidRPr="00434E1F">
          <w:rPr>
            <w:rStyle w:val="Hyperlink"/>
            <w:snapToGrid w:val="0"/>
          </w:rPr>
          <w:t>Definition of Chemically-acquired brain injury</w:t>
        </w:r>
        <w:r w:rsidR="00C07349">
          <w:rPr>
            <w:noProof/>
            <w:webHidden/>
          </w:rPr>
          <w:tab/>
        </w:r>
        <w:r w:rsidR="00C07349">
          <w:rPr>
            <w:noProof/>
            <w:webHidden/>
          </w:rPr>
          <w:fldChar w:fldCharType="begin"/>
        </w:r>
        <w:r w:rsidR="00C07349">
          <w:rPr>
            <w:noProof/>
            <w:webHidden/>
          </w:rPr>
          <w:instrText xml:space="preserve"> PAGEREF _Toc524600785 \h </w:instrText>
        </w:r>
        <w:r w:rsidR="00C07349">
          <w:rPr>
            <w:noProof/>
            <w:webHidden/>
          </w:rPr>
        </w:r>
        <w:r w:rsidR="00C07349">
          <w:rPr>
            <w:noProof/>
            <w:webHidden/>
          </w:rPr>
          <w:fldChar w:fldCharType="separate"/>
        </w:r>
        <w:r>
          <w:rPr>
            <w:noProof/>
            <w:webHidden/>
          </w:rPr>
          <w:t>11</w:t>
        </w:r>
        <w:r w:rsidR="00C07349">
          <w:rPr>
            <w:noProof/>
            <w:webHidden/>
          </w:rPr>
          <w:fldChar w:fldCharType="end"/>
        </w:r>
      </w:hyperlink>
    </w:p>
    <w:p w14:paraId="5024C421"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6" w:history="1">
        <w:r w:rsidR="00C07349" w:rsidRPr="00434E1F">
          <w:rPr>
            <w:rStyle w:val="Hyperlink"/>
          </w:rPr>
          <w:t>Council’s Conclusions on the Relevant SMSE</w:t>
        </w:r>
        <w:r w:rsidR="00C07349">
          <w:rPr>
            <w:noProof/>
            <w:webHidden/>
          </w:rPr>
          <w:tab/>
        </w:r>
        <w:r w:rsidR="00C07349">
          <w:rPr>
            <w:noProof/>
            <w:webHidden/>
          </w:rPr>
          <w:fldChar w:fldCharType="begin"/>
        </w:r>
        <w:r w:rsidR="00C07349">
          <w:rPr>
            <w:noProof/>
            <w:webHidden/>
          </w:rPr>
          <w:instrText xml:space="preserve"> PAGEREF _Toc524600786 \h </w:instrText>
        </w:r>
        <w:r w:rsidR="00C07349">
          <w:rPr>
            <w:noProof/>
            <w:webHidden/>
          </w:rPr>
        </w:r>
        <w:r w:rsidR="00C07349">
          <w:rPr>
            <w:noProof/>
            <w:webHidden/>
          </w:rPr>
          <w:fldChar w:fldCharType="separate"/>
        </w:r>
        <w:r>
          <w:rPr>
            <w:noProof/>
            <w:webHidden/>
          </w:rPr>
          <w:t>14</w:t>
        </w:r>
        <w:r w:rsidR="00C07349">
          <w:rPr>
            <w:noProof/>
            <w:webHidden/>
          </w:rPr>
          <w:fldChar w:fldCharType="end"/>
        </w:r>
      </w:hyperlink>
    </w:p>
    <w:p w14:paraId="2D8518A1"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7" w:history="1">
        <w:r w:rsidR="00C07349" w:rsidRPr="00434E1F">
          <w:rPr>
            <w:rStyle w:val="Hyperlink"/>
          </w:rPr>
          <w:t>The council’s conclusions on whether there should be statements of principles for “chemically-acquired brain injury caused by mefloquine, tafenoquine or primaquine”</w:t>
        </w:r>
        <w:r w:rsidR="00C07349">
          <w:rPr>
            <w:noProof/>
            <w:webHidden/>
          </w:rPr>
          <w:tab/>
        </w:r>
        <w:r w:rsidR="00C07349">
          <w:rPr>
            <w:noProof/>
            <w:webHidden/>
          </w:rPr>
          <w:fldChar w:fldCharType="begin"/>
        </w:r>
        <w:r w:rsidR="00C07349">
          <w:rPr>
            <w:noProof/>
            <w:webHidden/>
          </w:rPr>
          <w:instrText xml:space="preserve"> PAGEREF _Toc524600787 \h </w:instrText>
        </w:r>
        <w:r w:rsidR="00C07349">
          <w:rPr>
            <w:noProof/>
            <w:webHidden/>
          </w:rPr>
        </w:r>
        <w:r w:rsidR="00C07349">
          <w:rPr>
            <w:noProof/>
            <w:webHidden/>
          </w:rPr>
          <w:fldChar w:fldCharType="separate"/>
        </w:r>
        <w:r>
          <w:rPr>
            <w:noProof/>
            <w:webHidden/>
          </w:rPr>
          <w:t>24</w:t>
        </w:r>
        <w:r w:rsidR="00C07349">
          <w:rPr>
            <w:noProof/>
            <w:webHidden/>
          </w:rPr>
          <w:fldChar w:fldCharType="end"/>
        </w:r>
      </w:hyperlink>
    </w:p>
    <w:p w14:paraId="660EAEE1"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88" w:history="1">
        <w:r w:rsidR="00C07349" w:rsidRPr="00434E1F">
          <w:rPr>
            <w:rStyle w:val="Hyperlink"/>
          </w:rPr>
          <w:t>Council’s Analysis of the New Information</w:t>
        </w:r>
        <w:r w:rsidR="00C07349">
          <w:rPr>
            <w:noProof/>
            <w:webHidden/>
          </w:rPr>
          <w:tab/>
        </w:r>
        <w:r w:rsidR="00C07349">
          <w:rPr>
            <w:noProof/>
            <w:webHidden/>
          </w:rPr>
          <w:fldChar w:fldCharType="begin"/>
        </w:r>
        <w:r w:rsidR="00C07349">
          <w:rPr>
            <w:noProof/>
            <w:webHidden/>
          </w:rPr>
          <w:instrText xml:space="preserve"> PAGEREF _Toc524600788 \h </w:instrText>
        </w:r>
        <w:r w:rsidR="00C07349">
          <w:rPr>
            <w:noProof/>
            <w:webHidden/>
          </w:rPr>
        </w:r>
        <w:r w:rsidR="00C07349">
          <w:rPr>
            <w:noProof/>
            <w:webHidden/>
          </w:rPr>
          <w:fldChar w:fldCharType="separate"/>
        </w:r>
        <w:r>
          <w:rPr>
            <w:noProof/>
            <w:webHidden/>
          </w:rPr>
          <w:t>26</w:t>
        </w:r>
        <w:r w:rsidR="00C07349">
          <w:rPr>
            <w:noProof/>
            <w:webHidden/>
          </w:rPr>
          <w:fldChar w:fldCharType="end"/>
        </w:r>
      </w:hyperlink>
    </w:p>
    <w:p w14:paraId="5C57D823" w14:textId="77777777" w:rsidR="00C07349" w:rsidRDefault="0021301D">
      <w:pPr>
        <w:pStyle w:val="TOC1"/>
        <w:tabs>
          <w:tab w:val="right" w:leader="dot" w:pos="8777"/>
        </w:tabs>
        <w:rPr>
          <w:rFonts w:asciiTheme="minorHAnsi" w:eastAsiaTheme="minorEastAsia" w:hAnsiTheme="minorHAnsi" w:cstheme="minorBidi"/>
          <w:b w:val="0"/>
          <w:bCs w:val="0"/>
          <w:caps w:val="0"/>
          <w:noProof/>
          <w:sz w:val="22"/>
          <w:szCs w:val="22"/>
        </w:rPr>
      </w:pPr>
      <w:hyperlink w:anchor="_Toc524600789" w:history="1">
        <w:r w:rsidR="00C07349" w:rsidRPr="00434E1F">
          <w:rPr>
            <w:rStyle w:val="Hyperlink"/>
          </w:rPr>
          <w:t>Decision</w:t>
        </w:r>
        <w:r w:rsidR="00C07349">
          <w:rPr>
            <w:noProof/>
            <w:webHidden/>
          </w:rPr>
          <w:tab/>
        </w:r>
        <w:r w:rsidR="00C07349">
          <w:rPr>
            <w:noProof/>
            <w:webHidden/>
          </w:rPr>
          <w:fldChar w:fldCharType="begin"/>
        </w:r>
        <w:r w:rsidR="00C07349">
          <w:rPr>
            <w:noProof/>
            <w:webHidden/>
          </w:rPr>
          <w:instrText xml:space="preserve"> PAGEREF _Toc524600789 \h </w:instrText>
        </w:r>
        <w:r w:rsidR="00C07349">
          <w:rPr>
            <w:noProof/>
            <w:webHidden/>
          </w:rPr>
        </w:r>
        <w:r w:rsidR="00C07349">
          <w:rPr>
            <w:noProof/>
            <w:webHidden/>
          </w:rPr>
          <w:fldChar w:fldCharType="separate"/>
        </w:r>
        <w:r>
          <w:rPr>
            <w:noProof/>
            <w:webHidden/>
          </w:rPr>
          <w:t>27</w:t>
        </w:r>
        <w:r w:rsidR="00C07349">
          <w:rPr>
            <w:noProof/>
            <w:webHidden/>
          </w:rPr>
          <w:fldChar w:fldCharType="end"/>
        </w:r>
      </w:hyperlink>
    </w:p>
    <w:p w14:paraId="310B8DDC"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90" w:history="1">
        <w:r w:rsidR="00C07349" w:rsidRPr="00434E1F">
          <w:rPr>
            <w:rStyle w:val="Hyperlink"/>
            <w:rFonts w:ascii="Calibri" w:hAnsi="Calibri"/>
          </w:rPr>
          <w:t>REFERENCES</w:t>
        </w:r>
        <w:r w:rsidR="00C07349">
          <w:rPr>
            <w:noProof/>
            <w:webHidden/>
          </w:rPr>
          <w:tab/>
        </w:r>
        <w:r w:rsidR="00C07349">
          <w:rPr>
            <w:noProof/>
            <w:webHidden/>
          </w:rPr>
          <w:fldChar w:fldCharType="begin"/>
        </w:r>
        <w:r w:rsidR="00C07349">
          <w:rPr>
            <w:noProof/>
            <w:webHidden/>
          </w:rPr>
          <w:instrText xml:space="preserve"> PAGEREF _Toc524600790 \h </w:instrText>
        </w:r>
        <w:r w:rsidR="00C07349">
          <w:rPr>
            <w:noProof/>
            <w:webHidden/>
          </w:rPr>
        </w:r>
        <w:r w:rsidR="00C07349">
          <w:rPr>
            <w:noProof/>
            <w:webHidden/>
          </w:rPr>
          <w:fldChar w:fldCharType="separate"/>
        </w:r>
        <w:r>
          <w:rPr>
            <w:noProof/>
            <w:webHidden/>
          </w:rPr>
          <w:t>28</w:t>
        </w:r>
        <w:r w:rsidR="00C07349">
          <w:rPr>
            <w:noProof/>
            <w:webHidden/>
          </w:rPr>
          <w:fldChar w:fldCharType="end"/>
        </w:r>
      </w:hyperlink>
    </w:p>
    <w:p w14:paraId="234DEDEA"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91" w:history="1">
        <w:r w:rsidR="00C07349" w:rsidRPr="00434E1F">
          <w:rPr>
            <w:rStyle w:val="Hyperlink"/>
            <w:rFonts w:ascii="Calibri" w:hAnsi="Calibri"/>
          </w:rPr>
          <w:t>APPENDIX A:  THE CONSTITUTED COUNCIL AND LEGISLATIVE FRAMEWORK OF THE REVIEW</w:t>
        </w:r>
        <w:r w:rsidR="00C07349">
          <w:rPr>
            <w:noProof/>
            <w:webHidden/>
          </w:rPr>
          <w:tab/>
        </w:r>
        <w:r w:rsidR="00C07349">
          <w:rPr>
            <w:noProof/>
            <w:webHidden/>
          </w:rPr>
          <w:fldChar w:fldCharType="begin"/>
        </w:r>
        <w:r w:rsidR="00C07349">
          <w:rPr>
            <w:noProof/>
            <w:webHidden/>
          </w:rPr>
          <w:instrText xml:space="preserve"> PAGEREF _Toc524600791 \h </w:instrText>
        </w:r>
        <w:r w:rsidR="00C07349">
          <w:rPr>
            <w:noProof/>
            <w:webHidden/>
          </w:rPr>
        </w:r>
        <w:r w:rsidR="00C07349">
          <w:rPr>
            <w:noProof/>
            <w:webHidden/>
          </w:rPr>
          <w:fldChar w:fldCharType="separate"/>
        </w:r>
        <w:r>
          <w:rPr>
            <w:noProof/>
            <w:webHidden/>
          </w:rPr>
          <w:t>33</w:t>
        </w:r>
        <w:r w:rsidR="00C07349">
          <w:rPr>
            <w:noProof/>
            <w:webHidden/>
          </w:rPr>
          <w:fldChar w:fldCharType="end"/>
        </w:r>
      </w:hyperlink>
    </w:p>
    <w:p w14:paraId="7FACFE4C" w14:textId="77777777" w:rsidR="00C07349" w:rsidRDefault="0021301D">
      <w:pPr>
        <w:pStyle w:val="TOC2"/>
        <w:tabs>
          <w:tab w:val="right" w:leader="dot" w:pos="8777"/>
        </w:tabs>
        <w:rPr>
          <w:rFonts w:asciiTheme="minorHAnsi" w:eastAsiaTheme="minorEastAsia" w:hAnsiTheme="minorHAnsi" w:cstheme="minorBidi"/>
          <w:b w:val="0"/>
          <w:bCs w:val="0"/>
          <w:noProof/>
          <w:sz w:val="22"/>
          <w:szCs w:val="22"/>
        </w:rPr>
      </w:pPr>
      <w:hyperlink w:anchor="_Toc524600792" w:history="1">
        <w:r w:rsidR="00C07349" w:rsidRPr="00434E1F">
          <w:rPr>
            <w:rStyle w:val="Hyperlink"/>
            <w:rFonts w:ascii="Calibri" w:hAnsi="Calibri"/>
          </w:rPr>
          <w:t>APPENDIX B:</w:t>
        </w:r>
        <w:r w:rsidR="00C07349">
          <w:rPr>
            <w:noProof/>
            <w:webHidden/>
          </w:rPr>
          <w:tab/>
        </w:r>
        <w:r w:rsidR="00C07349">
          <w:rPr>
            <w:noProof/>
            <w:webHidden/>
          </w:rPr>
          <w:fldChar w:fldCharType="begin"/>
        </w:r>
        <w:r w:rsidR="00C07349">
          <w:rPr>
            <w:noProof/>
            <w:webHidden/>
          </w:rPr>
          <w:instrText xml:space="preserve"> PAGEREF _Toc524600792 \h </w:instrText>
        </w:r>
        <w:r w:rsidR="00C07349">
          <w:rPr>
            <w:noProof/>
            <w:webHidden/>
          </w:rPr>
        </w:r>
        <w:r w:rsidR="00C07349">
          <w:rPr>
            <w:noProof/>
            <w:webHidden/>
          </w:rPr>
          <w:fldChar w:fldCharType="separate"/>
        </w:r>
        <w:r>
          <w:rPr>
            <w:noProof/>
            <w:webHidden/>
          </w:rPr>
          <w:t>35</w:t>
        </w:r>
        <w:r w:rsidR="00C07349">
          <w:rPr>
            <w:noProof/>
            <w:webHidden/>
          </w:rPr>
          <w:fldChar w:fldCharType="end"/>
        </w:r>
      </w:hyperlink>
    </w:p>
    <w:p w14:paraId="5C895C67" w14:textId="77777777" w:rsidR="00B06B11" w:rsidRDefault="008F386E" w:rsidP="00810719">
      <w:pPr>
        <w:pStyle w:val="Heading1"/>
      </w:pPr>
      <w:r w:rsidRPr="008F386E">
        <w:rPr>
          <w:rFonts w:ascii="Calibri" w:hAnsi="Calibri"/>
          <w:i/>
          <w:sz w:val="24"/>
          <w:szCs w:val="24"/>
        </w:rPr>
        <w:fldChar w:fldCharType="end"/>
      </w:r>
    </w:p>
    <w:p w14:paraId="1CAACDFC" w14:textId="77777777" w:rsidR="00B06B11" w:rsidRPr="00B06B11" w:rsidRDefault="00B06B11" w:rsidP="00B06B11"/>
    <w:p w14:paraId="5FAD0BF8" w14:textId="77777777" w:rsidR="00B06B11" w:rsidRPr="00B06B11" w:rsidRDefault="00B06B11" w:rsidP="00B06B11"/>
    <w:p w14:paraId="0CB1179E" w14:textId="77777777" w:rsidR="00B06B11" w:rsidRPr="00B06B11" w:rsidRDefault="00B06B11" w:rsidP="00B06B11"/>
    <w:p w14:paraId="00E3B8CE" w14:textId="77777777" w:rsidR="00B06B11" w:rsidRPr="00B06B11" w:rsidRDefault="00B06B11" w:rsidP="00B06B11"/>
    <w:p w14:paraId="3B35775A" w14:textId="77777777" w:rsidR="00B06B11" w:rsidRPr="00B06B11" w:rsidRDefault="00B06B11" w:rsidP="00B06B11"/>
    <w:p w14:paraId="0D307A3C" w14:textId="77777777" w:rsidR="00B06B11" w:rsidRPr="00B06B11" w:rsidRDefault="00B06B11" w:rsidP="00B06B11"/>
    <w:p w14:paraId="17CE1A21" w14:textId="77777777" w:rsidR="00B06B11" w:rsidRPr="00B06B11" w:rsidRDefault="00B06B11" w:rsidP="00B06B11"/>
    <w:p w14:paraId="58CD1EA8" w14:textId="77777777" w:rsidR="00B06B11" w:rsidRPr="00B06B11" w:rsidRDefault="00B06B11" w:rsidP="00B06B11"/>
    <w:p w14:paraId="501DF57D" w14:textId="77777777" w:rsidR="00B06B11" w:rsidRDefault="00B06B11" w:rsidP="00B06B11">
      <w:pPr>
        <w:pStyle w:val="Heading1"/>
        <w:tabs>
          <w:tab w:val="left" w:pos="5415"/>
        </w:tabs>
      </w:pPr>
      <w:r>
        <w:tab/>
      </w:r>
    </w:p>
    <w:p w14:paraId="285F89D0" w14:textId="18B71586" w:rsidR="000431F1" w:rsidRDefault="000431F1" w:rsidP="00810719">
      <w:pPr>
        <w:pStyle w:val="Heading1"/>
      </w:pPr>
    </w:p>
    <w:p w14:paraId="7A4CBE8E" w14:textId="77777777" w:rsidR="000431F1" w:rsidRPr="000431F1" w:rsidRDefault="000431F1" w:rsidP="000431F1"/>
    <w:p w14:paraId="7C87FD5F" w14:textId="77777777" w:rsidR="000431F1" w:rsidRPr="000431F1" w:rsidRDefault="000431F1" w:rsidP="000431F1"/>
    <w:p w14:paraId="6ED42B9B" w14:textId="77777777" w:rsidR="000431F1" w:rsidRPr="000431F1" w:rsidRDefault="000431F1" w:rsidP="000431F1"/>
    <w:p w14:paraId="42C16C3A" w14:textId="45624EC1" w:rsidR="000431F1" w:rsidRDefault="000431F1" w:rsidP="000431F1">
      <w:pPr>
        <w:pStyle w:val="Heading1"/>
        <w:tabs>
          <w:tab w:val="left" w:pos="5865"/>
        </w:tabs>
      </w:pPr>
      <w:r>
        <w:tab/>
      </w:r>
    </w:p>
    <w:p w14:paraId="10691FE5" w14:textId="77777777" w:rsidR="008F386E" w:rsidRPr="00AC09AE" w:rsidRDefault="008F386E" w:rsidP="00810719">
      <w:pPr>
        <w:pStyle w:val="Heading1"/>
        <w:rPr>
          <w:sz w:val="28"/>
          <w:szCs w:val="28"/>
        </w:rPr>
      </w:pPr>
      <w:r w:rsidRPr="000431F1">
        <w:br w:type="page"/>
      </w:r>
      <w:bookmarkStart w:id="9" w:name="_Toc412714403"/>
      <w:bookmarkStart w:id="10" w:name="_Toc415481395"/>
      <w:bookmarkStart w:id="11" w:name="_Toc524600777"/>
      <w:bookmarkEnd w:id="8"/>
      <w:r w:rsidRPr="00AC09AE">
        <w:rPr>
          <w:sz w:val="28"/>
          <w:szCs w:val="28"/>
        </w:rPr>
        <w:lastRenderedPageBreak/>
        <w:t>REASONS FOR DECISIONS</w:t>
      </w:r>
      <w:bookmarkEnd w:id="9"/>
      <w:bookmarkEnd w:id="10"/>
      <w:bookmarkEnd w:id="11"/>
    </w:p>
    <w:p w14:paraId="7436BC63" w14:textId="77777777" w:rsidR="00D43D82" w:rsidRPr="008702F5" w:rsidRDefault="001578C3" w:rsidP="00702E39">
      <w:pPr>
        <w:pStyle w:val="Heading2"/>
        <w:rPr>
          <w:rFonts w:ascii="Calibri" w:hAnsi="Calibri"/>
          <w:sz w:val="26"/>
          <w:szCs w:val="26"/>
        </w:rPr>
      </w:pPr>
      <w:bookmarkStart w:id="12" w:name="_Toc412714404"/>
      <w:bookmarkStart w:id="13" w:name="_Toc415481396"/>
      <w:bookmarkStart w:id="14" w:name="_Toc524600778"/>
      <w:r w:rsidRPr="008702F5">
        <w:rPr>
          <w:rFonts w:ascii="Calibri" w:hAnsi="Calibri"/>
          <w:sz w:val="26"/>
          <w:szCs w:val="26"/>
        </w:rPr>
        <w:t>I</w:t>
      </w:r>
      <w:bookmarkStart w:id="15" w:name="_Ref378759465"/>
      <w:bookmarkEnd w:id="12"/>
      <w:bookmarkEnd w:id="13"/>
      <w:r w:rsidRPr="008702F5">
        <w:rPr>
          <w:rFonts w:ascii="Calibri" w:hAnsi="Calibri"/>
          <w:sz w:val="26"/>
          <w:szCs w:val="26"/>
        </w:rPr>
        <w:t>ntroduction</w:t>
      </w:r>
      <w:bookmarkEnd w:id="14"/>
    </w:p>
    <w:p w14:paraId="72E61B45" w14:textId="77777777" w:rsidR="00702E39" w:rsidRPr="008702F5" w:rsidRDefault="00702E39" w:rsidP="00702E39">
      <w:pPr>
        <w:pStyle w:val="NumberLevel1"/>
        <w:spacing w:after="0"/>
        <w:rPr>
          <w:rFonts w:ascii="Calibri" w:hAnsi="Calibri"/>
          <w:sz w:val="24"/>
          <w:szCs w:val="24"/>
        </w:rPr>
      </w:pPr>
    </w:p>
    <w:p w14:paraId="00B12945" w14:textId="77777777" w:rsidR="008F386E" w:rsidRPr="005035FE" w:rsidRDefault="008F386E" w:rsidP="00D91907">
      <w:pPr>
        <w:pStyle w:val="NormalNumbered"/>
        <w:numPr>
          <w:ilvl w:val="0"/>
          <w:numId w:val="37"/>
        </w:numPr>
      </w:pPr>
      <w:r w:rsidRPr="005035FE">
        <w:t>The Specialist Medical Review Council (the Council) is an independent statutory body established by the VEA. In general terms, upon receipt of a valid application the Council is to review as relevant:</w:t>
      </w:r>
      <w:bookmarkEnd w:id="15"/>
    </w:p>
    <w:p w14:paraId="2788F1A4" w14:textId="77777777" w:rsidR="008F386E" w:rsidRDefault="008F386E" w:rsidP="00ED231E">
      <w:pPr>
        <w:pStyle w:val="NormalDash"/>
      </w:pPr>
      <w:r w:rsidRPr="00005854">
        <w:t>the contents of Statement/s of Principles in respect of a particular kind of injury, disease or death; or</w:t>
      </w:r>
    </w:p>
    <w:p w14:paraId="4BAAF58C" w14:textId="77777777" w:rsidR="008F386E" w:rsidRPr="00005854" w:rsidRDefault="008F386E" w:rsidP="00ED231E">
      <w:pPr>
        <w:pStyle w:val="NormalDash"/>
      </w:pPr>
      <w:r w:rsidRPr="003972B0">
        <w:t xml:space="preserve">a decision of the </w:t>
      </w:r>
      <w:r w:rsidRPr="005035FE">
        <w:t xml:space="preserve">Repatriation Medical Authority </w:t>
      </w:r>
      <w:r>
        <w:t>(</w:t>
      </w:r>
      <w:r w:rsidRPr="003972B0">
        <w:t>RMA</w:t>
      </w:r>
      <w:r>
        <w:t>)</w:t>
      </w:r>
      <w:r w:rsidRPr="003972B0">
        <w:t xml:space="preserve"> not to determine, not to amend, Statement/s of Principles in respect of a particular kind of injury, disease or death</w:t>
      </w:r>
      <w:r w:rsidRPr="00005854">
        <w:t>.</w:t>
      </w:r>
    </w:p>
    <w:p w14:paraId="789AE073" w14:textId="77777777" w:rsidR="000E3F0E" w:rsidRDefault="008F386E" w:rsidP="00D91907">
      <w:pPr>
        <w:pStyle w:val="NormalNumbered"/>
        <w:numPr>
          <w:ilvl w:val="0"/>
          <w:numId w:val="37"/>
        </w:numPr>
      </w:pPr>
      <w:r w:rsidRPr="00005854">
        <w:t xml:space="preserve">In conducting a review, the Council must review all of the information (and only that information) that was available to the RMA when it made the decision under review. This is information, which was actually used by the RMA as opposed to information, which was generally available but not accessed by the RMA.  A list of the information that was available to the RMA is listed in </w:t>
      </w:r>
      <w:r w:rsidR="00711B4A">
        <w:rPr>
          <w:b/>
        </w:rPr>
        <w:t>B1</w:t>
      </w:r>
      <w:r w:rsidRPr="00005854">
        <w:rPr>
          <w:b/>
        </w:rPr>
        <w:t xml:space="preserve"> of Appendix </w:t>
      </w:r>
      <w:r w:rsidR="00711B4A">
        <w:rPr>
          <w:b/>
        </w:rPr>
        <w:t>B</w:t>
      </w:r>
      <w:r w:rsidRPr="00005854">
        <w:t xml:space="preserve">. </w:t>
      </w:r>
      <w:bookmarkStart w:id="16" w:name="_Ref378759625"/>
    </w:p>
    <w:p w14:paraId="68A1832D" w14:textId="77777777" w:rsidR="00D43D82" w:rsidRDefault="008F386E" w:rsidP="00D91907">
      <w:pPr>
        <w:pStyle w:val="NormalNumbered"/>
        <w:numPr>
          <w:ilvl w:val="0"/>
          <w:numId w:val="37"/>
        </w:numPr>
      </w:pPr>
      <w:r w:rsidRPr="00005854">
        <w:t>Fundamental to</w:t>
      </w:r>
      <w:r w:rsidRPr="001875C4">
        <w:t xml:space="preserve"> Statement of Principles</w:t>
      </w:r>
      <w:r>
        <w:t xml:space="preserve"> (SoPs)</w:t>
      </w:r>
      <w:r w:rsidRPr="00005854">
        <w:t>, and so to a Council review, is the concept of sound medical-scientific evidence (SMSE), as that term is defined in section 5AB (2) of the VEA</w:t>
      </w:r>
      <w:r>
        <w:t>.</w:t>
      </w:r>
      <w:r w:rsidRPr="00005854">
        <w:rPr>
          <w:vertAlign w:val="superscript"/>
        </w:rPr>
        <w:footnoteReference w:id="2"/>
      </w:r>
      <w:bookmarkEnd w:id="16"/>
    </w:p>
    <w:p w14:paraId="173248AA" w14:textId="77777777" w:rsidR="000E3F0E" w:rsidRDefault="008F386E" w:rsidP="00D91907">
      <w:pPr>
        <w:pStyle w:val="NormalNumbered"/>
        <w:numPr>
          <w:ilvl w:val="0"/>
          <w:numId w:val="37"/>
        </w:numPr>
      </w:pPr>
      <w:r w:rsidRPr="00E722DC">
        <w:lastRenderedPageBreak/>
        <w:t xml:space="preserve">The SMSE relevant to this application (the relevant SMSE) is listed in </w:t>
      </w:r>
      <w:r w:rsidR="00711B4A">
        <w:rPr>
          <w:b/>
        </w:rPr>
        <w:t>B1</w:t>
      </w:r>
      <w:r w:rsidRPr="00171F6B">
        <w:rPr>
          <w:b/>
        </w:rPr>
        <w:t xml:space="preserve"> of Appendix </w:t>
      </w:r>
      <w:r w:rsidR="00711B4A">
        <w:rPr>
          <w:b/>
        </w:rPr>
        <w:t>B</w:t>
      </w:r>
      <w:r w:rsidRPr="00E722DC">
        <w:t>.</w:t>
      </w:r>
      <w:r w:rsidR="00F30FEF">
        <w:t xml:space="preserve"> </w:t>
      </w:r>
    </w:p>
    <w:p w14:paraId="7F1A6A23" w14:textId="77777777" w:rsidR="008F386E" w:rsidRPr="003501B2" w:rsidRDefault="008F386E" w:rsidP="00D91907">
      <w:pPr>
        <w:pStyle w:val="NormalNumbered"/>
        <w:numPr>
          <w:ilvl w:val="0"/>
          <w:numId w:val="37"/>
        </w:numPr>
      </w:pPr>
      <w:r w:rsidRPr="00E722DC">
        <w:t xml:space="preserve">The information to which </w:t>
      </w:r>
      <w:r>
        <w:t>the Applicants</w:t>
      </w:r>
      <w:r w:rsidRPr="00E722DC">
        <w:t xml:space="preserve"> referred, being information, which was not available to the RMA at the relevant times, and so was not considered by the Council in reaching its review decision is listed in </w:t>
      </w:r>
      <w:r w:rsidR="00711B4A" w:rsidRPr="003A5775">
        <w:rPr>
          <w:b/>
        </w:rPr>
        <w:t xml:space="preserve">B2 Appendix </w:t>
      </w:r>
      <w:r w:rsidR="00711B4A">
        <w:rPr>
          <w:b/>
        </w:rPr>
        <w:t>B</w:t>
      </w:r>
      <w:r w:rsidRPr="00F30FEF">
        <w:rPr>
          <w:b/>
        </w:rPr>
        <w:t>.</w:t>
      </w:r>
    </w:p>
    <w:p w14:paraId="3366AC63" w14:textId="77777777" w:rsidR="008F386E" w:rsidRDefault="008F386E" w:rsidP="00D91907">
      <w:pPr>
        <w:pStyle w:val="NormalNumbered"/>
        <w:numPr>
          <w:ilvl w:val="0"/>
          <w:numId w:val="37"/>
        </w:numPr>
        <w:spacing w:after="0"/>
      </w:pPr>
      <w:r w:rsidRPr="00C032CF">
        <w:rPr>
          <w:b/>
        </w:rPr>
        <w:t>Appendix</w:t>
      </w:r>
      <w:r w:rsidR="00711B4A">
        <w:rPr>
          <w:b/>
        </w:rPr>
        <w:t xml:space="preserve"> </w:t>
      </w:r>
      <w:r w:rsidR="006D3FC5">
        <w:rPr>
          <w:b/>
        </w:rPr>
        <w:t>A</w:t>
      </w:r>
      <w:r w:rsidR="006D3FC5" w:rsidRPr="00C032CF">
        <w:rPr>
          <w:b/>
        </w:rPr>
        <w:t xml:space="preserve"> </w:t>
      </w:r>
      <w:r w:rsidR="006D3FC5" w:rsidRPr="00E722DC">
        <w:t>sets</w:t>
      </w:r>
      <w:r w:rsidRPr="00E722DC">
        <w:t xml:space="preserve"> out further details regarding the composition of the Council for this review and the legislation relating to the making of SoPs.</w:t>
      </w:r>
      <w:bookmarkStart w:id="17" w:name="_Ref378761585"/>
    </w:p>
    <w:p w14:paraId="7A17295D" w14:textId="77777777" w:rsidR="00D91907" w:rsidRPr="00702E39" w:rsidRDefault="00D91907" w:rsidP="00D91907">
      <w:pPr>
        <w:pStyle w:val="Heading2"/>
      </w:pPr>
      <w:bookmarkStart w:id="18" w:name="_Toc412714405"/>
      <w:bookmarkStart w:id="19" w:name="_Toc415481397"/>
      <w:bookmarkStart w:id="20" w:name="_Toc523910168"/>
      <w:bookmarkStart w:id="21" w:name="_Toc524600779"/>
      <w:bookmarkStart w:id="22" w:name="_Toc415481398"/>
      <w:bookmarkStart w:id="23" w:name="_Ref362873750"/>
      <w:bookmarkStart w:id="24" w:name="_Ref408662787"/>
      <w:bookmarkStart w:id="25" w:name="_Toc373244658"/>
      <w:bookmarkEnd w:id="17"/>
      <w:bookmarkEnd w:id="1"/>
      <w:bookmarkEnd w:id="2"/>
      <w:r w:rsidRPr="00702E39">
        <w:t>Scope of this review</w:t>
      </w:r>
      <w:bookmarkEnd w:id="18"/>
      <w:bookmarkEnd w:id="19"/>
      <w:bookmarkEnd w:id="20"/>
      <w:bookmarkEnd w:id="21"/>
    </w:p>
    <w:bookmarkEnd w:id="22"/>
    <w:p w14:paraId="340B6DE3" w14:textId="77777777" w:rsidR="00E43D78" w:rsidRPr="008702F5" w:rsidRDefault="00E43D78" w:rsidP="00E43D78">
      <w:pPr>
        <w:pStyle w:val="NumberLevel1"/>
        <w:spacing w:before="0" w:after="0"/>
        <w:rPr>
          <w:rFonts w:ascii="Calibri" w:hAnsi="Calibri"/>
          <w:sz w:val="24"/>
          <w:szCs w:val="24"/>
        </w:rPr>
      </w:pPr>
    </w:p>
    <w:p w14:paraId="7567B564" w14:textId="77777777" w:rsidR="00D91907" w:rsidRDefault="00E43D78" w:rsidP="00D91907">
      <w:pPr>
        <w:pStyle w:val="NormalNumbered"/>
        <w:numPr>
          <w:ilvl w:val="0"/>
          <w:numId w:val="37"/>
        </w:numPr>
      </w:pPr>
      <w:r w:rsidRPr="003501B2">
        <w:t>The Specialist Medical Review Council (SMRC) received an application seeking review of the decision of the RMA not to create SoPs for “</w:t>
      </w:r>
      <w:r>
        <w:t xml:space="preserve">chemically-acquired </w:t>
      </w:r>
      <w:r w:rsidRPr="003501B2">
        <w:t xml:space="preserve">brain injury caused by mefloquine, tafenoquine or primaquine” </w:t>
      </w:r>
      <w:r>
        <w:t xml:space="preserve">contending </w:t>
      </w:r>
      <w:r w:rsidRPr="003501B2">
        <w:t>that there was SMSE on which the RMA could have relied to create SoPs.</w:t>
      </w:r>
    </w:p>
    <w:p w14:paraId="17FD26E8" w14:textId="77777777" w:rsidR="00D91907" w:rsidRDefault="00E43D78" w:rsidP="00D91907">
      <w:pPr>
        <w:pStyle w:val="NormalNumbered"/>
        <w:numPr>
          <w:ilvl w:val="0"/>
          <w:numId w:val="37"/>
        </w:numPr>
      </w:pPr>
      <w:r w:rsidRPr="00005854">
        <w:t xml:space="preserve">The Council wrote to </w:t>
      </w:r>
      <w:r>
        <w:t>the Applicant</w:t>
      </w:r>
      <w:r w:rsidRPr="00005854">
        <w:t xml:space="preserve"> and</w:t>
      </w:r>
      <w:r>
        <w:t xml:space="preserve"> to</w:t>
      </w:r>
      <w:r w:rsidRPr="00005854">
        <w:t xml:space="preserve"> the </w:t>
      </w:r>
      <w:r w:rsidRPr="00D01144">
        <w:t xml:space="preserve">Repatriation Commission and the Military Rehabilitation and Compensation Commission (the Commissions) </w:t>
      </w:r>
      <w:r w:rsidRPr="00005854">
        <w:t>advising its decision on the proposed scope of the review and inviting comment</w:t>
      </w:r>
      <w:r w:rsidRPr="00BF2901">
        <w:t xml:space="preserve">. No comments were received on the proposed scope of the review and therefore the Council decided </w:t>
      </w:r>
      <w:r>
        <w:t>that it would have particular regard to whether there was SMSE on which the RMA could have relied to determine that:</w:t>
      </w:r>
    </w:p>
    <w:p w14:paraId="0EA220BD" w14:textId="77777777" w:rsidR="00D91907" w:rsidRDefault="00D91907" w:rsidP="00D91907">
      <w:pPr>
        <w:pStyle w:val="NormalNumbered"/>
        <w:numPr>
          <w:ilvl w:val="0"/>
          <w:numId w:val="39"/>
        </w:numPr>
        <w:spacing w:after="0" w:line="240" w:lineRule="auto"/>
      </w:pPr>
      <w:r>
        <w:t xml:space="preserve">exposure to mefloquine, tafenoquine or primaquine causes “chronic brain injury”. </w:t>
      </w:r>
    </w:p>
    <w:p w14:paraId="634FD8B1" w14:textId="77777777" w:rsidR="00D91907" w:rsidRDefault="00D91907" w:rsidP="00D91907">
      <w:pPr>
        <w:pStyle w:val="NormalNumbered"/>
        <w:spacing w:after="0" w:line="240" w:lineRule="auto"/>
        <w:ind w:left="720"/>
      </w:pPr>
    </w:p>
    <w:p w14:paraId="2AA35C3A" w14:textId="68DFFAE6" w:rsidR="00D91907" w:rsidRDefault="00D91907" w:rsidP="00D91907">
      <w:pPr>
        <w:pStyle w:val="NormalNumbered"/>
        <w:spacing w:after="0" w:line="240" w:lineRule="auto"/>
        <w:ind w:left="720"/>
      </w:pPr>
      <w:r>
        <w:t>and</w:t>
      </w:r>
    </w:p>
    <w:p w14:paraId="0938E6E8" w14:textId="77777777" w:rsidR="00D91907" w:rsidRDefault="00D91907" w:rsidP="00D91907">
      <w:pPr>
        <w:pStyle w:val="NormalNumbered"/>
        <w:spacing w:after="0" w:line="240" w:lineRule="auto"/>
        <w:ind w:left="720"/>
      </w:pPr>
    </w:p>
    <w:p w14:paraId="1B367CE9" w14:textId="0C8F4893" w:rsidR="00D91907" w:rsidRDefault="00D91907" w:rsidP="00EB354B">
      <w:pPr>
        <w:pStyle w:val="NormalNumbered"/>
        <w:numPr>
          <w:ilvl w:val="0"/>
          <w:numId w:val="39"/>
        </w:numPr>
        <w:spacing w:after="0" w:line="276" w:lineRule="auto"/>
      </w:pPr>
      <w:r>
        <w:t>there is a characteristic and persistent pattern of signs and symptoms following exposure to mefloquine, tafenoquine or primaquine that could be determined to be a particular kind of disease of, or injury to, the brain.</w:t>
      </w:r>
    </w:p>
    <w:p w14:paraId="31DC164A" w14:textId="77777777" w:rsidR="00D91907" w:rsidRDefault="00D91907" w:rsidP="00D91907">
      <w:pPr>
        <w:pStyle w:val="NormalNumbered"/>
        <w:spacing w:after="0" w:line="240" w:lineRule="auto"/>
        <w:ind w:left="720"/>
      </w:pPr>
    </w:p>
    <w:p w14:paraId="0C31C61F" w14:textId="77777777" w:rsidR="00D91907" w:rsidRDefault="00E43D78" w:rsidP="00D91907">
      <w:pPr>
        <w:pStyle w:val="NormalNumbered"/>
        <w:numPr>
          <w:ilvl w:val="0"/>
          <w:numId w:val="37"/>
        </w:numPr>
        <w:spacing w:after="0"/>
      </w:pPr>
      <w:r w:rsidRPr="00810719">
        <w:t xml:space="preserve">If the Council was positively satisfied in respect of both of the above points, it would further be required to consider whether there was sufficient SMSE before the RMA on which to determine Statements of Principles for </w:t>
      </w:r>
      <w:r>
        <w:t xml:space="preserve">“chemically-acquired </w:t>
      </w:r>
      <w:r w:rsidRPr="00810719">
        <w:t>brain injury caused by mefloquine, tafenoquine or primaquine”.</w:t>
      </w:r>
    </w:p>
    <w:p w14:paraId="0EF3DBE8" w14:textId="4C8B4C3F" w:rsidR="00D91907" w:rsidRDefault="00D91907" w:rsidP="00D91907">
      <w:pPr>
        <w:pStyle w:val="Heading3"/>
        <w:spacing w:after="240"/>
      </w:pPr>
      <w:r w:rsidRPr="00805132">
        <w:t>Methodology (the Available Information)</w:t>
      </w:r>
    </w:p>
    <w:p w14:paraId="21138BE3" w14:textId="6DFA5A80" w:rsidR="00D91907" w:rsidRDefault="00E43D78" w:rsidP="00D91907">
      <w:pPr>
        <w:pStyle w:val="NormalNumbered"/>
        <w:numPr>
          <w:ilvl w:val="0"/>
          <w:numId w:val="37"/>
        </w:numPr>
        <w:spacing w:after="0"/>
      </w:pPr>
      <w:r w:rsidRPr="00FE58E8">
        <w:t>The RMA provided the SMRC with</w:t>
      </w:r>
      <w:r>
        <w:t xml:space="preserve"> the</w:t>
      </w:r>
      <w:r w:rsidRPr="00FE58E8">
        <w:t xml:space="preserve"> list </w:t>
      </w:r>
      <w:r w:rsidRPr="002C2420">
        <w:t xml:space="preserve">of </w:t>
      </w:r>
      <w:r w:rsidRPr="004F1D88">
        <w:t>papers</w:t>
      </w:r>
      <w:r>
        <w:t xml:space="preserve"> at </w:t>
      </w:r>
      <w:r w:rsidRPr="004F1D88">
        <w:t>B1</w:t>
      </w:r>
      <w:r w:rsidRPr="00D91907">
        <w:rPr>
          <w:b/>
        </w:rPr>
        <w:t xml:space="preserve"> of Appendix B</w:t>
      </w:r>
      <w:r w:rsidRPr="004F1D88">
        <w:t xml:space="preserve"> that it advised were available to it when it last investigated the questions under review. Conclusions were based</w:t>
      </w:r>
      <w:r w:rsidR="00EB354B">
        <w:t xml:space="preserve"> </w:t>
      </w:r>
      <w:r w:rsidRPr="004F1D88">
        <w:lastRenderedPageBreak/>
        <w:t>on an overall evaluation of the papers by the Council. Papers referenced</w:t>
      </w:r>
      <w:r w:rsidRPr="00FE58E8">
        <w:t xml:space="preserve"> in these reasons are those that the Council considered were most relevant to the </w:t>
      </w:r>
      <w:r>
        <w:t>issues before it</w:t>
      </w:r>
      <w:r w:rsidRPr="00FE58E8">
        <w:t>.</w:t>
      </w:r>
    </w:p>
    <w:p w14:paraId="066160AF" w14:textId="1F8B93B8" w:rsidR="00D91907" w:rsidRDefault="00D91907" w:rsidP="00D91907">
      <w:pPr>
        <w:pStyle w:val="Heading2"/>
        <w:spacing w:after="240"/>
      </w:pPr>
      <w:bookmarkStart w:id="26" w:name="_Toc523910169"/>
      <w:bookmarkStart w:id="27" w:name="_Toc524600780"/>
      <w:r w:rsidRPr="00805132">
        <w:t>Written and oral submissions</w:t>
      </w:r>
      <w:bookmarkEnd w:id="26"/>
      <w:bookmarkEnd w:id="27"/>
    </w:p>
    <w:p w14:paraId="2698DFD6" w14:textId="26522D8A" w:rsidR="00D91907" w:rsidRDefault="00E43D78" w:rsidP="00D91907">
      <w:pPr>
        <w:pStyle w:val="NormalNumbered"/>
        <w:numPr>
          <w:ilvl w:val="0"/>
          <w:numId w:val="37"/>
        </w:numPr>
      </w:pPr>
      <w:r w:rsidRPr="00005854">
        <w:t xml:space="preserve">The Council took into account the submissions made to it, both written and in oral form.  </w:t>
      </w:r>
    </w:p>
    <w:p w14:paraId="2C8B6F25" w14:textId="39A9C9BF" w:rsidR="00D91907" w:rsidRDefault="00D91907" w:rsidP="00D91907">
      <w:pPr>
        <w:pStyle w:val="Heading3"/>
        <w:spacing w:before="0" w:after="240"/>
      </w:pPr>
      <w:r w:rsidRPr="00805132">
        <w:t>Applicants’ Submissions</w:t>
      </w:r>
    </w:p>
    <w:p w14:paraId="79D112BE" w14:textId="77777777" w:rsidR="00D91907" w:rsidRDefault="00E43D78" w:rsidP="00D91907">
      <w:pPr>
        <w:pStyle w:val="NormalNumbered"/>
        <w:numPr>
          <w:ilvl w:val="0"/>
          <w:numId w:val="37"/>
        </w:numPr>
      </w:pPr>
      <w:r w:rsidRPr="00D91907">
        <w:rPr>
          <w:snapToGrid w:val="0"/>
          <w:sz w:val="24"/>
          <w:szCs w:val="24"/>
        </w:rPr>
        <w:t>On 9 February 2018 the Quinoline Veterans and Families Association (QVFA) provided a written submission to the SMRC, prepared for it by the Quinism Foundation.</w:t>
      </w:r>
      <w:r w:rsidRPr="00D91907">
        <w:rPr>
          <w:bCs/>
          <w:iCs/>
          <w:snapToGrid w:val="0"/>
          <w:sz w:val="24"/>
          <w:szCs w:val="24"/>
        </w:rPr>
        <w:t xml:space="preserve"> </w:t>
      </w:r>
      <w:r w:rsidRPr="00D91907">
        <w:rPr>
          <w:snapToGrid w:val="0"/>
          <w:sz w:val="24"/>
          <w:szCs w:val="24"/>
        </w:rPr>
        <w:t xml:space="preserve">In it, the Applicant contended that "chemically-acquired brain injury caused by mefloquine, tafenoquine or primaquine" is synonymous with a condition the Applicant referred to as chronic quinoline encephalopathy, or neuropsychiatric quinism. The Applicant submitted that this is a medical condition caused by poisoning of the brain by quinolines, including mefloquine, tafenoquine, and primaquine, with symptoms including sleep disturbance, anxiety, paranoia, personality change, dissociation, depression, suicidal ideation, cognitive dysfunction, disequilibrium, dizziness, vertigo, paresthesias, auditory and visual disturbances, and other effects that reflect dysfunction localized to areas of the limbic system and brainstem known to be affected by quinoline neurotoxicity. </w:t>
      </w:r>
    </w:p>
    <w:p w14:paraId="3BC9AA8B" w14:textId="77777777" w:rsidR="00D91907" w:rsidRDefault="00E43D78" w:rsidP="00D91907">
      <w:pPr>
        <w:pStyle w:val="NormalNumbered"/>
        <w:numPr>
          <w:ilvl w:val="0"/>
          <w:numId w:val="37"/>
        </w:numPr>
      </w:pPr>
      <w:r w:rsidRPr="00D91907">
        <w:rPr>
          <w:snapToGrid w:val="0"/>
          <w:sz w:val="24"/>
          <w:szCs w:val="24"/>
        </w:rPr>
        <w:t>The Applicant referred to papers by Nevin (2012, 2014, 2015), Nevin and Ritchie (2015), and Nevin and Leoutsakos (2017) in support of contentions that there is “a characteristic and persisting pattern of neuropsychiatric symptoms that occur following exposure to mefloquine, tafenoquine, or primaquine”, and that this, “meets the statutory definition of disease”.</w:t>
      </w:r>
    </w:p>
    <w:p w14:paraId="17AA118B" w14:textId="77777777" w:rsidR="00D91907" w:rsidRDefault="00E43D78" w:rsidP="00D91907">
      <w:pPr>
        <w:pStyle w:val="NormalNumbered"/>
        <w:numPr>
          <w:ilvl w:val="0"/>
          <w:numId w:val="37"/>
        </w:numPr>
      </w:pPr>
      <w:r w:rsidRPr="00D91907">
        <w:rPr>
          <w:snapToGrid w:val="0"/>
          <w:sz w:val="24"/>
          <w:szCs w:val="24"/>
        </w:rPr>
        <w:t xml:space="preserve">The Applicant contended that the RMA made a number of errors in its interpretation of this literature. </w:t>
      </w:r>
    </w:p>
    <w:p w14:paraId="2FC703D8" w14:textId="77777777" w:rsidR="00D91907" w:rsidRPr="00D91907" w:rsidRDefault="00E43D78" w:rsidP="00D91907">
      <w:pPr>
        <w:pStyle w:val="NormalNumbered"/>
        <w:numPr>
          <w:ilvl w:val="0"/>
          <w:numId w:val="37"/>
        </w:numPr>
      </w:pPr>
      <w:r w:rsidRPr="00D91907">
        <w:rPr>
          <w:snapToGrid w:val="0"/>
          <w:sz w:val="24"/>
          <w:szCs w:val="24"/>
        </w:rPr>
        <w:t xml:space="preserve">On 14 June 2018, A/Prof Jane Quinn, representing the QVFA, provided an oral submission to the SMRC. She contended that the acute affects for the quinolone drugs are well documented and that the literature supports a ‘toxidrome’ which has a symptomatic relationship with mefloquine which is clearly documented in clinical case </w:t>
      </w:r>
      <w:r w:rsidRPr="00D91907">
        <w:rPr>
          <w:snapToGrid w:val="0"/>
          <w:sz w:val="24"/>
          <w:szCs w:val="24"/>
        </w:rPr>
        <w:lastRenderedPageBreak/>
        <w:t>reports in both the civilian and military domains. She submitted that existing SoPs for tinnitus sensorial hearing loss indicate permanent neurological injuries which are present at a cellular level.</w:t>
      </w:r>
      <w:r w:rsidRPr="00D91907">
        <w:rPr>
          <w:snapToGrid w:val="0"/>
          <w:sz w:val="24"/>
        </w:rPr>
        <w:t xml:space="preserve">  A/Prof Quinn submitted that “permanent neurocognitive deficits are a clear sign of neurological damage” and added that “cognitive problems are maintained for months and years after the drugs are withdrawn”.  She contended that “long-term neurocognitive deficits really impact people”. </w:t>
      </w:r>
    </w:p>
    <w:p w14:paraId="26483713" w14:textId="77777777" w:rsidR="00D91907" w:rsidRPr="00D91907" w:rsidRDefault="00E43D78" w:rsidP="00D91907">
      <w:pPr>
        <w:pStyle w:val="NormalNumbered"/>
        <w:numPr>
          <w:ilvl w:val="0"/>
          <w:numId w:val="37"/>
        </w:numPr>
      </w:pPr>
      <w:r w:rsidRPr="00D91907">
        <w:rPr>
          <w:snapToGrid w:val="0"/>
          <w:sz w:val="24"/>
          <w:szCs w:val="24"/>
        </w:rPr>
        <w:t xml:space="preserve">A/Prof Quinn stated that the best evidence in support of her contentions can be found in papers published since 2012, in particular those by Nevin, Ritchie, Ringqvist and Livezey, which set out a large number of individual case reports. She also referred to the Database of Adverse Event Reports as a source of evidence for the type of long-term cognitive effects which she had described. </w:t>
      </w:r>
    </w:p>
    <w:p w14:paraId="33AC6C6A" w14:textId="77777777" w:rsidR="00D91907" w:rsidRPr="00D91907" w:rsidRDefault="00E43D78" w:rsidP="00D91907">
      <w:pPr>
        <w:pStyle w:val="NormalNumbered"/>
        <w:numPr>
          <w:ilvl w:val="0"/>
          <w:numId w:val="37"/>
        </w:numPr>
        <w:spacing w:after="0"/>
      </w:pPr>
      <w:r w:rsidRPr="00D91907">
        <w:rPr>
          <w:snapToGrid w:val="0"/>
          <w:sz w:val="24"/>
          <w:szCs w:val="24"/>
        </w:rPr>
        <w:t>In relation to the issue of Acquired Brain Injury, A/Prof Quinn submitted that there are two ‘states’.  The first relates to ‘core neurological effects, sensory and cognitive’ and the second to ‘neuropsychological problems secondary to neurological damage’.  She cited ‘alcohol, cannaboids, opioids, solvents, and lead’ as ‘examples’ of this.</w:t>
      </w:r>
    </w:p>
    <w:p w14:paraId="29924B63" w14:textId="273FCB3D" w:rsidR="00D91907" w:rsidRPr="00D91907" w:rsidRDefault="00D91907" w:rsidP="00D91907">
      <w:pPr>
        <w:pStyle w:val="Heading3"/>
        <w:spacing w:after="240"/>
      </w:pPr>
      <w:bookmarkStart w:id="28" w:name="_Ref378318785"/>
      <w:r w:rsidRPr="00805132">
        <w:t>Commissions’ Submissions</w:t>
      </w:r>
      <w:bookmarkEnd w:id="28"/>
    </w:p>
    <w:p w14:paraId="7895885B" w14:textId="77777777" w:rsidR="00D91907" w:rsidRPr="00D91907" w:rsidRDefault="00E43D78" w:rsidP="00D91907">
      <w:pPr>
        <w:pStyle w:val="NormalNumbered"/>
        <w:numPr>
          <w:ilvl w:val="0"/>
          <w:numId w:val="37"/>
        </w:numPr>
        <w:spacing w:after="0"/>
      </w:pPr>
      <w:r w:rsidRPr="00D91907">
        <w:rPr>
          <w:sz w:val="24"/>
        </w:rPr>
        <w:t xml:space="preserve">The Repatriation Commission and the Military Rehabilitation and Compensation Commission (the Commissions) made a written submission to the Council received on 1 February 2018 and an oral submission on 14 June 2018. The Commissions did not make specific contentions about the medical science in its submissions. </w:t>
      </w:r>
      <w:bookmarkStart w:id="29" w:name="_Toc415481400"/>
      <w:bookmarkStart w:id="30" w:name="_Toc483923003"/>
    </w:p>
    <w:p w14:paraId="704A97BD" w14:textId="2CB5AA3B" w:rsidR="00D91907" w:rsidRPr="00D91907" w:rsidRDefault="00D91907" w:rsidP="00D91907">
      <w:pPr>
        <w:pStyle w:val="Heading2"/>
        <w:spacing w:after="240"/>
      </w:pPr>
      <w:bookmarkStart w:id="31" w:name="_Toc523910170"/>
      <w:bookmarkStart w:id="32" w:name="_Toc524600781"/>
      <w:r w:rsidRPr="008702F5">
        <w:t>RMA Reasons</w:t>
      </w:r>
      <w:bookmarkEnd w:id="31"/>
      <w:bookmarkEnd w:id="32"/>
    </w:p>
    <w:p w14:paraId="474E182A" w14:textId="77777777" w:rsidR="00D91907" w:rsidRDefault="00E43D78" w:rsidP="00D91907">
      <w:pPr>
        <w:pStyle w:val="NormalNumbered"/>
        <w:numPr>
          <w:ilvl w:val="0"/>
          <w:numId w:val="37"/>
        </w:numPr>
      </w:pPr>
      <w:r w:rsidRPr="00D91907">
        <w:t>In its investigation, gazetted on 14 February 2017 and concluded on 18 August 2017, the RMA determined that, “there is insufficient sound medical-scientific evidence (SMSE) that exposure to mefloquine, tafenoquine or primaquine causes chronic brain injury.” Further, the RMA considered that there is insufficient SMSE that there is a characteristic and persisting pattern of signs and symptoms following exposure to mefloquine, tafenoquine or primaquine that could be determined to be a particular kind of disease of, or injury to, the brain. The RMA set out its reasons in statement published on its website.</w:t>
      </w:r>
    </w:p>
    <w:p w14:paraId="2710EB76" w14:textId="77777777" w:rsidR="00D91907" w:rsidRDefault="00E43D78" w:rsidP="00D91907">
      <w:pPr>
        <w:pStyle w:val="NormalNumbered"/>
        <w:numPr>
          <w:ilvl w:val="0"/>
          <w:numId w:val="37"/>
        </w:numPr>
      </w:pPr>
      <w:r w:rsidRPr="00D91907">
        <w:rPr>
          <w:sz w:val="24"/>
        </w:rPr>
        <w:lastRenderedPageBreak/>
        <w:t xml:space="preserve">In its reasons the RMA said that it investigated whether SMSE existed for an association between exposure to mefloquine, tafenoquine or primaquine and “chronic brain injury”. The RMA performed a literature search for material published between 1996 and the time of the review using search terms that included the drug names and the terms “adverse events”, “poisoning”, “toxicity”, “psychotic disorders”, ““neuropsychiatric”, “mental disorders”, and/or “brain injury”. Evidence submitted to the RMA, literature cited within articles, literature from internet searches and reference textbooks were also included in the available literature. </w:t>
      </w:r>
    </w:p>
    <w:p w14:paraId="726C9F5B" w14:textId="77777777" w:rsidR="00D91907" w:rsidRDefault="00E43D78" w:rsidP="00D91907">
      <w:pPr>
        <w:pStyle w:val="NormalNumbered"/>
        <w:numPr>
          <w:ilvl w:val="0"/>
          <w:numId w:val="37"/>
        </w:numPr>
      </w:pPr>
      <w:r w:rsidRPr="00D91907">
        <w:rPr>
          <w:sz w:val="24"/>
        </w:rPr>
        <w:t xml:space="preserve">The RMA reviewed the available literature for evidence of damage to human brain tissue following exposure to any of the named drugs and/or evidence for a characteristic and persisting pattern of signs and symptoms which could be considered a disease of, or injury to, the brain. The RMA considered results from animal studies with caution due to interspecies differences in drug toxicities and the higher drug concentrations typically used in animal studies. </w:t>
      </w:r>
    </w:p>
    <w:p w14:paraId="0EF4E50A" w14:textId="77777777" w:rsidR="00D91907" w:rsidRPr="00D91907" w:rsidRDefault="00E43D78" w:rsidP="00D91907">
      <w:pPr>
        <w:pStyle w:val="NormalNumbered"/>
        <w:numPr>
          <w:ilvl w:val="0"/>
          <w:numId w:val="37"/>
        </w:numPr>
      </w:pPr>
      <w:r w:rsidRPr="00D91907">
        <w:rPr>
          <w:sz w:val="24"/>
        </w:rPr>
        <w:t>The RMA said that it noted that the named drugs are known to have adverse effects which are recognised in existing SoPs, including acute neuropsychiatric effects.  The RMA noted that there were few reports of prolonged and persistent symptoms following exposure. All such reports were either case reports or adverse event reports. The RMA noted that the absence of a control or comparison group in these types of studies limits the conclusions that can be made. The RMA also noted that a comparison group is important for this particular investigation since the nominated symptoms following exposure occur frequently in the general population. No human studies showed changes in cognitive performance or brain pathology following exposure to the named drugs. Some pathology was identified in animals exposed to high doses of mefloquine. Putative biological mechanisms have been proposed for mefloquine, but no experimental evidence was found to support these hypotheses.</w:t>
      </w:r>
    </w:p>
    <w:p w14:paraId="6D773E35" w14:textId="77777777" w:rsidR="00D91907" w:rsidRPr="00D91907" w:rsidRDefault="00E43D78" w:rsidP="00D91907">
      <w:pPr>
        <w:pStyle w:val="NormalNumbered"/>
        <w:numPr>
          <w:ilvl w:val="0"/>
          <w:numId w:val="37"/>
        </w:numPr>
        <w:spacing w:after="0"/>
      </w:pPr>
      <w:r w:rsidRPr="00D91907">
        <w:rPr>
          <w:sz w:val="24"/>
        </w:rPr>
        <w:t xml:space="preserve">The RMA concluded that there was insufficient SMSE to show that chemically-acquired brain injury can develop following exposure to mefloquine, tafenoquine or primaquine. It also concluded that there was insufficient SMSE for a characteristic and </w:t>
      </w:r>
      <w:r w:rsidRPr="00D91907">
        <w:rPr>
          <w:sz w:val="24"/>
        </w:rPr>
        <w:lastRenderedPageBreak/>
        <w:t>persisting pattern of signs and symptoms following exposure to these drugs that could be considered a particular kind of brain injury or disease.</w:t>
      </w:r>
      <w:bookmarkStart w:id="33" w:name="_Toc412714406"/>
      <w:bookmarkStart w:id="34" w:name="_Toc415481401"/>
      <w:bookmarkStart w:id="35" w:name="_Toc483923004"/>
      <w:bookmarkEnd w:id="29"/>
      <w:bookmarkEnd w:id="30"/>
    </w:p>
    <w:p w14:paraId="265A5F9D" w14:textId="77777777" w:rsidR="00D91907" w:rsidRPr="00805132" w:rsidRDefault="00D91907" w:rsidP="00D91907">
      <w:pPr>
        <w:pStyle w:val="Heading2"/>
      </w:pPr>
      <w:bookmarkStart w:id="36" w:name="_Toc523910171"/>
      <w:bookmarkStart w:id="37" w:name="_Toc524600782"/>
      <w:r w:rsidRPr="00805132">
        <w:t>Background</w:t>
      </w:r>
      <w:bookmarkEnd w:id="36"/>
      <w:bookmarkEnd w:id="37"/>
    </w:p>
    <w:p w14:paraId="48591288" w14:textId="0E47D8E7" w:rsidR="00D91907" w:rsidRPr="00D91907" w:rsidRDefault="00D91907" w:rsidP="00D91907">
      <w:pPr>
        <w:pStyle w:val="Heading3"/>
        <w:spacing w:after="240"/>
      </w:pPr>
      <w:r w:rsidRPr="008702F5">
        <w:t>Definitions of Disease or Injury</w:t>
      </w:r>
    </w:p>
    <w:p w14:paraId="4095F791" w14:textId="77777777" w:rsidR="00D91907" w:rsidRPr="00D91907" w:rsidRDefault="00E43D78" w:rsidP="00D91907">
      <w:pPr>
        <w:pStyle w:val="NormalNumbered"/>
        <w:numPr>
          <w:ilvl w:val="0"/>
          <w:numId w:val="37"/>
        </w:numPr>
      </w:pPr>
      <w:r w:rsidRPr="00D91907">
        <w:rPr>
          <w:bCs/>
          <w:iCs/>
          <w:sz w:val="24"/>
        </w:rPr>
        <w:t>Section 5D of the Act defines disease and injury relevantly as follows:</w:t>
      </w:r>
    </w:p>
    <w:p w14:paraId="364363DD" w14:textId="77777777" w:rsidR="00D91907" w:rsidRPr="002A1DEB" w:rsidRDefault="00D91907" w:rsidP="00D91907">
      <w:pPr>
        <w:spacing w:line="360" w:lineRule="auto"/>
        <w:ind w:left="360"/>
        <w:rPr>
          <w:rFonts w:ascii="Calibri" w:hAnsi="Calibri"/>
          <w:i/>
          <w:sz w:val="24"/>
        </w:rPr>
      </w:pPr>
      <w:r w:rsidRPr="002A1DEB">
        <w:rPr>
          <w:rFonts w:ascii="Calibri" w:hAnsi="Calibri"/>
          <w:i/>
          <w:sz w:val="24"/>
        </w:rPr>
        <w:t xml:space="preserve">Disease means: </w:t>
      </w:r>
    </w:p>
    <w:p w14:paraId="525AD75F" w14:textId="77777777" w:rsidR="00D91907" w:rsidRPr="001F508F" w:rsidRDefault="00D91907" w:rsidP="00D91907">
      <w:pPr>
        <w:numPr>
          <w:ilvl w:val="0"/>
          <w:numId w:val="28"/>
        </w:numPr>
        <w:spacing w:line="360" w:lineRule="auto"/>
        <w:rPr>
          <w:rFonts w:ascii="Calibri" w:hAnsi="Calibri"/>
          <w:i/>
          <w:sz w:val="24"/>
        </w:rPr>
      </w:pPr>
      <w:r w:rsidRPr="008D6AE5">
        <w:rPr>
          <w:rFonts w:ascii="Calibri" w:hAnsi="Calibri"/>
          <w:i/>
          <w:sz w:val="24"/>
        </w:rPr>
        <w:t xml:space="preserve">any physical or mental ailment, disorder, defect or morbid condition (whether of </w:t>
      </w:r>
      <w:r w:rsidRPr="001F508F">
        <w:rPr>
          <w:rFonts w:ascii="Calibri" w:hAnsi="Calibri"/>
          <w:i/>
          <w:sz w:val="24"/>
        </w:rPr>
        <w:t>sudden onset or gradual development); or</w:t>
      </w:r>
    </w:p>
    <w:p w14:paraId="0205394C" w14:textId="77777777" w:rsidR="00D91907" w:rsidRPr="001F508F" w:rsidRDefault="00D91907" w:rsidP="00D91907">
      <w:pPr>
        <w:numPr>
          <w:ilvl w:val="0"/>
          <w:numId w:val="28"/>
        </w:numPr>
        <w:spacing w:line="360" w:lineRule="auto"/>
        <w:rPr>
          <w:rFonts w:ascii="Calibri" w:hAnsi="Calibri"/>
          <w:i/>
          <w:sz w:val="24"/>
        </w:rPr>
      </w:pPr>
      <w:r w:rsidRPr="001F508F">
        <w:rPr>
          <w:rFonts w:ascii="Calibri" w:hAnsi="Calibri"/>
          <w:i/>
          <w:sz w:val="24"/>
        </w:rPr>
        <w:t>the recurrence of such an ailment, disorder, defect or morbid condition;</w:t>
      </w:r>
    </w:p>
    <w:p w14:paraId="1D73CDA9" w14:textId="77777777" w:rsidR="00D91907" w:rsidRPr="00D238AC" w:rsidRDefault="00D91907" w:rsidP="00D91907">
      <w:pPr>
        <w:spacing w:line="360" w:lineRule="auto"/>
        <w:ind w:left="360"/>
        <w:rPr>
          <w:rFonts w:ascii="Calibri" w:hAnsi="Calibri"/>
          <w:i/>
          <w:sz w:val="24"/>
        </w:rPr>
      </w:pPr>
      <w:r w:rsidRPr="00D238AC">
        <w:rPr>
          <w:rFonts w:ascii="Calibri" w:hAnsi="Calibri"/>
          <w:i/>
          <w:sz w:val="24"/>
        </w:rPr>
        <w:t>but does not include:</w:t>
      </w:r>
    </w:p>
    <w:p w14:paraId="7EA596F2" w14:textId="77777777" w:rsidR="00D91907" w:rsidRPr="00D238AC" w:rsidRDefault="00D91907" w:rsidP="00D91907">
      <w:pPr>
        <w:numPr>
          <w:ilvl w:val="0"/>
          <w:numId w:val="29"/>
        </w:numPr>
        <w:spacing w:line="360" w:lineRule="auto"/>
        <w:rPr>
          <w:rFonts w:ascii="Calibri" w:hAnsi="Calibri"/>
          <w:i/>
          <w:sz w:val="24"/>
        </w:rPr>
      </w:pPr>
      <w:r w:rsidRPr="00D238AC">
        <w:rPr>
          <w:rFonts w:ascii="Calibri" w:hAnsi="Calibri"/>
          <w:i/>
          <w:sz w:val="24"/>
        </w:rPr>
        <w:t>the aggravation of such an ailment, disorder, defect or morbid condition; or</w:t>
      </w:r>
    </w:p>
    <w:p w14:paraId="319CCEDB" w14:textId="77777777" w:rsidR="00D91907" w:rsidRPr="00D238AC" w:rsidRDefault="00D91907" w:rsidP="00D91907">
      <w:pPr>
        <w:numPr>
          <w:ilvl w:val="0"/>
          <w:numId w:val="29"/>
        </w:numPr>
        <w:spacing w:line="360" w:lineRule="auto"/>
        <w:rPr>
          <w:rFonts w:ascii="Calibri" w:hAnsi="Calibri"/>
          <w:i/>
          <w:sz w:val="24"/>
        </w:rPr>
      </w:pPr>
      <w:r w:rsidRPr="00D238AC">
        <w:rPr>
          <w:rFonts w:ascii="Calibri" w:hAnsi="Calibri"/>
          <w:i/>
          <w:sz w:val="24"/>
        </w:rPr>
        <w:t>a temporary departure from:</w:t>
      </w:r>
    </w:p>
    <w:p w14:paraId="67B874A8" w14:textId="77777777" w:rsidR="00D91907" w:rsidRPr="00D238AC" w:rsidRDefault="00D91907" w:rsidP="00D91907">
      <w:pPr>
        <w:numPr>
          <w:ilvl w:val="0"/>
          <w:numId w:val="29"/>
        </w:numPr>
        <w:spacing w:line="360" w:lineRule="auto"/>
        <w:rPr>
          <w:rFonts w:ascii="Calibri" w:hAnsi="Calibri"/>
          <w:i/>
          <w:sz w:val="24"/>
        </w:rPr>
      </w:pPr>
      <w:r w:rsidRPr="00D238AC">
        <w:rPr>
          <w:rFonts w:ascii="Calibri" w:hAnsi="Calibri"/>
          <w:i/>
          <w:sz w:val="24"/>
        </w:rPr>
        <w:t>the normal physiological state; or</w:t>
      </w:r>
    </w:p>
    <w:p w14:paraId="2A604DB7" w14:textId="77777777" w:rsidR="00D91907" w:rsidRPr="00D238AC" w:rsidRDefault="00D91907" w:rsidP="00D91907">
      <w:pPr>
        <w:numPr>
          <w:ilvl w:val="0"/>
          <w:numId w:val="29"/>
        </w:numPr>
        <w:spacing w:line="360" w:lineRule="auto"/>
        <w:rPr>
          <w:rFonts w:ascii="Calibri" w:hAnsi="Calibri"/>
          <w:i/>
          <w:sz w:val="24"/>
        </w:rPr>
      </w:pPr>
      <w:r w:rsidRPr="00D238AC">
        <w:rPr>
          <w:rFonts w:ascii="Calibri" w:hAnsi="Calibri"/>
          <w:i/>
          <w:sz w:val="24"/>
        </w:rPr>
        <w:t>the accepted ranges of physiological or biochemical measures;</w:t>
      </w:r>
    </w:p>
    <w:p w14:paraId="4B92228C" w14:textId="77777777" w:rsidR="00D91907" w:rsidRPr="009F4E9E" w:rsidRDefault="00D91907" w:rsidP="00D91907">
      <w:pPr>
        <w:numPr>
          <w:ilvl w:val="0"/>
          <w:numId w:val="29"/>
        </w:numPr>
        <w:spacing w:line="360" w:lineRule="auto"/>
        <w:rPr>
          <w:rFonts w:ascii="Calibri" w:hAnsi="Calibri"/>
          <w:i/>
          <w:sz w:val="24"/>
        </w:rPr>
      </w:pPr>
      <w:r w:rsidRPr="009F4E9E">
        <w:rPr>
          <w:rFonts w:ascii="Calibri" w:hAnsi="Calibri"/>
          <w:i/>
          <w:sz w:val="24"/>
        </w:rPr>
        <w:t>that results from normal physiological stress (for example, the effect of exercise on blood pressure) or the temporary effect of extraneous agents (for example, alcohol on blood cholesterol levels);</w:t>
      </w:r>
    </w:p>
    <w:p w14:paraId="4044301F" w14:textId="77777777" w:rsidR="00D91907" w:rsidRPr="002E158E" w:rsidRDefault="00D91907" w:rsidP="00D91907">
      <w:pPr>
        <w:spacing w:line="360" w:lineRule="auto"/>
        <w:ind w:left="360"/>
        <w:rPr>
          <w:rFonts w:ascii="Calibri" w:hAnsi="Calibri"/>
          <w:i/>
          <w:sz w:val="24"/>
        </w:rPr>
      </w:pPr>
      <w:r w:rsidRPr="002E158E">
        <w:rPr>
          <w:rFonts w:ascii="Calibri" w:hAnsi="Calibri"/>
          <w:i/>
          <w:sz w:val="24"/>
        </w:rPr>
        <w:t>[and]</w:t>
      </w:r>
      <w:r w:rsidRPr="002E158E">
        <w:rPr>
          <w:rFonts w:ascii="Calibri" w:hAnsi="Calibri"/>
          <w:i/>
          <w:sz w:val="24"/>
        </w:rPr>
        <w:tab/>
      </w:r>
    </w:p>
    <w:p w14:paraId="12F6F83F" w14:textId="77777777" w:rsidR="00D91907" w:rsidRPr="002E158E" w:rsidRDefault="00D91907" w:rsidP="00D91907">
      <w:pPr>
        <w:numPr>
          <w:ilvl w:val="0"/>
          <w:numId w:val="30"/>
        </w:numPr>
        <w:spacing w:line="360" w:lineRule="auto"/>
        <w:rPr>
          <w:rFonts w:ascii="Calibri" w:hAnsi="Calibri"/>
          <w:i/>
          <w:sz w:val="24"/>
        </w:rPr>
      </w:pPr>
      <w:r w:rsidRPr="002E158E">
        <w:rPr>
          <w:rFonts w:ascii="Calibri" w:hAnsi="Calibri"/>
          <w:i/>
          <w:sz w:val="24"/>
        </w:rPr>
        <w:t>injury means any physical or mental injury (including the recurrence of a physical or mental injury) but does not include:</w:t>
      </w:r>
    </w:p>
    <w:p w14:paraId="279E3A57" w14:textId="77777777" w:rsidR="00D91907" w:rsidRPr="002E158E" w:rsidRDefault="00D91907" w:rsidP="00D91907">
      <w:pPr>
        <w:numPr>
          <w:ilvl w:val="0"/>
          <w:numId w:val="30"/>
        </w:numPr>
        <w:spacing w:line="360" w:lineRule="auto"/>
        <w:rPr>
          <w:rFonts w:ascii="Calibri" w:hAnsi="Calibri"/>
          <w:i/>
          <w:sz w:val="24"/>
        </w:rPr>
      </w:pPr>
      <w:r w:rsidRPr="002E158E">
        <w:rPr>
          <w:rFonts w:ascii="Calibri" w:hAnsi="Calibri"/>
          <w:i/>
          <w:sz w:val="24"/>
        </w:rPr>
        <w:t>a disease; or</w:t>
      </w:r>
    </w:p>
    <w:p w14:paraId="4F8B8392" w14:textId="1638FFF2" w:rsidR="00D91907" w:rsidRPr="00D91907" w:rsidRDefault="00D91907" w:rsidP="00D91907">
      <w:pPr>
        <w:numPr>
          <w:ilvl w:val="0"/>
          <w:numId w:val="30"/>
        </w:numPr>
        <w:spacing w:after="240" w:line="360" w:lineRule="auto"/>
        <w:rPr>
          <w:rFonts w:ascii="Calibri" w:hAnsi="Calibri"/>
          <w:sz w:val="24"/>
        </w:rPr>
      </w:pPr>
      <w:r w:rsidRPr="002E158E">
        <w:rPr>
          <w:rFonts w:ascii="Calibri" w:hAnsi="Calibri"/>
          <w:i/>
          <w:sz w:val="24"/>
        </w:rPr>
        <w:t>the aggravation of a physical or mental injury.</w:t>
      </w:r>
    </w:p>
    <w:p w14:paraId="56102F52" w14:textId="77777777" w:rsidR="00D91907" w:rsidRPr="00D91907" w:rsidRDefault="00E43D78" w:rsidP="00D91907">
      <w:pPr>
        <w:pStyle w:val="NormalNumbered"/>
        <w:numPr>
          <w:ilvl w:val="0"/>
          <w:numId w:val="37"/>
        </w:numPr>
      </w:pPr>
      <w:r w:rsidRPr="00D91907">
        <w:rPr>
          <w:sz w:val="24"/>
        </w:rPr>
        <w:t xml:space="preserve">The question of what constitutes a disease or injury for the purposes of determining a SoP under the Act is to be determined by the ordinary meaning of those words. While reference and regard may be had to ordinary dictionary definitions, medical dictionaries, and expert knowledge, ultimately, determining whether a condition is a disease as defined, the Council must conclude on the balance of probabilities whether or not the claimed condition is a ‘disease’ or ‘injury’ as used and understood in its ordinary meaning. </w:t>
      </w:r>
    </w:p>
    <w:p w14:paraId="3F15BD27" w14:textId="77777777" w:rsidR="00D91907" w:rsidRPr="00D91907" w:rsidRDefault="00E43D78" w:rsidP="00D91907">
      <w:pPr>
        <w:pStyle w:val="NormalNumbered"/>
        <w:numPr>
          <w:ilvl w:val="0"/>
          <w:numId w:val="37"/>
        </w:numPr>
      </w:pPr>
      <w:r w:rsidRPr="00D91907">
        <w:rPr>
          <w:sz w:val="24"/>
        </w:rPr>
        <w:lastRenderedPageBreak/>
        <w:t>Being familiar with the ordinary English meanings of the terms that are used in section 5D, the Council considered whether “chemically-acquired brain injury caused by mefloquine, tafenoquine or primaquine” is a disease or injury. In doing so, it had regard to its expert medical knowledge and internationally agreed concepts.</w:t>
      </w:r>
    </w:p>
    <w:p w14:paraId="0BD471F5" w14:textId="77777777" w:rsidR="00D91907" w:rsidRPr="00D91907" w:rsidRDefault="00E43D78" w:rsidP="00D91907">
      <w:pPr>
        <w:pStyle w:val="NormalNumbered"/>
        <w:numPr>
          <w:ilvl w:val="0"/>
          <w:numId w:val="37"/>
        </w:numPr>
      </w:pPr>
      <w:r w:rsidRPr="00D91907">
        <w:rPr>
          <w:sz w:val="24"/>
        </w:rPr>
        <w:t xml:space="preserve">A disease is a disorder (a disturbance or departure —e.g., of an organ or body system—from normal balance or healthy function). </w:t>
      </w:r>
    </w:p>
    <w:p w14:paraId="35311806" w14:textId="77777777" w:rsidR="00D91907" w:rsidRPr="00D91907" w:rsidRDefault="00E43D78" w:rsidP="00D91907">
      <w:pPr>
        <w:pStyle w:val="NormalNumbered"/>
        <w:numPr>
          <w:ilvl w:val="0"/>
          <w:numId w:val="37"/>
        </w:numPr>
      </w:pPr>
      <w:r w:rsidRPr="00D91907">
        <w:rPr>
          <w:sz w:val="24"/>
        </w:rPr>
        <w:t>An injury is generally identified where an individual has suffered something that can be described as a sudden and ascertainable or dramatic physiological change or disturbance of the normal physiological state. The suddenness of the change can be relevant to distinguishing a physiological change from the progression of an underlying disease.</w:t>
      </w:r>
    </w:p>
    <w:p w14:paraId="230B7C25" w14:textId="77777777" w:rsidR="00D91907" w:rsidRPr="00D91907" w:rsidRDefault="00E43D78" w:rsidP="00D91907">
      <w:pPr>
        <w:pStyle w:val="NormalNumbered"/>
        <w:numPr>
          <w:ilvl w:val="0"/>
          <w:numId w:val="37"/>
        </w:numPr>
      </w:pPr>
      <w:r w:rsidRPr="00D91907">
        <w:rPr>
          <w:sz w:val="24"/>
        </w:rPr>
        <w:t>In epidemiology, accurate diagnosis of a disease requires a case definition. A case definition is a set of criteria that must be fulfilled in order to identify a person as representing a case of a particular disease.</w:t>
      </w:r>
    </w:p>
    <w:p w14:paraId="6AD7EC9B" w14:textId="77777777" w:rsidR="00D91907" w:rsidRPr="00D91907" w:rsidRDefault="00E43D78" w:rsidP="00D91907">
      <w:pPr>
        <w:pStyle w:val="NormalNumbered"/>
        <w:numPr>
          <w:ilvl w:val="0"/>
          <w:numId w:val="37"/>
        </w:numPr>
      </w:pPr>
      <w:r w:rsidRPr="00D91907">
        <w:rPr>
          <w:sz w:val="24"/>
        </w:rPr>
        <w:t>A case definition may be based on geographic, clinical, laboratory, or combined criteria or on a scoring system with points for each criterion that matches the features of the disease. In deciding whether to include or exclude cases in an epidemiological study, a case definition must be highly reliable.</w:t>
      </w:r>
    </w:p>
    <w:p w14:paraId="6C01D14B" w14:textId="77777777" w:rsidR="00D91907" w:rsidRPr="00805132" w:rsidRDefault="00D91907" w:rsidP="00D91907">
      <w:pPr>
        <w:pStyle w:val="Heading2"/>
      </w:pPr>
      <w:bookmarkStart w:id="38" w:name="_Toc523910172"/>
      <w:bookmarkStart w:id="39" w:name="_Toc524600783"/>
      <w:r w:rsidRPr="00805132">
        <w:t>Council's decisions on the relevant SMSE</w:t>
      </w:r>
      <w:bookmarkEnd w:id="38"/>
      <w:bookmarkEnd w:id="39"/>
    </w:p>
    <w:p w14:paraId="36F4E4FF" w14:textId="77777777" w:rsidR="00D91907" w:rsidRPr="00D91907" w:rsidRDefault="00D91907" w:rsidP="00D91907">
      <w:pPr>
        <w:pStyle w:val="NormalNumbered"/>
        <w:spacing w:after="0"/>
        <w:ind w:left="360"/>
      </w:pPr>
    </w:p>
    <w:p w14:paraId="0A3A5C6A" w14:textId="77777777" w:rsidR="00D91907" w:rsidRPr="00D91907" w:rsidRDefault="00E43D78" w:rsidP="00D91907">
      <w:pPr>
        <w:pStyle w:val="NormalNumbered"/>
        <w:numPr>
          <w:ilvl w:val="0"/>
          <w:numId w:val="37"/>
        </w:numPr>
      </w:pPr>
      <w:r w:rsidRPr="00D91907">
        <w:rPr>
          <w:bCs/>
          <w:iCs/>
          <w:sz w:val="24"/>
        </w:rPr>
        <w:t>The Council considered that the SMSE to be assessed in the review should comprise information:</w:t>
      </w:r>
    </w:p>
    <w:p w14:paraId="17670C38" w14:textId="77777777" w:rsidR="00D91907" w:rsidRDefault="00D91907" w:rsidP="00D91907">
      <w:pPr>
        <w:numPr>
          <w:ilvl w:val="1"/>
          <w:numId w:val="37"/>
        </w:numPr>
        <w:spacing w:line="360" w:lineRule="auto"/>
        <w:rPr>
          <w:rFonts w:ascii="Calibri" w:hAnsi="Calibri"/>
          <w:sz w:val="24"/>
        </w:rPr>
      </w:pPr>
      <w:r w:rsidRPr="00514D29">
        <w:rPr>
          <w:rFonts w:ascii="Calibri" w:hAnsi="Calibri"/>
          <w:sz w:val="24"/>
        </w:rPr>
        <w:t xml:space="preserve">that was available to the RMA at the relevant times; </w:t>
      </w:r>
    </w:p>
    <w:p w14:paraId="0144ABD5" w14:textId="77777777" w:rsidR="00D91907" w:rsidRDefault="00D91907" w:rsidP="00D91907">
      <w:pPr>
        <w:numPr>
          <w:ilvl w:val="2"/>
          <w:numId w:val="37"/>
        </w:numPr>
        <w:spacing w:line="360" w:lineRule="auto"/>
        <w:rPr>
          <w:rFonts w:ascii="Calibri" w:hAnsi="Calibri"/>
          <w:sz w:val="24"/>
        </w:rPr>
      </w:pPr>
      <w:r w:rsidRPr="00D91907">
        <w:rPr>
          <w:rFonts w:ascii="Calibri" w:hAnsi="Calibri"/>
          <w:sz w:val="24"/>
        </w:rPr>
        <w:t xml:space="preserve">which was sent by the RMA to the Council under section 196K of the VEA; </w:t>
      </w:r>
    </w:p>
    <w:p w14:paraId="065246E3" w14:textId="4280CC8A" w:rsidR="00D91907" w:rsidRPr="00D91907" w:rsidRDefault="00D91907" w:rsidP="00D91907">
      <w:pPr>
        <w:numPr>
          <w:ilvl w:val="2"/>
          <w:numId w:val="37"/>
        </w:numPr>
        <w:spacing w:line="360" w:lineRule="auto"/>
        <w:rPr>
          <w:rFonts w:ascii="Calibri" w:hAnsi="Calibri"/>
          <w:sz w:val="24"/>
        </w:rPr>
      </w:pPr>
      <w:r w:rsidRPr="00D91907">
        <w:rPr>
          <w:rFonts w:ascii="Calibri" w:hAnsi="Calibri"/>
          <w:sz w:val="24"/>
        </w:rPr>
        <w:t>which was considered by the Council to be SMSE as defined in section 5AB(2) of the VEA being information which:</w:t>
      </w:r>
    </w:p>
    <w:p w14:paraId="1D762AE3" w14:textId="77777777" w:rsidR="00D91907" w:rsidRPr="00514D29" w:rsidRDefault="00D91907" w:rsidP="00D91907">
      <w:pPr>
        <w:numPr>
          <w:ilvl w:val="1"/>
          <w:numId w:val="37"/>
        </w:numPr>
        <w:spacing w:line="360" w:lineRule="auto"/>
        <w:rPr>
          <w:rFonts w:ascii="Calibri" w:hAnsi="Calibri"/>
          <w:sz w:val="24"/>
        </w:rPr>
      </w:pPr>
      <w:r w:rsidRPr="00514D29">
        <w:rPr>
          <w:rFonts w:ascii="Calibri" w:hAnsi="Calibri"/>
          <w:sz w:val="24"/>
        </w:rPr>
        <w:t>epidemiologists would consider appropriate to take into account; and</w:t>
      </w:r>
    </w:p>
    <w:p w14:paraId="595817B0" w14:textId="77777777" w:rsidR="00D91907" w:rsidRPr="003606A5" w:rsidRDefault="00D91907" w:rsidP="00D91907">
      <w:pPr>
        <w:numPr>
          <w:ilvl w:val="1"/>
          <w:numId w:val="37"/>
        </w:numPr>
        <w:spacing w:line="360" w:lineRule="auto"/>
        <w:rPr>
          <w:rFonts w:ascii="Calibri" w:hAnsi="Calibri"/>
          <w:sz w:val="24"/>
        </w:rPr>
      </w:pPr>
      <w:r w:rsidRPr="00514D29">
        <w:rPr>
          <w:rFonts w:ascii="Calibri" w:hAnsi="Calibri"/>
          <w:sz w:val="24"/>
        </w:rPr>
        <w:lastRenderedPageBreak/>
        <w:t xml:space="preserve">in the Council's view 'touches on' (is relevant to) matters within the scope of review. </w:t>
      </w:r>
    </w:p>
    <w:p w14:paraId="76AFD85A" w14:textId="77777777" w:rsidR="00D91907" w:rsidRPr="00D91907" w:rsidRDefault="00D91907" w:rsidP="00D91907">
      <w:pPr>
        <w:pStyle w:val="NormalNumbered"/>
        <w:ind w:left="360"/>
      </w:pPr>
    </w:p>
    <w:p w14:paraId="750089FE" w14:textId="77777777" w:rsidR="00D91907" w:rsidRPr="00D91907" w:rsidRDefault="00E43D78" w:rsidP="00D91907">
      <w:pPr>
        <w:pStyle w:val="NormalNumbered"/>
        <w:numPr>
          <w:ilvl w:val="0"/>
          <w:numId w:val="37"/>
        </w:numPr>
      </w:pPr>
      <w:r w:rsidRPr="00D91907">
        <w:rPr>
          <w:sz w:val="24"/>
        </w:rPr>
        <w:t>The Council's final decision on the SMSE for the review was that it should comprise the information referenced in these Reasons.</w:t>
      </w:r>
    </w:p>
    <w:p w14:paraId="602BAF78" w14:textId="77777777" w:rsidR="00D91907" w:rsidRPr="00D91907" w:rsidRDefault="00E43D78" w:rsidP="00D91907">
      <w:pPr>
        <w:pStyle w:val="NormalNumbered"/>
        <w:numPr>
          <w:ilvl w:val="0"/>
          <w:numId w:val="37"/>
        </w:numPr>
        <w:spacing w:after="0"/>
      </w:pPr>
      <w:r w:rsidRPr="00D91907">
        <w:rPr>
          <w:color w:val="000000" w:themeColor="text1"/>
          <w:sz w:val="24"/>
        </w:rPr>
        <w:t xml:space="preserve">Information, which the RMA advised was not available to it at the relevant times, was not taken into account by the Council for the purposes of the review, as it could only be considered as 'new information’. </w:t>
      </w:r>
      <w:bookmarkEnd w:id="33"/>
      <w:bookmarkEnd w:id="34"/>
      <w:bookmarkEnd w:id="35"/>
    </w:p>
    <w:p w14:paraId="5F765914" w14:textId="646414C9" w:rsidR="00D91907" w:rsidRPr="00D91907" w:rsidRDefault="00D91907" w:rsidP="00D91907">
      <w:pPr>
        <w:pStyle w:val="Heading2"/>
        <w:spacing w:after="240"/>
      </w:pPr>
      <w:bookmarkStart w:id="40" w:name="_Toc523910173"/>
      <w:bookmarkStart w:id="41" w:name="_Toc524600784"/>
      <w:r w:rsidRPr="00A91E23">
        <w:t>Council’s Evaluation of the SMSE</w:t>
      </w:r>
      <w:bookmarkEnd w:id="40"/>
      <w:bookmarkEnd w:id="41"/>
    </w:p>
    <w:p w14:paraId="1B801C54" w14:textId="77777777" w:rsidR="00D91907" w:rsidRPr="00D91907" w:rsidRDefault="00E43D78" w:rsidP="00D91907">
      <w:pPr>
        <w:pStyle w:val="NormalNumbered"/>
        <w:numPr>
          <w:ilvl w:val="0"/>
          <w:numId w:val="37"/>
        </w:numPr>
      </w:pPr>
      <w:r w:rsidRPr="00D91907">
        <w:rPr>
          <w:snapToGrid w:val="0"/>
          <w:color w:val="000000" w:themeColor="text1"/>
          <w:sz w:val="24"/>
        </w:rPr>
        <w:t xml:space="preserve">When evaluating the SMSE, the Council focussed on information relevant to the scope of the review and the list at </w:t>
      </w:r>
      <w:r w:rsidRPr="00D91907">
        <w:rPr>
          <w:b/>
          <w:snapToGrid w:val="0"/>
          <w:color w:val="000000" w:themeColor="text1"/>
          <w:sz w:val="24"/>
        </w:rPr>
        <w:t>B1 of Appendix B.</w:t>
      </w:r>
    </w:p>
    <w:p w14:paraId="3E6D7C03" w14:textId="77777777" w:rsidR="00D91907" w:rsidRPr="00D91907" w:rsidRDefault="00E43D78" w:rsidP="00D91907">
      <w:pPr>
        <w:pStyle w:val="NormalNumbered"/>
        <w:numPr>
          <w:ilvl w:val="0"/>
          <w:numId w:val="37"/>
        </w:numPr>
      </w:pPr>
      <w:r w:rsidRPr="00D91907">
        <w:rPr>
          <w:color w:val="000000" w:themeColor="text1"/>
          <w:sz w:val="24"/>
        </w:rPr>
        <w:t>In forming its decisions on the SMSE, the Council brought to bear its scientific expertise and judgement. The Bradford Hill criteria, the NHMRC levels of evidence</w:t>
      </w:r>
      <w:r w:rsidR="00533C9B" w:rsidRPr="00D91907">
        <w:rPr>
          <w:color w:val="000000" w:themeColor="text1"/>
          <w:sz w:val="24"/>
        </w:rPr>
        <w:t>,</w:t>
      </w:r>
      <w:r w:rsidRPr="00A91E23">
        <w:rPr>
          <w:rStyle w:val="FootnoteReference"/>
          <w:color w:val="000000" w:themeColor="text1"/>
        </w:rPr>
        <w:footnoteReference w:id="3"/>
      </w:r>
      <w:r w:rsidRPr="00D91907">
        <w:rPr>
          <w:color w:val="000000" w:themeColor="text1"/>
          <w:sz w:val="24"/>
        </w:rPr>
        <w:t xml:space="preserve"> and other tools or criteria appropriate to be taken into account by epidemiologists were applied to the articles under review.</w:t>
      </w:r>
    </w:p>
    <w:p w14:paraId="6BDC2E6A" w14:textId="77777777" w:rsidR="00D91907" w:rsidRPr="00D91907" w:rsidRDefault="00E43D78" w:rsidP="00EB354B">
      <w:pPr>
        <w:pStyle w:val="NormalNumbered"/>
        <w:numPr>
          <w:ilvl w:val="0"/>
          <w:numId w:val="37"/>
        </w:numPr>
        <w:spacing w:after="0"/>
      </w:pPr>
      <w:r w:rsidRPr="00D91907">
        <w:rPr>
          <w:color w:val="000000" w:themeColor="text1"/>
          <w:sz w:val="24"/>
        </w:rPr>
        <w:t xml:space="preserve">For ease of reference, the Bradford Hill criteria (noting </w:t>
      </w:r>
      <w:r w:rsidRPr="00D91907">
        <w:rPr>
          <w:sz w:val="24"/>
        </w:rPr>
        <w:t xml:space="preserve">that these are not exhaustive) are: </w:t>
      </w:r>
    </w:p>
    <w:p w14:paraId="464DDBB4" w14:textId="77777777" w:rsidR="00D91907" w:rsidRPr="00395532" w:rsidRDefault="00D91907" w:rsidP="00D91907">
      <w:pPr>
        <w:numPr>
          <w:ilvl w:val="1"/>
          <w:numId w:val="37"/>
        </w:numPr>
        <w:rPr>
          <w:rFonts w:ascii="Calibri" w:hAnsi="Calibri"/>
          <w:sz w:val="24"/>
        </w:rPr>
      </w:pPr>
      <w:r w:rsidRPr="00395532">
        <w:rPr>
          <w:rFonts w:ascii="Calibri" w:hAnsi="Calibri"/>
          <w:sz w:val="24"/>
        </w:rPr>
        <w:t>strength of association</w:t>
      </w:r>
    </w:p>
    <w:p w14:paraId="33F2630E" w14:textId="77777777" w:rsidR="00D91907" w:rsidRPr="00395532" w:rsidRDefault="00D91907" w:rsidP="00D91907">
      <w:pPr>
        <w:numPr>
          <w:ilvl w:val="1"/>
          <w:numId w:val="37"/>
        </w:numPr>
        <w:rPr>
          <w:rFonts w:ascii="Calibri" w:hAnsi="Calibri"/>
          <w:sz w:val="24"/>
        </w:rPr>
      </w:pPr>
      <w:r w:rsidRPr="00395532">
        <w:rPr>
          <w:rFonts w:ascii="Calibri" w:hAnsi="Calibri"/>
          <w:sz w:val="24"/>
        </w:rPr>
        <w:t>consistency across investigation</w:t>
      </w:r>
    </w:p>
    <w:p w14:paraId="74CEE1AE" w14:textId="77777777" w:rsidR="00D91907" w:rsidRPr="00395532" w:rsidRDefault="00D91907" w:rsidP="00D91907">
      <w:pPr>
        <w:numPr>
          <w:ilvl w:val="1"/>
          <w:numId w:val="37"/>
        </w:numPr>
        <w:rPr>
          <w:rFonts w:ascii="Calibri" w:hAnsi="Calibri"/>
          <w:sz w:val="24"/>
        </w:rPr>
      </w:pPr>
      <w:r w:rsidRPr="00395532">
        <w:rPr>
          <w:rFonts w:ascii="Calibri" w:hAnsi="Calibri"/>
          <w:sz w:val="24"/>
        </w:rPr>
        <w:t>specificity of the association</w:t>
      </w:r>
    </w:p>
    <w:p w14:paraId="3FB4C8FF" w14:textId="77777777" w:rsidR="00D91907" w:rsidRPr="00395532" w:rsidRDefault="00D91907" w:rsidP="00D91907">
      <w:pPr>
        <w:numPr>
          <w:ilvl w:val="1"/>
          <w:numId w:val="37"/>
        </w:numPr>
        <w:rPr>
          <w:rFonts w:ascii="Calibri" w:hAnsi="Calibri"/>
          <w:sz w:val="24"/>
        </w:rPr>
      </w:pPr>
      <w:r w:rsidRPr="00395532">
        <w:rPr>
          <w:rFonts w:ascii="Calibri" w:hAnsi="Calibri"/>
          <w:sz w:val="24"/>
        </w:rPr>
        <w:t>temporal relationship of the association</w:t>
      </w:r>
    </w:p>
    <w:p w14:paraId="158FB0FC" w14:textId="77777777" w:rsidR="00D91907" w:rsidRPr="00395532" w:rsidRDefault="00D91907" w:rsidP="00D91907">
      <w:pPr>
        <w:numPr>
          <w:ilvl w:val="1"/>
          <w:numId w:val="37"/>
        </w:numPr>
        <w:rPr>
          <w:rFonts w:ascii="Calibri" w:hAnsi="Calibri"/>
          <w:sz w:val="24"/>
        </w:rPr>
      </w:pPr>
      <w:r w:rsidRPr="00395532">
        <w:rPr>
          <w:rFonts w:ascii="Calibri" w:hAnsi="Calibri"/>
          <w:sz w:val="24"/>
        </w:rPr>
        <w:t>biological gradient</w:t>
      </w:r>
    </w:p>
    <w:p w14:paraId="44857EED" w14:textId="77777777" w:rsidR="00D91907" w:rsidRPr="00395532" w:rsidRDefault="00D91907" w:rsidP="00D91907">
      <w:pPr>
        <w:numPr>
          <w:ilvl w:val="1"/>
          <w:numId w:val="37"/>
        </w:numPr>
        <w:rPr>
          <w:rFonts w:ascii="Calibri" w:hAnsi="Calibri"/>
          <w:sz w:val="24"/>
        </w:rPr>
      </w:pPr>
      <w:r w:rsidRPr="00395532">
        <w:rPr>
          <w:rFonts w:ascii="Calibri" w:hAnsi="Calibri"/>
          <w:sz w:val="24"/>
        </w:rPr>
        <w:t>biological plausibility</w:t>
      </w:r>
    </w:p>
    <w:p w14:paraId="50631999" w14:textId="77777777" w:rsidR="00D91907" w:rsidRPr="00395532" w:rsidRDefault="00D91907" w:rsidP="00D91907">
      <w:pPr>
        <w:numPr>
          <w:ilvl w:val="1"/>
          <w:numId w:val="37"/>
        </w:numPr>
        <w:rPr>
          <w:rFonts w:ascii="Calibri" w:hAnsi="Calibri"/>
          <w:sz w:val="24"/>
        </w:rPr>
      </w:pPr>
      <w:r w:rsidRPr="00395532">
        <w:rPr>
          <w:rFonts w:ascii="Calibri" w:hAnsi="Calibri"/>
          <w:sz w:val="24"/>
        </w:rPr>
        <w:t>coherence</w:t>
      </w:r>
    </w:p>
    <w:p w14:paraId="04D9D1B6" w14:textId="77777777" w:rsidR="00D91907" w:rsidRPr="00395532" w:rsidRDefault="00D91907" w:rsidP="00D91907">
      <w:pPr>
        <w:numPr>
          <w:ilvl w:val="1"/>
          <w:numId w:val="37"/>
        </w:numPr>
        <w:rPr>
          <w:rFonts w:ascii="Calibri" w:hAnsi="Calibri"/>
          <w:sz w:val="24"/>
        </w:rPr>
      </w:pPr>
      <w:r w:rsidRPr="00395532">
        <w:rPr>
          <w:rFonts w:ascii="Calibri" w:hAnsi="Calibri"/>
          <w:sz w:val="24"/>
        </w:rPr>
        <w:t>experiment</w:t>
      </w:r>
    </w:p>
    <w:p w14:paraId="334EDF67" w14:textId="77777777" w:rsidR="00D91907" w:rsidRPr="00395532" w:rsidRDefault="00D91907" w:rsidP="00D91907">
      <w:pPr>
        <w:numPr>
          <w:ilvl w:val="1"/>
          <w:numId w:val="37"/>
        </w:numPr>
        <w:spacing w:after="240" w:line="276" w:lineRule="auto"/>
        <w:rPr>
          <w:rFonts w:ascii="Calibri" w:hAnsi="Calibri"/>
          <w:sz w:val="24"/>
        </w:rPr>
      </w:pPr>
      <w:r w:rsidRPr="00395532">
        <w:rPr>
          <w:rFonts w:ascii="Calibri" w:hAnsi="Calibri"/>
          <w:sz w:val="24"/>
        </w:rPr>
        <w:t>analogy</w:t>
      </w:r>
    </w:p>
    <w:p w14:paraId="49B88186" w14:textId="77777777" w:rsidR="00D91907" w:rsidRPr="00D91907" w:rsidRDefault="00D91907" w:rsidP="00D91907">
      <w:pPr>
        <w:pStyle w:val="NormalNumbered"/>
        <w:ind w:left="360"/>
      </w:pPr>
    </w:p>
    <w:p w14:paraId="6D51FEA0" w14:textId="77777777" w:rsidR="00D91907" w:rsidRPr="00D91907" w:rsidRDefault="00E43D78" w:rsidP="00D91907">
      <w:pPr>
        <w:pStyle w:val="NormalNumbered"/>
        <w:numPr>
          <w:ilvl w:val="0"/>
          <w:numId w:val="37"/>
        </w:numPr>
      </w:pPr>
      <w:r w:rsidRPr="00D91907">
        <w:rPr>
          <w:snapToGrid w:val="0"/>
          <w:sz w:val="24"/>
        </w:rPr>
        <w:lastRenderedPageBreak/>
        <w:t xml:space="preserve">The Council noted that these criteria are not necessary conditions of a cause and effect relationship. They act to provide some circumstantial evidence of such a relationship. </w:t>
      </w:r>
    </w:p>
    <w:p w14:paraId="75AD8186" w14:textId="77777777" w:rsidR="00D91907" w:rsidRPr="00D91907" w:rsidRDefault="00E43D78" w:rsidP="00D91907">
      <w:pPr>
        <w:pStyle w:val="NormalNumbered"/>
        <w:numPr>
          <w:ilvl w:val="0"/>
          <w:numId w:val="37"/>
        </w:numPr>
      </w:pPr>
      <w:r w:rsidRPr="00D91907">
        <w:rPr>
          <w:sz w:val="24"/>
        </w:rPr>
        <w:t>When considering the scientific literature The Council took into account methodological limitations or flaws which impact on the validity and conclusions which can be drawn from the available body of published research. Of particular relevance are limitations in statistical power, failure to control for confounding variables (e.g concurrent use of other drugs), sampling / selection / response biases, inadequate drug exposure assessment methods, deficiencies in psychometric test procedures, and inadequate follow-up periods following drug cessation.</w:t>
      </w:r>
    </w:p>
    <w:p w14:paraId="20A564D3" w14:textId="77777777" w:rsidR="00D91907" w:rsidRPr="00D91907" w:rsidRDefault="00E43D78" w:rsidP="00D91907">
      <w:pPr>
        <w:pStyle w:val="NormalNumbered"/>
        <w:numPr>
          <w:ilvl w:val="0"/>
          <w:numId w:val="37"/>
        </w:numPr>
      </w:pPr>
      <w:r w:rsidRPr="00D91907">
        <w:rPr>
          <w:snapToGrid w:val="0"/>
          <w:sz w:val="24"/>
        </w:rPr>
        <w:t xml:space="preserve">The Council considered that while </w:t>
      </w:r>
      <w:r w:rsidRPr="00D91907">
        <w:rPr>
          <w:b/>
          <w:snapToGrid w:val="0"/>
          <w:sz w:val="24"/>
        </w:rPr>
        <w:t>animal studies</w:t>
      </w:r>
      <w:r w:rsidRPr="00D91907">
        <w:rPr>
          <w:snapToGrid w:val="0"/>
          <w:sz w:val="24"/>
        </w:rPr>
        <w:t xml:space="preserve"> may sometimes support the biological plausibility of an association, the results from animal studies may not be generalisable to humans due in part to the extremely high doses of drug typically used. At best animal studies may be used as initial research to generate hypotheses, which may indicate a need for further studies on human subjects or to demonstrate possible biological mechanisms. For this reason, the Council focussed on studies that involved human subjects rather than animals.</w:t>
      </w:r>
    </w:p>
    <w:p w14:paraId="2EF352EC" w14:textId="77777777" w:rsidR="00D91907" w:rsidRPr="00D91907" w:rsidRDefault="00E43D78" w:rsidP="00D91907">
      <w:pPr>
        <w:pStyle w:val="NormalNumbered"/>
        <w:numPr>
          <w:ilvl w:val="0"/>
          <w:numId w:val="37"/>
        </w:numPr>
        <w:spacing w:after="0"/>
      </w:pPr>
      <w:r w:rsidRPr="00D91907">
        <w:rPr>
          <w:snapToGrid w:val="0"/>
          <w:sz w:val="24"/>
        </w:rPr>
        <w:t xml:space="preserve">The Council ordered papers by study type in reference to the levels of evidence recommended by the NHMRC. The order was from highest quality (meta-analysis or systematic review) to lowest quality (case series). </w:t>
      </w:r>
    </w:p>
    <w:p w14:paraId="501BD075" w14:textId="1586321C" w:rsidR="00D91907" w:rsidRPr="00D91907" w:rsidRDefault="00D91907" w:rsidP="00D91907">
      <w:pPr>
        <w:pStyle w:val="Heading2"/>
        <w:spacing w:after="240"/>
        <w:rPr>
          <w:snapToGrid w:val="0"/>
        </w:rPr>
      </w:pPr>
      <w:bookmarkStart w:id="42" w:name="_Toc523910174"/>
      <w:bookmarkStart w:id="43" w:name="_Toc524600785"/>
      <w:r>
        <w:rPr>
          <w:snapToGrid w:val="0"/>
        </w:rPr>
        <w:t xml:space="preserve">Definition of </w:t>
      </w:r>
      <w:r w:rsidRPr="00983990">
        <w:rPr>
          <w:snapToGrid w:val="0"/>
        </w:rPr>
        <w:t>Chemically-acquired brain injury</w:t>
      </w:r>
      <w:bookmarkEnd w:id="42"/>
      <w:bookmarkEnd w:id="43"/>
    </w:p>
    <w:p w14:paraId="603B9EE4" w14:textId="47C0F24A" w:rsidR="00E43D78" w:rsidRPr="00D91907" w:rsidRDefault="00E43D78" w:rsidP="00D91907">
      <w:pPr>
        <w:pStyle w:val="NormalNumbered"/>
        <w:numPr>
          <w:ilvl w:val="0"/>
          <w:numId w:val="37"/>
        </w:numPr>
      </w:pPr>
      <w:r w:rsidRPr="00D91907">
        <w:rPr>
          <w:sz w:val="24"/>
          <w:szCs w:val="24"/>
        </w:rPr>
        <w:t>In relation to the issue of the definition of, and terms used as synonyms for, Acquired Brain Injury (</w:t>
      </w:r>
      <w:r w:rsidRPr="00D91907">
        <w:rPr>
          <w:b/>
          <w:sz w:val="24"/>
          <w:szCs w:val="24"/>
        </w:rPr>
        <w:t>ABI</w:t>
      </w:r>
      <w:r w:rsidRPr="00D91907">
        <w:rPr>
          <w:sz w:val="24"/>
          <w:szCs w:val="24"/>
        </w:rPr>
        <w:t>) and Chemically-Acquired Brain Injury (</w:t>
      </w:r>
      <w:r w:rsidRPr="00D91907">
        <w:rPr>
          <w:b/>
          <w:sz w:val="24"/>
          <w:szCs w:val="24"/>
        </w:rPr>
        <w:t>CABI</w:t>
      </w:r>
      <w:r w:rsidRPr="00D91907">
        <w:rPr>
          <w:sz w:val="24"/>
          <w:szCs w:val="24"/>
        </w:rPr>
        <w:t>), the Council noted the following:</w:t>
      </w:r>
    </w:p>
    <w:p w14:paraId="6A4B6A5D" w14:textId="33F24FB6" w:rsidR="00E43D78" w:rsidRPr="00D238AC" w:rsidRDefault="00E43D78" w:rsidP="00144130">
      <w:pPr>
        <w:pStyle w:val="NormalNumbered"/>
        <w:numPr>
          <w:ilvl w:val="0"/>
          <w:numId w:val="24"/>
        </w:numPr>
        <w:spacing w:after="0"/>
        <w:rPr>
          <w:snapToGrid w:val="0"/>
          <w:sz w:val="24"/>
          <w:szCs w:val="24"/>
        </w:rPr>
      </w:pPr>
      <w:r w:rsidRPr="002F774F">
        <w:rPr>
          <w:sz w:val="24"/>
          <w:szCs w:val="24"/>
        </w:rPr>
        <w:t>in the scientific literature,</w:t>
      </w:r>
      <w:r w:rsidRPr="00552781">
        <w:rPr>
          <w:sz w:val="24"/>
          <w:szCs w:val="24"/>
        </w:rPr>
        <w:t xml:space="preserve"> </w:t>
      </w:r>
      <w:r w:rsidRPr="002F774F">
        <w:rPr>
          <w:sz w:val="24"/>
          <w:szCs w:val="24"/>
        </w:rPr>
        <w:t>definitions of ABI vary considerably</w:t>
      </w:r>
      <w:r w:rsidR="00144130">
        <w:rPr>
          <w:sz w:val="24"/>
          <w:szCs w:val="24"/>
        </w:rPr>
        <w:t xml:space="preserve">. </w:t>
      </w:r>
      <w:r>
        <w:rPr>
          <w:sz w:val="24"/>
          <w:szCs w:val="24"/>
        </w:rPr>
        <w:t xml:space="preserve">However, it </w:t>
      </w:r>
      <w:r w:rsidRPr="002F774F">
        <w:rPr>
          <w:sz w:val="24"/>
          <w:szCs w:val="24"/>
        </w:rPr>
        <w:t>is generally accepted that</w:t>
      </w:r>
      <w:r>
        <w:rPr>
          <w:sz w:val="24"/>
          <w:szCs w:val="24"/>
        </w:rPr>
        <w:t xml:space="preserve"> ABI:</w:t>
      </w:r>
    </w:p>
    <w:p w14:paraId="6A3C744F" w14:textId="77777777" w:rsidR="00E43D78" w:rsidRPr="00D238AC" w:rsidRDefault="00E43D78" w:rsidP="00144130">
      <w:pPr>
        <w:pStyle w:val="NormalNumbered"/>
        <w:numPr>
          <w:ilvl w:val="2"/>
          <w:numId w:val="24"/>
        </w:numPr>
        <w:spacing w:after="0"/>
        <w:rPr>
          <w:snapToGrid w:val="0"/>
          <w:sz w:val="24"/>
          <w:szCs w:val="24"/>
        </w:rPr>
      </w:pPr>
      <w:r w:rsidRPr="002F774F">
        <w:rPr>
          <w:sz w:val="24"/>
          <w:szCs w:val="24"/>
        </w:rPr>
        <w:lastRenderedPageBreak/>
        <w:t>is an umbrella term which encompasses injuries and conditions of varying aetiology occurring after birth which result in brain damage</w:t>
      </w:r>
      <w:r>
        <w:rPr>
          <w:sz w:val="24"/>
          <w:szCs w:val="24"/>
        </w:rPr>
        <w:t>; and</w:t>
      </w:r>
    </w:p>
    <w:p w14:paraId="2C46E493" w14:textId="77777777" w:rsidR="00E43D78" w:rsidRPr="00D238AC" w:rsidRDefault="00E43D78" w:rsidP="00144130">
      <w:pPr>
        <w:pStyle w:val="NormalNumbered"/>
        <w:numPr>
          <w:ilvl w:val="2"/>
          <w:numId w:val="24"/>
        </w:numPr>
        <w:spacing w:after="0"/>
        <w:rPr>
          <w:snapToGrid w:val="0"/>
          <w:sz w:val="24"/>
          <w:szCs w:val="24"/>
        </w:rPr>
      </w:pPr>
      <w:r>
        <w:rPr>
          <w:sz w:val="24"/>
          <w:szCs w:val="24"/>
        </w:rPr>
        <w:t>carries a significant risk of a deterioration in cognitive, physical, emotional or independent functioning</w:t>
      </w:r>
      <w:r w:rsidRPr="002F774F">
        <w:rPr>
          <w:sz w:val="24"/>
          <w:szCs w:val="24"/>
        </w:rPr>
        <w:t>;</w:t>
      </w:r>
    </w:p>
    <w:p w14:paraId="36BBA821" w14:textId="77777777" w:rsidR="00E43D78" w:rsidRPr="00D238AC" w:rsidRDefault="00E43D78" w:rsidP="00144130">
      <w:pPr>
        <w:pStyle w:val="NormalNumbered"/>
        <w:numPr>
          <w:ilvl w:val="0"/>
          <w:numId w:val="24"/>
        </w:numPr>
        <w:spacing w:after="0"/>
        <w:rPr>
          <w:snapToGrid w:val="0"/>
          <w:sz w:val="24"/>
          <w:szCs w:val="24"/>
        </w:rPr>
      </w:pPr>
      <w:r>
        <w:rPr>
          <w:sz w:val="24"/>
          <w:szCs w:val="24"/>
        </w:rPr>
        <w:t xml:space="preserve">in the available information for this review, ABI and CABI have not been clearly </w:t>
      </w:r>
      <w:r w:rsidRPr="00EA192E">
        <w:rPr>
          <w:sz w:val="24"/>
          <w:szCs w:val="24"/>
        </w:rPr>
        <w:t>defined nor consistently applied,</w:t>
      </w:r>
      <w:r>
        <w:rPr>
          <w:sz w:val="24"/>
          <w:szCs w:val="24"/>
        </w:rPr>
        <w:t xml:space="preserve"> and various terms have been used. Of note are the following:</w:t>
      </w:r>
    </w:p>
    <w:p w14:paraId="582DD3D3" w14:textId="3B397551" w:rsidR="00E43D78" w:rsidRPr="00D238AC" w:rsidRDefault="00E43D78" w:rsidP="00E43D78">
      <w:pPr>
        <w:pStyle w:val="NormalNumbered"/>
        <w:numPr>
          <w:ilvl w:val="2"/>
          <w:numId w:val="24"/>
        </w:numPr>
        <w:spacing w:after="0"/>
        <w:rPr>
          <w:snapToGrid w:val="0"/>
          <w:sz w:val="24"/>
          <w:szCs w:val="24"/>
        </w:rPr>
      </w:pPr>
      <w:r w:rsidRPr="004219EB">
        <w:rPr>
          <w:sz w:val="24"/>
          <w:szCs w:val="24"/>
        </w:rPr>
        <w:t xml:space="preserve">the RMA </w:t>
      </w:r>
      <w:r>
        <w:rPr>
          <w:sz w:val="24"/>
          <w:szCs w:val="24"/>
        </w:rPr>
        <w:t>did not</w:t>
      </w:r>
      <w:r w:rsidRPr="004219EB">
        <w:rPr>
          <w:sz w:val="24"/>
          <w:szCs w:val="24"/>
        </w:rPr>
        <w:t xml:space="preserve"> provide a case definition for CABI and different terminology (e.g., chronic brain injury</w:t>
      </w:r>
      <w:r>
        <w:rPr>
          <w:sz w:val="24"/>
          <w:szCs w:val="24"/>
        </w:rPr>
        <w:t>;</w:t>
      </w:r>
      <w:r w:rsidRPr="004219EB">
        <w:rPr>
          <w:sz w:val="24"/>
          <w:szCs w:val="24"/>
        </w:rPr>
        <w:t xml:space="preserve"> chronic toxic encephalopathy)</w:t>
      </w:r>
      <w:r>
        <w:rPr>
          <w:sz w:val="24"/>
          <w:szCs w:val="24"/>
        </w:rPr>
        <w:t xml:space="preserve"> was used</w:t>
      </w:r>
      <w:r w:rsidR="00CF286B">
        <w:rPr>
          <w:sz w:val="24"/>
          <w:szCs w:val="24"/>
        </w:rPr>
        <w:t xml:space="preserve"> in</w:t>
      </w:r>
      <w:r>
        <w:rPr>
          <w:sz w:val="24"/>
          <w:szCs w:val="24"/>
        </w:rPr>
        <w:t xml:space="preserve"> the RMA’s S</w:t>
      </w:r>
      <w:r w:rsidRPr="004219EB">
        <w:rPr>
          <w:sz w:val="24"/>
          <w:szCs w:val="24"/>
        </w:rPr>
        <w:t xml:space="preserve">tatement of </w:t>
      </w:r>
      <w:r>
        <w:rPr>
          <w:sz w:val="24"/>
          <w:szCs w:val="24"/>
        </w:rPr>
        <w:t>R</w:t>
      </w:r>
      <w:r w:rsidRPr="004219EB">
        <w:rPr>
          <w:sz w:val="24"/>
          <w:szCs w:val="24"/>
        </w:rPr>
        <w:t>easons</w:t>
      </w:r>
      <w:r>
        <w:rPr>
          <w:sz w:val="24"/>
          <w:szCs w:val="24"/>
        </w:rPr>
        <w:t>;</w:t>
      </w:r>
    </w:p>
    <w:p w14:paraId="71243DAF" w14:textId="77777777" w:rsidR="00E43D78" w:rsidRPr="00D238AC" w:rsidRDefault="00E43D78" w:rsidP="00E43D78">
      <w:pPr>
        <w:pStyle w:val="NormalNumbered"/>
        <w:numPr>
          <w:ilvl w:val="2"/>
          <w:numId w:val="24"/>
        </w:numPr>
        <w:spacing w:after="0"/>
        <w:rPr>
          <w:snapToGrid w:val="0"/>
          <w:sz w:val="24"/>
          <w:szCs w:val="24"/>
        </w:rPr>
      </w:pPr>
      <w:r w:rsidRPr="002F774F">
        <w:rPr>
          <w:sz w:val="24"/>
          <w:szCs w:val="24"/>
        </w:rPr>
        <w:t xml:space="preserve">the submission </w:t>
      </w:r>
      <w:r>
        <w:rPr>
          <w:sz w:val="24"/>
          <w:szCs w:val="24"/>
        </w:rPr>
        <w:t>by</w:t>
      </w:r>
      <w:r w:rsidRPr="002F774F">
        <w:rPr>
          <w:sz w:val="24"/>
          <w:szCs w:val="24"/>
        </w:rPr>
        <w:t xml:space="preserve"> the Quinism Foundation considered CABI synonymous with “</w:t>
      </w:r>
      <w:r w:rsidRPr="003E26D2">
        <w:rPr>
          <w:i/>
          <w:sz w:val="24"/>
          <w:szCs w:val="24"/>
        </w:rPr>
        <w:t>chronic quinolone encephalopathy or neuropsychiatric quinism</w:t>
      </w:r>
      <w:r w:rsidRPr="002F774F">
        <w:rPr>
          <w:sz w:val="24"/>
          <w:szCs w:val="24"/>
        </w:rPr>
        <w:t>”</w:t>
      </w:r>
      <w:r>
        <w:rPr>
          <w:sz w:val="24"/>
          <w:szCs w:val="24"/>
        </w:rPr>
        <w:t xml:space="preserve"> </w:t>
      </w:r>
      <w:r w:rsidRPr="00D80C71">
        <w:rPr>
          <w:sz w:val="24"/>
        </w:rPr>
        <w:t>without providing specific descriptions or definition of the condition</w:t>
      </w:r>
      <w:r w:rsidRPr="002F774F">
        <w:rPr>
          <w:sz w:val="24"/>
          <w:szCs w:val="24"/>
        </w:rPr>
        <w:t xml:space="preserve">; </w:t>
      </w:r>
      <w:r>
        <w:rPr>
          <w:sz w:val="24"/>
          <w:szCs w:val="24"/>
        </w:rPr>
        <w:t>and</w:t>
      </w:r>
    </w:p>
    <w:p w14:paraId="165F6254" w14:textId="77777777" w:rsidR="00E43D78" w:rsidRPr="00D238AC" w:rsidRDefault="00E43D78" w:rsidP="00E43D78">
      <w:pPr>
        <w:pStyle w:val="NormalNumbered"/>
        <w:numPr>
          <w:ilvl w:val="2"/>
          <w:numId w:val="24"/>
        </w:numPr>
        <w:spacing w:after="0"/>
        <w:rPr>
          <w:snapToGrid w:val="0"/>
          <w:sz w:val="24"/>
          <w:szCs w:val="24"/>
        </w:rPr>
      </w:pPr>
      <w:r w:rsidRPr="002F774F">
        <w:rPr>
          <w:sz w:val="24"/>
          <w:szCs w:val="24"/>
        </w:rPr>
        <w:t>the submission by the Commission</w:t>
      </w:r>
      <w:r>
        <w:rPr>
          <w:sz w:val="24"/>
          <w:szCs w:val="24"/>
        </w:rPr>
        <w:t>s</w:t>
      </w:r>
      <w:r w:rsidRPr="002F774F">
        <w:rPr>
          <w:sz w:val="24"/>
          <w:szCs w:val="24"/>
        </w:rPr>
        <w:t xml:space="preserve"> referred to “</w:t>
      </w:r>
      <w:r w:rsidRPr="003E26D2">
        <w:rPr>
          <w:i/>
          <w:sz w:val="24"/>
          <w:szCs w:val="24"/>
        </w:rPr>
        <w:t>particular disease, injury or death related to exposure to particular anti-malarial drugs and manifesting as a discrete form of chronic neurotoxicity</w:t>
      </w:r>
      <w:r>
        <w:rPr>
          <w:sz w:val="24"/>
          <w:szCs w:val="24"/>
        </w:rPr>
        <w:t>”;</w:t>
      </w:r>
    </w:p>
    <w:p w14:paraId="644BFED0" w14:textId="4223CB13" w:rsidR="00E43D78" w:rsidRPr="008F1311" w:rsidRDefault="00E43D78" w:rsidP="00144130">
      <w:pPr>
        <w:pStyle w:val="NormalNumbered"/>
        <w:numPr>
          <w:ilvl w:val="0"/>
          <w:numId w:val="24"/>
        </w:numPr>
        <w:rPr>
          <w:snapToGrid w:val="0"/>
          <w:sz w:val="24"/>
          <w:szCs w:val="24"/>
        </w:rPr>
      </w:pPr>
      <w:r>
        <w:rPr>
          <w:sz w:val="24"/>
          <w:szCs w:val="24"/>
        </w:rPr>
        <w:t xml:space="preserve">in </w:t>
      </w:r>
      <w:r w:rsidRPr="00E74BEC">
        <w:rPr>
          <w:sz w:val="24"/>
          <w:szCs w:val="24"/>
        </w:rPr>
        <w:t>the most widely used classification system for psychiatric disorders</w:t>
      </w:r>
      <w:r>
        <w:rPr>
          <w:sz w:val="24"/>
          <w:szCs w:val="24"/>
        </w:rPr>
        <w:t>, the DSM-</w:t>
      </w:r>
      <w:r w:rsidRPr="00E74BEC">
        <w:rPr>
          <w:sz w:val="24"/>
          <w:szCs w:val="24"/>
        </w:rPr>
        <w:t>5</w:t>
      </w:r>
      <w:r>
        <w:rPr>
          <w:rStyle w:val="FootnoteReference"/>
          <w:sz w:val="24"/>
          <w:szCs w:val="24"/>
        </w:rPr>
        <w:footnoteReference w:id="4"/>
      </w:r>
      <w:r>
        <w:rPr>
          <w:sz w:val="24"/>
          <w:szCs w:val="24"/>
        </w:rPr>
        <w:t>,</w:t>
      </w:r>
      <w:r w:rsidRPr="00E74BEC">
        <w:rPr>
          <w:sz w:val="24"/>
          <w:szCs w:val="24"/>
        </w:rPr>
        <w:t xml:space="preserve"> </w:t>
      </w:r>
      <w:r>
        <w:rPr>
          <w:sz w:val="24"/>
          <w:szCs w:val="24"/>
        </w:rPr>
        <w:t>there is no specific reference to or diagnostic criteria for ABI/CABI</w:t>
      </w:r>
      <w:r w:rsidRPr="00E74BEC">
        <w:rPr>
          <w:sz w:val="24"/>
          <w:szCs w:val="24"/>
        </w:rPr>
        <w:t xml:space="preserve">. However, a number of generally accepted ABIs in which the primary deficit relates to cognitive impairment are referred to in the diagnostic criteria for “Mild and </w:t>
      </w:r>
      <w:r w:rsidR="00CB2EB0">
        <w:rPr>
          <w:sz w:val="24"/>
          <w:szCs w:val="24"/>
        </w:rPr>
        <w:t>Major Neurocognitive Disorders”. “S</w:t>
      </w:r>
      <w:r w:rsidRPr="00E74BEC">
        <w:rPr>
          <w:sz w:val="24"/>
          <w:szCs w:val="24"/>
        </w:rPr>
        <w:t xml:space="preserve">ubstance/medication use” </w:t>
      </w:r>
      <w:r>
        <w:rPr>
          <w:sz w:val="24"/>
          <w:szCs w:val="24"/>
        </w:rPr>
        <w:t xml:space="preserve">is </w:t>
      </w:r>
      <w:r w:rsidRPr="00E74BEC">
        <w:rPr>
          <w:sz w:val="24"/>
          <w:szCs w:val="24"/>
        </w:rPr>
        <w:t>specified as one of the aetiological subtypes</w:t>
      </w:r>
      <w:r>
        <w:rPr>
          <w:snapToGrid w:val="0"/>
          <w:sz w:val="24"/>
          <w:szCs w:val="24"/>
        </w:rPr>
        <w:t>.</w:t>
      </w:r>
    </w:p>
    <w:p w14:paraId="527B6AA5" w14:textId="77777777" w:rsidR="00E43D78" w:rsidRPr="00D238AC" w:rsidRDefault="00E43D78" w:rsidP="00C85043">
      <w:pPr>
        <w:pStyle w:val="NormalNumbered"/>
        <w:numPr>
          <w:ilvl w:val="0"/>
          <w:numId w:val="37"/>
        </w:numPr>
        <w:spacing w:after="0"/>
        <w:rPr>
          <w:snapToGrid w:val="0"/>
          <w:sz w:val="24"/>
          <w:szCs w:val="24"/>
        </w:rPr>
      </w:pPr>
      <w:r>
        <w:rPr>
          <w:sz w:val="24"/>
          <w:szCs w:val="24"/>
        </w:rPr>
        <w:t xml:space="preserve">This review was not an attempt to resolve issues relating to the definition of, and synonyms for, CABI/ABI. However, the Council has adopted the following definition of </w:t>
      </w:r>
      <w:r>
        <w:rPr>
          <w:sz w:val="24"/>
          <w:szCs w:val="24"/>
        </w:rPr>
        <w:lastRenderedPageBreak/>
        <w:t>CABI for the purpose of assessing whether, on the balance of probabilities, CABI is caused by mefloquine, tafenoquine or primaquine:</w:t>
      </w:r>
    </w:p>
    <w:p w14:paraId="4B0AF9E0" w14:textId="77777777" w:rsidR="00C85043" w:rsidRDefault="00E43D78" w:rsidP="00C85043">
      <w:pPr>
        <w:pStyle w:val="NormalNumbered"/>
        <w:ind w:left="720"/>
        <w:rPr>
          <w:i/>
          <w:sz w:val="24"/>
          <w:szCs w:val="24"/>
        </w:rPr>
      </w:pPr>
      <w:r w:rsidRPr="00D30D72">
        <w:rPr>
          <w:i/>
          <w:sz w:val="24"/>
          <w:szCs w:val="24"/>
        </w:rPr>
        <w:t>Objective</w:t>
      </w:r>
      <w:r>
        <w:rPr>
          <w:i/>
          <w:sz w:val="24"/>
          <w:szCs w:val="24"/>
        </w:rPr>
        <w:t>/sci</w:t>
      </w:r>
      <w:r w:rsidRPr="00D30D72">
        <w:rPr>
          <w:i/>
          <w:sz w:val="24"/>
          <w:szCs w:val="24"/>
        </w:rPr>
        <w:t xml:space="preserve">entific evidence of symptoms/changes in keeping with damage or injury to brain tissue as a direct consequence of, and specific to, use/exposure to </w:t>
      </w:r>
      <w:r>
        <w:rPr>
          <w:i/>
          <w:sz w:val="24"/>
          <w:szCs w:val="24"/>
        </w:rPr>
        <w:t>m</w:t>
      </w:r>
      <w:r w:rsidRPr="00D30D72">
        <w:rPr>
          <w:i/>
          <w:sz w:val="24"/>
          <w:szCs w:val="24"/>
        </w:rPr>
        <w:t xml:space="preserve">efloquine, </w:t>
      </w:r>
      <w:r>
        <w:rPr>
          <w:i/>
          <w:sz w:val="24"/>
          <w:szCs w:val="24"/>
        </w:rPr>
        <w:t>tafenoquine or</w:t>
      </w:r>
      <w:r w:rsidRPr="00D30D72">
        <w:rPr>
          <w:i/>
          <w:sz w:val="24"/>
          <w:szCs w:val="24"/>
        </w:rPr>
        <w:t xml:space="preserve"> </w:t>
      </w:r>
      <w:r>
        <w:rPr>
          <w:i/>
          <w:sz w:val="24"/>
          <w:szCs w:val="24"/>
        </w:rPr>
        <w:t>p</w:t>
      </w:r>
      <w:r w:rsidRPr="00D30D72">
        <w:rPr>
          <w:i/>
          <w:sz w:val="24"/>
          <w:szCs w:val="24"/>
        </w:rPr>
        <w:t>rimaquine</w:t>
      </w:r>
      <w:r>
        <w:rPr>
          <w:i/>
          <w:sz w:val="24"/>
          <w:szCs w:val="24"/>
        </w:rPr>
        <w:t>. These symptoms/changes</w:t>
      </w:r>
      <w:r w:rsidRPr="00D30D72">
        <w:rPr>
          <w:i/>
          <w:sz w:val="24"/>
          <w:szCs w:val="24"/>
        </w:rPr>
        <w:t xml:space="preserve"> are not better explained by t</w:t>
      </w:r>
      <w:r>
        <w:rPr>
          <w:i/>
          <w:sz w:val="24"/>
          <w:szCs w:val="24"/>
        </w:rPr>
        <w:t>he following: other psychiatric</w:t>
      </w:r>
      <w:r w:rsidRPr="00D30D72">
        <w:rPr>
          <w:i/>
          <w:sz w:val="24"/>
          <w:szCs w:val="24"/>
        </w:rPr>
        <w:t>/medical conditions; a premorbid condition and</w:t>
      </w:r>
      <w:r>
        <w:rPr>
          <w:i/>
          <w:sz w:val="24"/>
          <w:szCs w:val="24"/>
        </w:rPr>
        <w:t xml:space="preserve">/or </w:t>
      </w:r>
      <w:r w:rsidRPr="00D30D72">
        <w:rPr>
          <w:i/>
          <w:sz w:val="24"/>
          <w:szCs w:val="24"/>
        </w:rPr>
        <w:t>non-specific symptoms which are common in general population (non-clinical) samples.</w:t>
      </w:r>
    </w:p>
    <w:p w14:paraId="04D94828" w14:textId="7F20D69F" w:rsidR="00E43D78" w:rsidRPr="00C85043" w:rsidRDefault="00E43D78" w:rsidP="00C85043">
      <w:pPr>
        <w:pStyle w:val="NormalNumbered"/>
        <w:numPr>
          <w:ilvl w:val="0"/>
          <w:numId w:val="37"/>
        </w:numPr>
        <w:rPr>
          <w:i/>
          <w:sz w:val="24"/>
          <w:szCs w:val="24"/>
        </w:rPr>
      </w:pPr>
      <w:r w:rsidRPr="003768D6">
        <w:rPr>
          <w:sz w:val="24"/>
          <w:szCs w:val="24"/>
        </w:rPr>
        <w:t>The following are considered supportive, although not essential, in establishing, mefloquine</w:t>
      </w:r>
      <w:r>
        <w:rPr>
          <w:sz w:val="24"/>
          <w:szCs w:val="24"/>
        </w:rPr>
        <w:t>, tafenoquine and primaquine as an CABI  risk factor:</w:t>
      </w:r>
    </w:p>
    <w:p w14:paraId="1EB1D12B" w14:textId="77777777" w:rsidR="00E43D78" w:rsidRPr="008F3410" w:rsidRDefault="00E43D78" w:rsidP="003768D6">
      <w:pPr>
        <w:pStyle w:val="NormalNumbered"/>
        <w:numPr>
          <w:ilvl w:val="1"/>
          <w:numId w:val="45"/>
        </w:numPr>
        <w:spacing w:after="0" w:line="276" w:lineRule="auto"/>
        <w:rPr>
          <w:snapToGrid w:val="0"/>
          <w:sz w:val="24"/>
          <w:szCs w:val="24"/>
        </w:rPr>
      </w:pPr>
      <w:r>
        <w:rPr>
          <w:sz w:val="24"/>
          <w:szCs w:val="24"/>
        </w:rPr>
        <w:t>evidence of a dose-response relationship;</w:t>
      </w:r>
    </w:p>
    <w:p w14:paraId="26B21FA9" w14:textId="77777777" w:rsidR="00E43D78" w:rsidRPr="008F3410" w:rsidRDefault="00E43D78" w:rsidP="003768D6">
      <w:pPr>
        <w:pStyle w:val="NormalNumbered"/>
        <w:numPr>
          <w:ilvl w:val="1"/>
          <w:numId w:val="45"/>
        </w:numPr>
        <w:spacing w:after="0" w:line="276" w:lineRule="auto"/>
        <w:rPr>
          <w:snapToGrid w:val="0"/>
          <w:sz w:val="24"/>
          <w:szCs w:val="24"/>
        </w:rPr>
      </w:pPr>
      <w:r>
        <w:rPr>
          <w:sz w:val="24"/>
          <w:szCs w:val="24"/>
        </w:rPr>
        <w:t>evidence of brain injury/impairment on objective measures, including quantified clinical assessment, neuroimaging and standardised neuropsychological assessment;</w:t>
      </w:r>
    </w:p>
    <w:p w14:paraId="1A756359" w14:textId="77777777" w:rsidR="00E43D78" w:rsidRPr="008F3410" w:rsidRDefault="00E43D78" w:rsidP="003768D6">
      <w:pPr>
        <w:pStyle w:val="NormalNumbered"/>
        <w:numPr>
          <w:ilvl w:val="1"/>
          <w:numId w:val="45"/>
        </w:numPr>
        <w:spacing w:after="0" w:line="276" w:lineRule="auto"/>
        <w:rPr>
          <w:snapToGrid w:val="0"/>
          <w:sz w:val="24"/>
          <w:szCs w:val="24"/>
        </w:rPr>
      </w:pPr>
      <w:r>
        <w:rPr>
          <w:sz w:val="24"/>
          <w:szCs w:val="24"/>
        </w:rPr>
        <w:t>evidence of chronicity (i.e. persistence of symptoms/changes following cessation of drug exposure); and</w:t>
      </w:r>
    </w:p>
    <w:p w14:paraId="247115B7" w14:textId="77777777" w:rsidR="00E43D78" w:rsidRPr="008F1311" w:rsidRDefault="00E43D78" w:rsidP="003768D6">
      <w:pPr>
        <w:pStyle w:val="NormalNumbered"/>
        <w:numPr>
          <w:ilvl w:val="1"/>
          <w:numId w:val="45"/>
        </w:numPr>
        <w:spacing w:line="276" w:lineRule="auto"/>
        <w:rPr>
          <w:snapToGrid w:val="0"/>
          <w:sz w:val="24"/>
          <w:szCs w:val="24"/>
        </w:rPr>
      </w:pPr>
      <w:r>
        <w:rPr>
          <w:sz w:val="24"/>
          <w:szCs w:val="24"/>
        </w:rPr>
        <w:t>evidence of functional effects (at the body, person or functional level), particularly if chronic and/or severe.</w:t>
      </w:r>
    </w:p>
    <w:p w14:paraId="4FAB732A" w14:textId="77777777" w:rsidR="00C85043" w:rsidRDefault="00C85043" w:rsidP="00C85043">
      <w:pPr>
        <w:pStyle w:val="NormalNumbered"/>
        <w:numPr>
          <w:ilvl w:val="0"/>
          <w:numId w:val="37"/>
        </w:numPr>
        <w:rPr>
          <w:snapToGrid w:val="0"/>
          <w:sz w:val="28"/>
          <w:szCs w:val="24"/>
        </w:rPr>
      </w:pPr>
      <w:r>
        <w:rPr>
          <w:snapToGrid w:val="0"/>
          <w:sz w:val="24"/>
          <w:szCs w:val="24"/>
        </w:rPr>
        <w:t xml:space="preserve"> </w:t>
      </w:r>
      <w:r w:rsidR="00E43D78" w:rsidRPr="00523D6F">
        <w:rPr>
          <w:snapToGrid w:val="0"/>
          <w:sz w:val="24"/>
          <w:szCs w:val="24"/>
        </w:rPr>
        <w:t xml:space="preserve">The Council </w:t>
      </w:r>
      <w:r w:rsidR="00E43D78">
        <w:rPr>
          <w:snapToGrid w:val="0"/>
          <w:sz w:val="24"/>
          <w:szCs w:val="24"/>
        </w:rPr>
        <w:t xml:space="preserve">did not consider acute </w:t>
      </w:r>
      <w:r w:rsidR="00E43D78" w:rsidRPr="00523D6F">
        <w:rPr>
          <w:snapToGrid w:val="0"/>
          <w:sz w:val="24"/>
          <w:szCs w:val="24"/>
        </w:rPr>
        <w:t xml:space="preserve">psychiatric disorders </w:t>
      </w:r>
      <w:r w:rsidR="00E43D78">
        <w:rPr>
          <w:snapToGrid w:val="0"/>
          <w:sz w:val="24"/>
          <w:szCs w:val="24"/>
        </w:rPr>
        <w:t xml:space="preserve">(e.g. anxiety, psychosis) or neurological symptoms (seizures), which have been found to resolve following drug cessation, to be sufficient for the diagnosis of ABI.  The Council noted </w:t>
      </w:r>
      <w:r w:rsidR="00E43D78" w:rsidRPr="00523D6F">
        <w:rPr>
          <w:snapToGrid w:val="0"/>
          <w:sz w:val="24"/>
          <w:szCs w:val="24"/>
        </w:rPr>
        <w:t xml:space="preserve">that some elements of these disorders </w:t>
      </w:r>
      <w:r w:rsidR="00E43D78">
        <w:rPr>
          <w:snapToGrid w:val="0"/>
          <w:sz w:val="24"/>
          <w:szCs w:val="24"/>
        </w:rPr>
        <w:t xml:space="preserve">are covered by existing SoPs (see paragraphs </w:t>
      </w:r>
      <w:r w:rsidR="00E43D78" w:rsidRPr="00EA192E">
        <w:rPr>
          <w:snapToGrid w:val="0"/>
          <w:sz w:val="24"/>
          <w:szCs w:val="24"/>
        </w:rPr>
        <w:t>50 and 51).</w:t>
      </w:r>
    </w:p>
    <w:p w14:paraId="57F3A35B" w14:textId="77777777" w:rsidR="00C85043" w:rsidRDefault="00E43D78" w:rsidP="00C85043">
      <w:pPr>
        <w:pStyle w:val="NormalNumbered"/>
        <w:numPr>
          <w:ilvl w:val="0"/>
          <w:numId w:val="37"/>
        </w:numPr>
        <w:rPr>
          <w:snapToGrid w:val="0"/>
          <w:sz w:val="28"/>
          <w:szCs w:val="24"/>
        </w:rPr>
      </w:pPr>
      <w:r w:rsidRPr="00C85043">
        <w:rPr>
          <w:snapToGrid w:val="0"/>
          <w:sz w:val="24"/>
          <w:szCs w:val="24"/>
        </w:rPr>
        <w:t>The Council noted that the term ‘neuropsychiatric’ outcomes/events was used in a number of studies. This generally included various emotional and physical symptoms which are not specific to/diagnostic of ABI.</w:t>
      </w:r>
    </w:p>
    <w:p w14:paraId="42020B97" w14:textId="77777777" w:rsidR="00C85043" w:rsidRDefault="00E43D78" w:rsidP="00C85043">
      <w:pPr>
        <w:pStyle w:val="NormalNumbered"/>
        <w:numPr>
          <w:ilvl w:val="0"/>
          <w:numId w:val="37"/>
        </w:numPr>
        <w:rPr>
          <w:snapToGrid w:val="0"/>
          <w:sz w:val="28"/>
          <w:szCs w:val="24"/>
        </w:rPr>
      </w:pPr>
      <w:r w:rsidRPr="00C85043">
        <w:rPr>
          <w:snapToGrid w:val="0"/>
          <w:sz w:val="24"/>
          <w:szCs w:val="24"/>
        </w:rPr>
        <w:t>The Council noted that in some of the studies the outcomes were self-reported and non-specific, with symptoms such as headache, sleep disturbance and dizziness. These symptoms, which are common in the general population, as well as in a range of medical and psychiatric conditions, are insufficient for a diagnosis of ABI.</w:t>
      </w:r>
    </w:p>
    <w:p w14:paraId="3B5A8C46" w14:textId="77777777" w:rsidR="00C85043" w:rsidRPr="00C85043" w:rsidRDefault="00E43D78" w:rsidP="00C85043">
      <w:pPr>
        <w:pStyle w:val="NormalNumbered"/>
        <w:numPr>
          <w:ilvl w:val="0"/>
          <w:numId w:val="37"/>
        </w:numPr>
        <w:spacing w:after="0"/>
        <w:rPr>
          <w:snapToGrid w:val="0"/>
          <w:sz w:val="28"/>
          <w:szCs w:val="24"/>
        </w:rPr>
      </w:pPr>
      <w:r w:rsidRPr="00C85043">
        <w:rPr>
          <w:snapToGrid w:val="0"/>
          <w:sz w:val="24"/>
          <w:szCs w:val="24"/>
        </w:rPr>
        <w:lastRenderedPageBreak/>
        <w:t>The Council expressed concern about the use of the diagnosis P</w:t>
      </w:r>
      <w:r w:rsidR="00502C82" w:rsidRPr="00C85043">
        <w:rPr>
          <w:snapToGrid w:val="0"/>
          <w:sz w:val="24"/>
          <w:szCs w:val="24"/>
        </w:rPr>
        <w:t>osttraumatic Stres</w:t>
      </w:r>
      <w:r w:rsidRPr="00C85043">
        <w:rPr>
          <w:snapToGrid w:val="0"/>
          <w:sz w:val="24"/>
          <w:szCs w:val="24"/>
        </w:rPr>
        <w:t>s Disorder (PTSD) in some of the studies, noting that the term may be referring to putative trauma-induced mental health symptoms rather the tightly defined entity of PTSD (classified as Disorder 309.81 in DSM-5).</w:t>
      </w:r>
      <w:r w:rsidRPr="00C85043">
        <w:rPr>
          <w:b/>
          <w:snapToGrid w:val="0"/>
          <w:sz w:val="24"/>
          <w:szCs w:val="24"/>
        </w:rPr>
        <w:t xml:space="preserve">  </w:t>
      </w:r>
    </w:p>
    <w:p w14:paraId="4F5A61F9" w14:textId="55E6F75B" w:rsidR="00C85043" w:rsidRPr="00C85043" w:rsidRDefault="00C85043" w:rsidP="00C85043">
      <w:pPr>
        <w:pStyle w:val="Heading2"/>
        <w:spacing w:after="240"/>
      </w:pPr>
      <w:bookmarkStart w:id="44" w:name="_Toc483923005"/>
      <w:bookmarkStart w:id="45" w:name="_Toc523910175"/>
      <w:bookmarkStart w:id="46" w:name="_Toc524600786"/>
      <w:r w:rsidRPr="00805132">
        <w:t>Council’s Conclusions on the Relevant SMSE</w:t>
      </w:r>
      <w:bookmarkEnd w:id="44"/>
      <w:bookmarkEnd w:id="45"/>
      <w:bookmarkEnd w:id="46"/>
    </w:p>
    <w:p w14:paraId="59232867" w14:textId="77777777" w:rsidR="00C85043" w:rsidRDefault="00E43D78" w:rsidP="00C85043">
      <w:pPr>
        <w:pStyle w:val="NormalNumbered"/>
        <w:numPr>
          <w:ilvl w:val="0"/>
          <w:numId w:val="37"/>
        </w:numPr>
        <w:rPr>
          <w:snapToGrid w:val="0"/>
          <w:sz w:val="28"/>
          <w:szCs w:val="24"/>
        </w:rPr>
      </w:pPr>
      <w:r w:rsidRPr="00C85043">
        <w:rPr>
          <w:sz w:val="24"/>
          <w:szCs w:val="24"/>
        </w:rPr>
        <w:t xml:space="preserve">In reaching a decision about the </w:t>
      </w:r>
      <w:r w:rsidRPr="00C85043">
        <w:rPr>
          <w:b/>
          <w:sz w:val="24"/>
          <w:szCs w:val="24"/>
        </w:rPr>
        <w:t>existence or otherwise of a particular kind of disease, injury or death</w:t>
      </w:r>
      <w:r w:rsidRPr="00C85043">
        <w:rPr>
          <w:sz w:val="24"/>
          <w:szCs w:val="24"/>
        </w:rPr>
        <w:t xml:space="preserve">, the Council must consider and evaluate all of the SMSE and ultimately conclude on the balance of probabilities whether or not the identified condition meets the definition of an injury or disease as defined in the Act. </w:t>
      </w:r>
    </w:p>
    <w:p w14:paraId="59BDAD71" w14:textId="77777777" w:rsidR="00C85043" w:rsidRDefault="00E43D78" w:rsidP="00C85043">
      <w:pPr>
        <w:pStyle w:val="NormalNumbered"/>
        <w:numPr>
          <w:ilvl w:val="0"/>
          <w:numId w:val="37"/>
        </w:numPr>
        <w:rPr>
          <w:snapToGrid w:val="0"/>
          <w:sz w:val="28"/>
          <w:szCs w:val="24"/>
        </w:rPr>
      </w:pPr>
      <w:r w:rsidRPr="00C85043">
        <w:rPr>
          <w:sz w:val="24"/>
          <w:szCs w:val="24"/>
        </w:rPr>
        <w:t>From the information that was available to the RMA at the relevant time, the Council considered all studies important to the scope of this review. In considering the matters within the scope of the review the Council closely analysed these studies, both individually and collectively, taking into consideration both quantitative and qualitative evidence.</w:t>
      </w:r>
      <w:bookmarkStart w:id="47" w:name="_Ref522863620"/>
    </w:p>
    <w:p w14:paraId="7F2F2A53" w14:textId="77777777" w:rsidR="00C85043" w:rsidRDefault="00E43D78" w:rsidP="00C85043">
      <w:pPr>
        <w:pStyle w:val="NormalNumbered"/>
        <w:numPr>
          <w:ilvl w:val="0"/>
          <w:numId w:val="37"/>
        </w:numPr>
        <w:rPr>
          <w:snapToGrid w:val="0"/>
          <w:sz w:val="28"/>
          <w:szCs w:val="24"/>
        </w:rPr>
      </w:pPr>
      <w:r w:rsidRPr="00C85043">
        <w:rPr>
          <w:snapToGrid w:val="0"/>
          <w:sz w:val="24"/>
          <w:szCs w:val="24"/>
        </w:rPr>
        <w:t>The Council noted that mefloquine is currently included as a factor in SoPs for 15 conditions: acquired cataract, anxiety disorder, bipolar disorder, depressive disorder, epileptic seizure, heart block, myasthenia gravis, peripheral neuropathy, psoriasis, schizophrenia, sensorinueural hearing loss, suicide and attempted suicide, tinnitus, toxic retinopathy and trigeminal neuropathy. Twelve of these SoPs include “mefloquine” or “quinine and quinine derivatives” or “synthetic antimalarial drugs (e.g. quinacrine, hydroxychloroquine, chloroquine, primaquine, mefloquine)” as a drug in a specified list of drugs. The SoPs for suicide and attempted suicide specifically refer to taking mefloquine or chloroquine within six months before onset, and the SoPs for acquired cataract and toxic retinopathy list antimalarial agents and quinoline based drug as factors, respectively. For myasthenia gravis and schizophrenia mefloquine is not a factor for the onset of the condition, but is a factor for clinical worsening only.</w:t>
      </w:r>
      <w:bookmarkStart w:id="48" w:name="_Ref522863629"/>
      <w:bookmarkEnd w:id="47"/>
    </w:p>
    <w:p w14:paraId="7B476F6C" w14:textId="4F779B6D" w:rsidR="00E43D78" w:rsidRPr="00C85043" w:rsidRDefault="00E43D78" w:rsidP="00C85043">
      <w:pPr>
        <w:pStyle w:val="NormalNumbered"/>
        <w:numPr>
          <w:ilvl w:val="0"/>
          <w:numId w:val="37"/>
        </w:numPr>
        <w:rPr>
          <w:snapToGrid w:val="0"/>
          <w:sz w:val="28"/>
          <w:szCs w:val="24"/>
        </w:rPr>
      </w:pPr>
      <w:r w:rsidRPr="00C85043">
        <w:rPr>
          <w:snapToGrid w:val="0"/>
          <w:sz w:val="24"/>
          <w:szCs w:val="24"/>
        </w:rPr>
        <w:lastRenderedPageBreak/>
        <w:t>The Council noted that tafenoquine and primaquine are currently included as factors in SoPs for the six conditions: acquired cataract, epileptic seizure, methaemoglobinaemia, psoriasis, sensorinueural hearing loss and tinnitus. Both tafenoquine and primaquine are included in the SoPs for epileptic seizure due to “antimalarials (including chloroquine, primaquine)” being included on the Specified List of drugs, with the onset of the condition required to be within 24 hours of drug dosing.</w:t>
      </w:r>
      <w:bookmarkEnd w:id="48"/>
      <w:r w:rsidRPr="00C85043">
        <w:rPr>
          <w:snapToGrid w:val="0"/>
          <w:sz w:val="24"/>
          <w:szCs w:val="24"/>
        </w:rPr>
        <w:t xml:space="preserve"> </w:t>
      </w:r>
    </w:p>
    <w:p w14:paraId="7E8A7C5D" w14:textId="77777777" w:rsidR="00E43D78" w:rsidRPr="008F1311" w:rsidRDefault="00E43D78" w:rsidP="00C85043">
      <w:pPr>
        <w:pStyle w:val="NormalNumbered"/>
        <w:numPr>
          <w:ilvl w:val="0"/>
          <w:numId w:val="37"/>
        </w:numPr>
        <w:rPr>
          <w:snapToGrid w:val="0"/>
          <w:sz w:val="28"/>
          <w:szCs w:val="24"/>
        </w:rPr>
      </w:pPr>
      <w:r w:rsidRPr="007569AB">
        <w:rPr>
          <w:snapToGrid w:val="0"/>
          <w:sz w:val="24"/>
          <w:szCs w:val="24"/>
        </w:rPr>
        <w:t xml:space="preserve">In reviewing the SMSE the Council considered the best evidence according to the hierarchy of study type. The SMSE contained a number of case studies which the Council acknowledged may be relevant to the generation of hypotheses but </w:t>
      </w:r>
      <w:r>
        <w:rPr>
          <w:snapToGrid w:val="0"/>
          <w:sz w:val="24"/>
          <w:szCs w:val="24"/>
        </w:rPr>
        <w:t xml:space="preserve">which </w:t>
      </w:r>
      <w:r w:rsidRPr="007569AB">
        <w:rPr>
          <w:snapToGrid w:val="0"/>
          <w:sz w:val="24"/>
          <w:szCs w:val="24"/>
        </w:rPr>
        <w:t xml:space="preserve">do not fall within the NHMRC levels of evidence. </w:t>
      </w:r>
    </w:p>
    <w:p w14:paraId="1A937B59" w14:textId="77777777" w:rsidR="00C85043" w:rsidRPr="00C85043" w:rsidRDefault="00E43D78" w:rsidP="00C85043">
      <w:pPr>
        <w:pStyle w:val="NormalNumbered"/>
        <w:numPr>
          <w:ilvl w:val="0"/>
          <w:numId w:val="37"/>
        </w:numPr>
        <w:spacing w:after="0"/>
        <w:rPr>
          <w:snapToGrid w:val="0"/>
          <w:sz w:val="28"/>
          <w:szCs w:val="24"/>
        </w:rPr>
      </w:pPr>
      <w:r w:rsidRPr="007569AB">
        <w:rPr>
          <w:snapToGrid w:val="0"/>
          <w:sz w:val="24"/>
        </w:rPr>
        <w:t xml:space="preserve">The following sections consider each of the proposed medications separately. </w:t>
      </w:r>
    </w:p>
    <w:p w14:paraId="5782F87F" w14:textId="226CC2B9" w:rsidR="00C85043" w:rsidRPr="00C85043" w:rsidRDefault="00C85043" w:rsidP="00C85043">
      <w:pPr>
        <w:pStyle w:val="Heading3"/>
        <w:spacing w:after="240"/>
        <w:rPr>
          <w:snapToGrid w:val="0"/>
        </w:rPr>
      </w:pPr>
      <w:r w:rsidRPr="00523D6F">
        <w:rPr>
          <w:snapToGrid w:val="0"/>
        </w:rPr>
        <w:t>Mefloquine</w:t>
      </w:r>
    </w:p>
    <w:p w14:paraId="12FDBAE1" w14:textId="77777777" w:rsidR="00C85043" w:rsidRDefault="00E43D78" w:rsidP="00C85043">
      <w:pPr>
        <w:pStyle w:val="NormalNumbered"/>
        <w:numPr>
          <w:ilvl w:val="0"/>
          <w:numId w:val="37"/>
        </w:numPr>
        <w:rPr>
          <w:snapToGrid w:val="0"/>
          <w:sz w:val="28"/>
          <w:szCs w:val="24"/>
        </w:rPr>
      </w:pPr>
      <w:r w:rsidRPr="00C85043">
        <w:rPr>
          <w:snapToGrid w:val="0"/>
          <w:sz w:val="24"/>
          <w:szCs w:val="24"/>
        </w:rPr>
        <w:t>The Council reviewed a number of papers</w:t>
      </w:r>
      <w:r w:rsidRPr="00C85043">
        <w:rPr>
          <w:snapToGrid w:val="0"/>
          <w:sz w:val="24"/>
          <w:szCs w:val="24"/>
          <w:vertAlign w:val="superscript"/>
        </w:rPr>
        <w:t>1-29</w:t>
      </w:r>
      <w:r w:rsidRPr="00C85043">
        <w:rPr>
          <w:snapToGrid w:val="0"/>
          <w:sz w:val="24"/>
          <w:szCs w:val="24"/>
        </w:rPr>
        <w:t xml:space="preserve"> that reported mefloquine use in humans, where brain injury, central vestibular disorders or other neurological disorders were reported as outcomes. Among these papers were multiple reviews,</w:t>
      </w:r>
      <w:r w:rsidRPr="00C85043">
        <w:rPr>
          <w:snapToGrid w:val="0"/>
          <w:sz w:val="24"/>
          <w:szCs w:val="24"/>
          <w:vertAlign w:val="superscript"/>
        </w:rPr>
        <w:t>3, 9, 11, 14-18, 20, 22, 25, 30</w:t>
      </w:r>
      <w:r w:rsidRPr="00C85043">
        <w:rPr>
          <w:snapToGrid w:val="0"/>
          <w:sz w:val="24"/>
          <w:szCs w:val="24"/>
        </w:rPr>
        <w:t xml:space="preserve"> which did not fit within the NHRMC levels of evidence. Two reviews</w:t>
      </w:r>
      <w:r w:rsidRPr="00C85043">
        <w:rPr>
          <w:snapToGrid w:val="0"/>
          <w:sz w:val="24"/>
          <w:szCs w:val="24"/>
          <w:vertAlign w:val="superscript"/>
        </w:rPr>
        <w:t>11, 16</w:t>
      </w:r>
      <w:r w:rsidRPr="00C85043">
        <w:rPr>
          <w:snapToGrid w:val="0"/>
          <w:sz w:val="24"/>
          <w:szCs w:val="24"/>
        </w:rPr>
        <w:t xml:space="preserve"> were published as book chapters, one</w:t>
      </w:r>
      <w:r w:rsidRPr="00C85043">
        <w:rPr>
          <w:snapToGrid w:val="0"/>
          <w:sz w:val="24"/>
          <w:szCs w:val="24"/>
          <w:vertAlign w:val="superscript"/>
        </w:rPr>
        <w:t>30</w:t>
      </w:r>
      <w:r w:rsidRPr="00C85043">
        <w:rPr>
          <w:snapToGrid w:val="0"/>
          <w:sz w:val="24"/>
          <w:szCs w:val="24"/>
        </w:rPr>
        <w:t xml:space="preserve"> as a standalone report and one</w:t>
      </w:r>
      <w:r w:rsidRPr="00C85043">
        <w:rPr>
          <w:snapToGrid w:val="0"/>
          <w:sz w:val="24"/>
          <w:szCs w:val="24"/>
          <w:vertAlign w:val="superscript"/>
        </w:rPr>
        <w:t>17</w:t>
      </w:r>
      <w:r w:rsidRPr="00C85043">
        <w:rPr>
          <w:snapToGrid w:val="0"/>
          <w:sz w:val="24"/>
          <w:szCs w:val="24"/>
        </w:rPr>
        <w:t xml:space="preserve"> as an opinion piece. The Council noted that many of the source papers in the reviews were included in the SMSE.</w:t>
      </w:r>
    </w:p>
    <w:p w14:paraId="3E11EFEC" w14:textId="77777777" w:rsidR="00C85043" w:rsidRPr="00C85043" w:rsidRDefault="00E43D78" w:rsidP="00C85043">
      <w:pPr>
        <w:pStyle w:val="NormalNumbered"/>
        <w:numPr>
          <w:ilvl w:val="0"/>
          <w:numId w:val="37"/>
        </w:numPr>
        <w:spacing w:after="0"/>
        <w:rPr>
          <w:snapToGrid w:val="0"/>
          <w:sz w:val="28"/>
          <w:szCs w:val="24"/>
        </w:rPr>
      </w:pPr>
      <w:r w:rsidRPr="00C85043">
        <w:rPr>
          <w:snapToGrid w:val="0"/>
          <w:sz w:val="24"/>
          <w:szCs w:val="24"/>
        </w:rPr>
        <w:t>The Council reviewed in vitro and animal studies</w:t>
      </w:r>
      <w:r w:rsidRPr="00C85043">
        <w:rPr>
          <w:snapToGrid w:val="0"/>
          <w:sz w:val="24"/>
          <w:szCs w:val="24"/>
          <w:vertAlign w:val="superscript"/>
        </w:rPr>
        <w:t>31-36</w:t>
      </w:r>
      <w:r w:rsidRPr="00C85043">
        <w:rPr>
          <w:snapToGrid w:val="0"/>
          <w:sz w:val="24"/>
          <w:szCs w:val="24"/>
        </w:rPr>
        <w:t xml:space="preserve"> and concluded that they provided little evidence which related to ABI in humans. One study provided evidence that mefloquine can cross the blood-brain barrier in mice.</w:t>
      </w:r>
      <w:r w:rsidRPr="00C85043">
        <w:rPr>
          <w:snapToGrid w:val="0"/>
          <w:sz w:val="24"/>
          <w:szCs w:val="24"/>
          <w:vertAlign w:val="superscript"/>
        </w:rPr>
        <w:t>32</w:t>
      </w:r>
    </w:p>
    <w:p w14:paraId="6B6A3CD3" w14:textId="64C1485C" w:rsidR="00C85043" w:rsidRPr="00FC15D9" w:rsidRDefault="00C85043" w:rsidP="00FC15D9">
      <w:pPr>
        <w:pStyle w:val="Heading4"/>
        <w:spacing w:after="240"/>
        <w:rPr>
          <w:snapToGrid w:val="0"/>
        </w:rPr>
      </w:pPr>
      <w:r w:rsidRPr="00523D6F">
        <w:rPr>
          <w:snapToGrid w:val="0"/>
        </w:rPr>
        <w:t>Evidence from population studies</w:t>
      </w:r>
    </w:p>
    <w:p w14:paraId="4538BF56" w14:textId="77777777" w:rsidR="007F784F" w:rsidRDefault="00E43D78" w:rsidP="007F784F">
      <w:pPr>
        <w:pStyle w:val="NormalNumbered"/>
        <w:numPr>
          <w:ilvl w:val="0"/>
          <w:numId w:val="37"/>
        </w:numPr>
        <w:rPr>
          <w:snapToGrid w:val="0"/>
          <w:sz w:val="28"/>
          <w:szCs w:val="24"/>
        </w:rPr>
      </w:pPr>
      <w:r w:rsidRPr="00C85043">
        <w:rPr>
          <w:snapToGrid w:val="0"/>
          <w:sz w:val="24"/>
          <w:szCs w:val="24"/>
        </w:rPr>
        <w:t>Two studies of neuropsychiatric outcomes in randomized control trials (RCTs) had conflicting results using the same measurement tool. Results from a 13-week RCT in 203 US military personnel stationed in Hawaii</w:t>
      </w:r>
      <w:r w:rsidRPr="00C85043">
        <w:rPr>
          <w:snapToGrid w:val="0"/>
          <w:sz w:val="24"/>
          <w:szCs w:val="24"/>
          <w:vertAlign w:val="superscript"/>
        </w:rPr>
        <w:t>1</w:t>
      </w:r>
      <w:r w:rsidRPr="00C85043">
        <w:rPr>
          <w:snapToGrid w:val="0"/>
          <w:sz w:val="24"/>
          <w:szCs w:val="24"/>
        </w:rPr>
        <w:t xml:space="preserve"> found no significant changes during mefloquine use in a dizziness index on the Environmental Symptoms Questionnaire </w:t>
      </w:r>
      <w:r w:rsidRPr="00C85043">
        <w:rPr>
          <w:snapToGrid w:val="0"/>
          <w:sz w:val="24"/>
          <w:szCs w:val="24"/>
        </w:rPr>
        <w:lastRenderedPageBreak/>
        <w:t>(ESQ) for depression, anger, tension, fatigue, confusion and vigor as measured on the Profile of Mood States Questionnaire (POMS), compared to pre-drug baseline values. In contrast an RCT in non-immune travellers from the Netherlands</w:t>
      </w:r>
      <w:r w:rsidRPr="00C85043">
        <w:rPr>
          <w:snapToGrid w:val="0"/>
          <w:sz w:val="24"/>
          <w:szCs w:val="24"/>
          <w:vertAlign w:val="superscript"/>
        </w:rPr>
        <w:t>26</w:t>
      </w:r>
      <w:r w:rsidRPr="00C85043">
        <w:rPr>
          <w:snapToGrid w:val="0"/>
          <w:sz w:val="24"/>
          <w:szCs w:val="24"/>
        </w:rPr>
        <w:t xml:space="preserve"> compared shortened POMS results before and after less than 1 month of travel for 58 mefloquine users and 61 people using atovaquone plus chloroguanide. The authors concluded that scores for depression, fatigue and vigor and overall mood disturbance on the POMS deteriorated significantly more during travel for the mefloquine group compared to the atovaquone plus cholorquanide group. This study also briefly assessed the effects of each of the drug regimens on three standardised tests of motor and cognitive functioning which were selected from a computerised test battery developed in the 1980s to assess the effects of exposure to neurotoxins, the Neurobehavioural Evaluation System (NES).  The period between baseline and follow-up testing was fairly short (around 4 to 8 weeks).  Both groups demonstrated a slight deterioration on a continuous performance task (assessing reaction times and accuracy over time) and improvements on two tests assessing eye-hand coordination and visuomotor processing speed.  The two groups did not differ on any of the NES measures. The Council considered that these findings do not support a specific association between mefloquine and cognitive impairment on standardised testing.</w:t>
      </w:r>
    </w:p>
    <w:p w14:paraId="2606B444" w14:textId="77777777" w:rsidR="0047162A" w:rsidRDefault="00E43D78" w:rsidP="0047162A">
      <w:pPr>
        <w:pStyle w:val="NormalNumbered"/>
        <w:numPr>
          <w:ilvl w:val="0"/>
          <w:numId w:val="37"/>
        </w:numPr>
        <w:rPr>
          <w:snapToGrid w:val="0"/>
          <w:sz w:val="28"/>
          <w:szCs w:val="24"/>
        </w:rPr>
      </w:pPr>
      <w:r w:rsidRPr="007F784F">
        <w:rPr>
          <w:snapToGrid w:val="0"/>
          <w:sz w:val="24"/>
          <w:szCs w:val="24"/>
        </w:rPr>
        <w:t>Two studies reported results from RCTs involving mefloquine conducted within Australian Army personnel.</w:t>
      </w:r>
      <w:r w:rsidRPr="007F784F">
        <w:rPr>
          <w:snapToGrid w:val="0"/>
          <w:sz w:val="24"/>
          <w:szCs w:val="24"/>
          <w:vertAlign w:val="superscript"/>
        </w:rPr>
        <w:t>6, 10</w:t>
      </w:r>
      <w:r w:rsidRPr="007F784F">
        <w:rPr>
          <w:snapToGrid w:val="0"/>
          <w:sz w:val="24"/>
          <w:szCs w:val="24"/>
        </w:rPr>
        <w:t xml:space="preserve"> Neuropsychiatric adverse events attributed to mefloquine were reported in less than 1.5% of the 153 participants during 6 months of prophylaxis</w:t>
      </w:r>
      <w:r w:rsidR="00FD7DAC" w:rsidRPr="007F784F">
        <w:rPr>
          <w:snapToGrid w:val="0"/>
          <w:sz w:val="24"/>
          <w:szCs w:val="24"/>
        </w:rPr>
        <w:t>,</w:t>
      </w:r>
      <w:r w:rsidRPr="007F784F">
        <w:rPr>
          <w:snapToGrid w:val="0"/>
          <w:sz w:val="24"/>
          <w:szCs w:val="24"/>
        </w:rPr>
        <w:t xml:space="preserve"> with mild vertigo the most frequent condition.</w:t>
      </w:r>
      <w:r w:rsidRPr="007F784F">
        <w:rPr>
          <w:snapToGrid w:val="0"/>
          <w:sz w:val="24"/>
          <w:szCs w:val="24"/>
          <w:vertAlign w:val="superscript"/>
        </w:rPr>
        <w:t>10</w:t>
      </w:r>
      <w:r w:rsidRPr="007F784F">
        <w:rPr>
          <w:snapToGrid w:val="0"/>
          <w:sz w:val="24"/>
          <w:szCs w:val="24"/>
        </w:rPr>
        <w:t xml:space="preserve"> In the larger trial</w:t>
      </w:r>
      <w:r w:rsidRPr="007F784F">
        <w:rPr>
          <w:snapToGrid w:val="0"/>
          <w:sz w:val="24"/>
          <w:szCs w:val="24"/>
          <w:vertAlign w:val="superscript"/>
        </w:rPr>
        <w:t>6</w:t>
      </w:r>
      <w:r w:rsidRPr="007F784F">
        <w:rPr>
          <w:snapToGrid w:val="0"/>
          <w:sz w:val="24"/>
          <w:szCs w:val="24"/>
        </w:rPr>
        <w:t xml:space="preserve"> where 1,157 individuals commenced mefloquine prophylaxis, there were 62 withdrawals from the study due to neuropsychiatric conditions (including sleep disturbance, anxiety, irritation, depression, hallucinations, confusion and balance problems) with three being classified as serious adverse events. Pre-existing medical conditions (auditory hallucinations and epilepsy) were identified in two individuals. The third individual experienced depression, episodic anxiety, mild paranoia, short-term memory loss and suicidal ideation and continued to deteriorate after cessation </w:t>
      </w:r>
      <w:r w:rsidRPr="007F784F">
        <w:rPr>
          <w:snapToGrid w:val="0"/>
          <w:sz w:val="24"/>
          <w:szCs w:val="24"/>
        </w:rPr>
        <w:lastRenderedPageBreak/>
        <w:t>of mefloquine. No further information about the medical diagnosis or long-term  follow up of this individual was reported.</w:t>
      </w:r>
    </w:p>
    <w:p w14:paraId="338FE3C8" w14:textId="77777777" w:rsidR="0047162A" w:rsidRDefault="00E43D78" w:rsidP="0047162A">
      <w:pPr>
        <w:pStyle w:val="NormalNumbered"/>
        <w:numPr>
          <w:ilvl w:val="0"/>
          <w:numId w:val="37"/>
        </w:numPr>
        <w:rPr>
          <w:snapToGrid w:val="0"/>
          <w:sz w:val="28"/>
          <w:szCs w:val="24"/>
        </w:rPr>
      </w:pPr>
      <w:r w:rsidRPr="0047162A">
        <w:rPr>
          <w:snapToGrid w:val="0"/>
          <w:sz w:val="24"/>
          <w:szCs w:val="24"/>
        </w:rPr>
        <w:t>The case-control study of 564 travellers reported by van Riemsdijk et al</w:t>
      </w:r>
      <w:r w:rsidRPr="0047162A">
        <w:rPr>
          <w:snapToGrid w:val="0"/>
          <w:sz w:val="24"/>
          <w:szCs w:val="24"/>
          <w:vertAlign w:val="superscript"/>
        </w:rPr>
        <w:t>27</w:t>
      </w:r>
      <w:r w:rsidRPr="0047162A">
        <w:rPr>
          <w:snapToGrid w:val="0"/>
          <w:sz w:val="24"/>
          <w:szCs w:val="24"/>
        </w:rPr>
        <w:t xml:space="preserve"> included 111 cases who contacted an insurance alarm centre during travel for diagnosed psychiatric symptoms and 453 controls who contacted an insurance alarm centre for non-psychiatric medical reasons. </w:t>
      </w:r>
      <w:r w:rsidRPr="0047162A">
        <w:rPr>
          <w:sz w:val="24"/>
          <w:szCs w:val="24"/>
        </w:rPr>
        <w:t xml:space="preserve">An elevated occurrence of psychiatric events during travel among females was reported which was statistically significant. There was a slightly increased risk in males that was not statistically significant. </w:t>
      </w:r>
      <w:r w:rsidRPr="0047162A">
        <w:rPr>
          <w:snapToGrid w:val="0"/>
          <w:sz w:val="24"/>
          <w:szCs w:val="24"/>
        </w:rPr>
        <w:t>The most frequent events were depression, anxiety, panic attack, psychosis and insomnia. Delayed onset of symptoms which may have occurred after travel was not considered and the duration of long-term outcomes of the psychiatric events was not reported. The study did not address the issue of cognitive impairment or other possible indications of ABI.</w:t>
      </w:r>
    </w:p>
    <w:p w14:paraId="4731CC96" w14:textId="77777777" w:rsidR="0047162A" w:rsidRDefault="00E43D78" w:rsidP="00FC15D9">
      <w:pPr>
        <w:pStyle w:val="NormalNumbered"/>
        <w:numPr>
          <w:ilvl w:val="0"/>
          <w:numId w:val="37"/>
        </w:numPr>
        <w:rPr>
          <w:snapToGrid w:val="0"/>
          <w:sz w:val="28"/>
          <w:szCs w:val="24"/>
        </w:rPr>
      </w:pPr>
      <w:r w:rsidRPr="0047162A">
        <w:rPr>
          <w:snapToGrid w:val="0"/>
          <w:sz w:val="24"/>
          <w:szCs w:val="24"/>
        </w:rPr>
        <w:t>Ringqvist et al</w:t>
      </w:r>
      <w:r w:rsidRPr="0047162A">
        <w:rPr>
          <w:snapToGrid w:val="0"/>
          <w:sz w:val="24"/>
          <w:szCs w:val="24"/>
          <w:vertAlign w:val="superscript"/>
        </w:rPr>
        <w:t>21</w:t>
      </w:r>
      <w:r w:rsidRPr="0047162A">
        <w:rPr>
          <w:snapToGrid w:val="0"/>
          <w:sz w:val="24"/>
          <w:szCs w:val="24"/>
        </w:rPr>
        <w:t xml:space="preserve"> conducted a case control study assessing acute and long-term outcomes in 73 patients who reported adverse events to the Danish National Drug Authority. Measurement tools were the self-report symptoms checklist-90-revised (SCL-90_R) and SF-36 questionnaire with an average time of 988 days (270 – 2010 days) between onset of adverse event and completing questionnaire. There was some evidence that mefloquine may have long-term mental health effects using the SF-36 questionnaire. The Council noted that the SF-36 questionnaire does not directly address cognitive or neurological symptoms of relevance to ABI, and that no standardised neurocognitive tests were administered. Other areas of concern were that the control group of Danish ‘norms’ was only matched on age and sex, and not travel history or other potentially confounding factors experienced by the mefloquine group, and that other life events may have occurred in the extended duration between adverse event and survey completion which could confound the results. </w:t>
      </w:r>
    </w:p>
    <w:p w14:paraId="6830F761" w14:textId="77777777" w:rsidR="0047162A" w:rsidRDefault="00E43D78" w:rsidP="0047162A">
      <w:pPr>
        <w:pStyle w:val="NormalNumbered"/>
        <w:numPr>
          <w:ilvl w:val="0"/>
          <w:numId w:val="37"/>
        </w:numPr>
        <w:rPr>
          <w:snapToGrid w:val="0"/>
          <w:sz w:val="28"/>
          <w:szCs w:val="24"/>
        </w:rPr>
      </w:pPr>
      <w:r w:rsidRPr="0047162A">
        <w:rPr>
          <w:snapToGrid w:val="0"/>
          <w:sz w:val="24"/>
          <w:szCs w:val="24"/>
        </w:rPr>
        <w:t>The odds of developing first-time diagnosis of any anxiety or stress-related disorder or psychosis within 540 days of mefloquine use was significantly reduced (odds ratio (OR) = 0.71, 95% CI 0.56 – 0.90) compared to non-users of antimalarials in a nested case-control study of UK residents.</w:t>
      </w:r>
      <w:r w:rsidRPr="0047162A">
        <w:rPr>
          <w:snapToGrid w:val="0"/>
          <w:sz w:val="24"/>
          <w:szCs w:val="24"/>
          <w:vertAlign w:val="superscript"/>
        </w:rPr>
        <w:t>24</w:t>
      </w:r>
      <w:r w:rsidRPr="0047162A">
        <w:rPr>
          <w:snapToGrid w:val="0"/>
          <w:sz w:val="24"/>
          <w:szCs w:val="24"/>
        </w:rPr>
        <w:t xml:space="preserve"> Increases in the BMI-smoking adjusted odds of </w:t>
      </w:r>
      <w:r w:rsidRPr="0047162A">
        <w:rPr>
          <w:snapToGrid w:val="0"/>
          <w:sz w:val="24"/>
          <w:szCs w:val="24"/>
        </w:rPr>
        <w:lastRenderedPageBreak/>
        <w:t>psychosis (OR = 2.17, 95% CI 0.85 – 5.99) were noted, along with decreases in odds of phobia (OR = 0.73, 95% CI 0.40 – 1.34) and panic attack (OR = 0.68, 95% CI 0.39 – 1.17). None of these sub-group analyses was statistically significant. A significant reduction in the adjusted odds of anxiety (OR = 0.60, 95% CI 0.43 – 0.83) was reported for mefloquine users.</w:t>
      </w:r>
    </w:p>
    <w:p w14:paraId="24D84E34" w14:textId="77777777" w:rsidR="0047162A" w:rsidRPr="0047162A" w:rsidRDefault="00E43D78" w:rsidP="0047162A">
      <w:pPr>
        <w:pStyle w:val="NormalNumbered"/>
        <w:numPr>
          <w:ilvl w:val="0"/>
          <w:numId w:val="37"/>
        </w:numPr>
        <w:rPr>
          <w:snapToGrid w:val="0"/>
          <w:sz w:val="28"/>
          <w:szCs w:val="24"/>
        </w:rPr>
      </w:pPr>
      <w:r w:rsidRPr="0047162A">
        <w:rPr>
          <w:rFonts w:asciiTheme="minorHAnsi" w:hAnsiTheme="minorHAnsi" w:cs="Arial"/>
          <w:sz w:val="24"/>
          <w:szCs w:val="24"/>
        </w:rPr>
        <w:t>Two large cohort studies</w:t>
      </w:r>
      <w:r w:rsidRPr="0047162A">
        <w:rPr>
          <w:rFonts w:asciiTheme="minorHAnsi" w:hAnsiTheme="minorHAnsi" w:cs="Arial"/>
          <w:sz w:val="24"/>
          <w:szCs w:val="24"/>
          <w:vertAlign w:val="superscript"/>
        </w:rPr>
        <w:t>4, 29</w:t>
      </w:r>
      <w:r w:rsidRPr="0047162A">
        <w:rPr>
          <w:rFonts w:asciiTheme="minorHAnsi" w:hAnsiTheme="minorHAnsi" w:cs="Arial"/>
          <w:sz w:val="24"/>
          <w:szCs w:val="24"/>
        </w:rPr>
        <w:t xml:space="preserve"> in US military personnel showed little consistent evidence of increased risk of medically-diagnosed neuropsychiatric outcomes or hospitalisations for mental disorders, nervous system conditions or ill-defined conditions (including insomnia, hallucinations, convulsions and vertigo) following use of mefloquine. The numbers of personnel using mefloquine covered by these studies were 36,538</w:t>
      </w:r>
      <w:r w:rsidRPr="0047162A">
        <w:rPr>
          <w:rFonts w:asciiTheme="minorHAnsi" w:hAnsiTheme="minorHAnsi" w:cs="Arial"/>
          <w:sz w:val="24"/>
          <w:szCs w:val="24"/>
          <w:vertAlign w:val="superscript"/>
        </w:rPr>
        <w:t>4</w:t>
      </w:r>
      <w:r w:rsidRPr="0047162A">
        <w:rPr>
          <w:rFonts w:asciiTheme="minorHAnsi" w:hAnsiTheme="minorHAnsi" w:cs="Arial"/>
          <w:sz w:val="24"/>
          <w:szCs w:val="24"/>
        </w:rPr>
        <w:t xml:space="preserve"> and 8,858.</w:t>
      </w:r>
      <w:r w:rsidRPr="0047162A">
        <w:rPr>
          <w:rFonts w:asciiTheme="minorHAnsi" w:hAnsiTheme="minorHAnsi" w:cs="Arial"/>
          <w:sz w:val="24"/>
          <w:szCs w:val="24"/>
          <w:vertAlign w:val="superscript"/>
        </w:rPr>
        <w:t>29</w:t>
      </w:r>
      <w:r w:rsidRPr="0047162A">
        <w:rPr>
          <w:rFonts w:asciiTheme="minorHAnsi" w:hAnsiTheme="minorHAnsi" w:cs="Arial"/>
          <w:sz w:val="24"/>
          <w:szCs w:val="24"/>
        </w:rPr>
        <w:t xml:space="preserve"> </w:t>
      </w:r>
      <w:r w:rsidRPr="0047162A">
        <w:rPr>
          <w:rFonts w:asciiTheme="minorHAnsi" w:hAnsiTheme="minorHAnsi" w:cs="Arial"/>
          <w:iCs/>
          <w:sz w:val="24"/>
          <w:szCs w:val="24"/>
        </w:rPr>
        <w:t>Given the numbers involved here, the occurrence of CABI, if indeed it was a complication of mefloquine, might well have been evident, but it was not.</w:t>
      </w:r>
      <w:r w:rsidRPr="0047162A">
        <w:rPr>
          <w:rFonts w:ascii="Arial" w:hAnsi="Arial" w:cs="Arial"/>
          <w:iCs/>
        </w:rPr>
        <w:t xml:space="preserve"> </w:t>
      </w:r>
    </w:p>
    <w:p w14:paraId="7FB0B4F8" w14:textId="77777777" w:rsidR="0047162A" w:rsidRDefault="00E43D78" w:rsidP="0047162A">
      <w:pPr>
        <w:pStyle w:val="NormalNumbered"/>
        <w:numPr>
          <w:ilvl w:val="0"/>
          <w:numId w:val="37"/>
        </w:numPr>
        <w:rPr>
          <w:snapToGrid w:val="0"/>
          <w:sz w:val="28"/>
          <w:szCs w:val="24"/>
        </w:rPr>
      </w:pPr>
      <w:r w:rsidRPr="0047162A">
        <w:rPr>
          <w:snapToGrid w:val="0"/>
          <w:sz w:val="24"/>
          <w:szCs w:val="24"/>
        </w:rPr>
        <w:t>The cohort study reported by Japers et al</w:t>
      </w:r>
      <w:r w:rsidRPr="0047162A">
        <w:rPr>
          <w:snapToGrid w:val="0"/>
          <w:sz w:val="24"/>
          <w:szCs w:val="24"/>
          <w:vertAlign w:val="superscript"/>
        </w:rPr>
        <w:t>5</w:t>
      </w:r>
      <w:r w:rsidRPr="0047162A">
        <w:rPr>
          <w:snapToGrid w:val="0"/>
          <w:sz w:val="24"/>
          <w:szCs w:val="24"/>
        </w:rPr>
        <w:t xml:space="preserve"> in 73 Dutch military personnel using mefloquine for prophylaxis documented adverse events in 13% of individuals either one month and/or three months after start of prophylaxis. No detail was provided for the type of event, although at least one of the events related to dizziness and coordination disorders which resolved with a reduction in drug dose. </w:t>
      </w:r>
    </w:p>
    <w:p w14:paraId="514E604A" w14:textId="77777777" w:rsidR="0047162A" w:rsidRDefault="00E43D78" w:rsidP="0047162A">
      <w:pPr>
        <w:pStyle w:val="NormalNumbered"/>
        <w:numPr>
          <w:ilvl w:val="0"/>
          <w:numId w:val="37"/>
        </w:numPr>
        <w:rPr>
          <w:snapToGrid w:val="0"/>
          <w:sz w:val="28"/>
          <w:szCs w:val="24"/>
        </w:rPr>
      </w:pPr>
      <w:r w:rsidRPr="0047162A">
        <w:rPr>
          <w:snapToGrid w:val="0"/>
          <w:sz w:val="24"/>
          <w:szCs w:val="24"/>
        </w:rPr>
        <w:t>A pooled analysis of data from 19,850 patients treated with mefloquine for malaria found that acute serious neuropsychiatric adverse events (headaches, dizziness, rigors, ataxia, sleep disturbance, tremor and palpitations) were rare (7.55/10,000).</w:t>
      </w:r>
      <w:r w:rsidRPr="0047162A">
        <w:rPr>
          <w:snapToGrid w:val="0"/>
          <w:sz w:val="24"/>
          <w:szCs w:val="24"/>
          <w:vertAlign w:val="superscript"/>
        </w:rPr>
        <w:t>7</w:t>
      </w:r>
      <w:r w:rsidRPr="0047162A">
        <w:rPr>
          <w:snapToGrid w:val="0"/>
          <w:sz w:val="24"/>
          <w:szCs w:val="24"/>
        </w:rPr>
        <w:t xml:space="preserve"> A</w:t>
      </w:r>
      <w:r w:rsidRPr="0047162A">
        <w:rPr>
          <w:sz w:val="24"/>
          <w:szCs w:val="24"/>
        </w:rPr>
        <w:t>ll these patients had malaria parasitaemia and it is unclear that these symptoms are attributable only to mefloquine.</w:t>
      </w:r>
      <w:r w:rsidRPr="0047162A">
        <w:rPr>
          <w:snapToGrid w:val="0"/>
          <w:sz w:val="24"/>
          <w:szCs w:val="24"/>
        </w:rPr>
        <w:t xml:space="preserve"> </w:t>
      </w:r>
    </w:p>
    <w:p w14:paraId="5D0F5C59" w14:textId="77777777" w:rsidR="0047162A" w:rsidRPr="0047162A" w:rsidRDefault="00E43D78" w:rsidP="0047162A">
      <w:pPr>
        <w:pStyle w:val="NormalNumbered"/>
        <w:numPr>
          <w:ilvl w:val="0"/>
          <w:numId w:val="37"/>
        </w:numPr>
        <w:rPr>
          <w:snapToGrid w:val="0"/>
          <w:sz w:val="28"/>
          <w:szCs w:val="24"/>
        </w:rPr>
      </w:pPr>
      <w:r w:rsidRPr="0047162A">
        <w:rPr>
          <w:snapToGrid w:val="0"/>
          <w:sz w:val="24"/>
          <w:szCs w:val="24"/>
        </w:rPr>
        <w:t>A statistical analysis of 12,478 records from the FDA Adverse Event Reporting System described a neuropsychiatric syndrome which was positively associated with use of mefloquine.</w:t>
      </w:r>
      <w:r w:rsidRPr="0047162A">
        <w:rPr>
          <w:snapToGrid w:val="0"/>
          <w:sz w:val="24"/>
          <w:szCs w:val="24"/>
          <w:vertAlign w:val="superscript"/>
        </w:rPr>
        <w:t>19</w:t>
      </w:r>
      <w:r w:rsidRPr="0047162A">
        <w:rPr>
          <w:snapToGrid w:val="0"/>
          <w:sz w:val="24"/>
          <w:szCs w:val="24"/>
        </w:rPr>
        <w:t xml:space="preserve"> The syndrome had very high probability (82.7%) of deliria and moderate probability of depressed mood disorders and disturbances (31.8%) and psychiatric </w:t>
      </w:r>
      <w:r w:rsidRPr="0047162A">
        <w:rPr>
          <w:snapToGrid w:val="0"/>
          <w:sz w:val="24"/>
          <w:szCs w:val="24"/>
        </w:rPr>
        <w:lastRenderedPageBreak/>
        <w:t>disorders NEC</w:t>
      </w:r>
      <w:r w:rsidR="00C07349">
        <w:rPr>
          <w:rStyle w:val="FootnoteReference"/>
          <w:snapToGrid w:val="0"/>
          <w:szCs w:val="24"/>
        </w:rPr>
        <w:footnoteReference w:id="5"/>
      </w:r>
      <w:r w:rsidRPr="0047162A">
        <w:rPr>
          <w:snapToGrid w:val="0"/>
          <w:sz w:val="24"/>
          <w:szCs w:val="24"/>
        </w:rPr>
        <w:t xml:space="preserve"> (31.4%). Other psychiatric and neurological symptoms occurred at lower probability including dementia and amnestic conditions (18.6%), seizures (18.1%) and communication disorders and disturbances (18.2%). A total of 933 records listing mefloquine were included and compared to 3,949 for doxycycline and 450 for atovaquone-proguanil. Although the absolute numbers where high, the comparison between mefloquine and doxycycline prophylaxis had low statistical power and potential bias due to 99.2% (3,919) of doxycycline records being excluded for not stating prophylaxis as the drug indication, compared to 65.5% (639) for mefloquine. The Council also noted that this study included all adverse event reports where antimalarial drugs were used irrespective of whether the drug was suspect or not</w:t>
      </w:r>
      <w:r>
        <w:rPr>
          <w:rStyle w:val="CommentReference"/>
          <w:lang w:eastAsia="en-AU"/>
        </w:rPr>
        <w:t>.</w:t>
      </w:r>
    </w:p>
    <w:p w14:paraId="60E46554" w14:textId="77777777" w:rsidR="0047162A" w:rsidRDefault="00E43D78" w:rsidP="0047162A">
      <w:pPr>
        <w:pStyle w:val="NormalNumbered"/>
        <w:numPr>
          <w:ilvl w:val="0"/>
          <w:numId w:val="37"/>
        </w:numPr>
        <w:rPr>
          <w:snapToGrid w:val="0"/>
          <w:sz w:val="28"/>
          <w:szCs w:val="24"/>
        </w:rPr>
      </w:pPr>
      <w:r w:rsidRPr="0047162A">
        <w:rPr>
          <w:snapToGrid w:val="0"/>
          <w:sz w:val="24"/>
          <w:szCs w:val="24"/>
        </w:rPr>
        <w:t>A review of population-based studies by Schlagenhauf et al</w:t>
      </w:r>
      <w:r w:rsidRPr="0047162A">
        <w:rPr>
          <w:snapToGrid w:val="0"/>
          <w:sz w:val="24"/>
          <w:szCs w:val="24"/>
          <w:vertAlign w:val="superscript"/>
        </w:rPr>
        <w:t>22</w:t>
      </w:r>
      <w:r w:rsidRPr="0047162A">
        <w:rPr>
          <w:snapToGrid w:val="0"/>
          <w:sz w:val="24"/>
          <w:szCs w:val="24"/>
        </w:rPr>
        <w:t xml:space="preserve"> found mixed results for increased incidence of neuropsychiatric adverse events following mefloquine use compared to other antimalarial drugs. The authors highlight the difficulty in defining the role of antimalarial drugs in neuropsychiatric adverse events due to the presence of other potentially confounding factors including travel. </w:t>
      </w:r>
    </w:p>
    <w:p w14:paraId="793106BB" w14:textId="77777777" w:rsidR="0047162A" w:rsidRPr="0047162A" w:rsidRDefault="00E43D78" w:rsidP="0047162A">
      <w:pPr>
        <w:pStyle w:val="NormalNumbered"/>
        <w:numPr>
          <w:ilvl w:val="0"/>
          <w:numId w:val="37"/>
        </w:numPr>
        <w:spacing w:after="0"/>
        <w:rPr>
          <w:snapToGrid w:val="0"/>
          <w:sz w:val="28"/>
          <w:szCs w:val="24"/>
        </w:rPr>
      </w:pPr>
      <w:r w:rsidRPr="0047162A">
        <w:rPr>
          <w:snapToGrid w:val="0"/>
          <w:sz w:val="24"/>
          <w:szCs w:val="24"/>
        </w:rPr>
        <w:t>A review by Nevin and Ritchie</w:t>
      </w:r>
      <w:r w:rsidRPr="0047162A">
        <w:rPr>
          <w:snapToGrid w:val="0"/>
          <w:sz w:val="24"/>
          <w:szCs w:val="24"/>
          <w:vertAlign w:val="superscript"/>
        </w:rPr>
        <w:t>11</w:t>
      </w:r>
      <w:r w:rsidRPr="0047162A">
        <w:rPr>
          <w:snapToGrid w:val="0"/>
          <w:sz w:val="24"/>
          <w:szCs w:val="24"/>
        </w:rPr>
        <w:t xml:space="preserve"> used data predominantly from case studies to outline the challenges of diagnosing brain injury caused by mefloquine in the absence of biomarkers. The authors note that brain imaging often returns normal results but specialist testing sometimes results in a diagnosis of central vestibular disorder.</w:t>
      </w:r>
    </w:p>
    <w:p w14:paraId="5F311DD8" w14:textId="56F0C14A" w:rsidR="0047162A" w:rsidRPr="0047162A" w:rsidRDefault="0047162A" w:rsidP="0047162A">
      <w:pPr>
        <w:pStyle w:val="Heading4"/>
        <w:spacing w:after="240"/>
      </w:pPr>
      <w:r w:rsidRPr="005832A7">
        <w:t xml:space="preserve">Case Studies in humans </w:t>
      </w:r>
    </w:p>
    <w:p w14:paraId="1C351F03" w14:textId="77777777" w:rsidR="0047162A" w:rsidRDefault="00E43D78" w:rsidP="0047162A">
      <w:pPr>
        <w:pStyle w:val="NormalNumbered"/>
        <w:numPr>
          <w:ilvl w:val="0"/>
          <w:numId w:val="37"/>
        </w:numPr>
        <w:rPr>
          <w:snapToGrid w:val="0"/>
          <w:sz w:val="28"/>
          <w:szCs w:val="24"/>
        </w:rPr>
      </w:pPr>
      <w:r w:rsidRPr="0047162A">
        <w:rPr>
          <w:snapToGrid w:val="0"/>
          <w:sz w:val="24"/>
          <w:szCs w:val="24"/>
        </w:rPr>
        <w:t>A case report from Livezey et al</w:t>
      </w:r>
      <w:r w:rsidRPr="0047162A">
        <w:rPr>
          <w:snapToGrid w:val="0"/>
          <w:sz w:val="24"/>
          <w:szCs w:val="24"/>
          <w:vertAlign w:val="superscript"/>
        </w:rPr>
        <w:t>8</w:t>
      </w:r>
      <w:r w:rsidRPr="0047162A">
        <w:rPr>
          <w:snapToGrid w:val="0"/>
          <w:sz w:val="24"/>
          <w:szCs w:val="24"/>
        </w:rPr>
        <w:t xml:space="preserve"> of chronic neuropsychiatric symptomology consistent with migraines, motion sickness or a central vestibulopathy documents the persistence of symptoms four and a half years after mefloquine exposure in a 32-year-old male who continued mefloquine prophylaxis for four months after onset of symptoms and did not seek medical assistance for four years. This case study did not </w:t>
      </w:r>
      <w:r w:rsidRPr="0047162A">
        <w:rPr>
          <w:snapToGrid w:val="0"/>
          <w:sz w:val="24"/>
          <w:szCs w:val="24"/>
        </w:rPr>
        <w:lastRenderedPageBreak/>
        <w:t>include standardised cognitive testing or neuroimaging findings.  PTSD and possibly also heavy use of alcohol at the time of mefloquine use were confounding factors.</w:t>
      </w:r>
    </w:p>
    <w:p w14:paraId="6154638C" w14:textId="77777777" w:rsidR="0047162A" w:rsidRDefault="00E43D78" w:rsidP="0047162A">
      <w:pPr>
        <w:pStyle w:val="NormalNumbered"/>
        <w:numPr>
          <w:ilvl w:val="0"/>
          <w:numId w:val="37"/>
        </w:numPr>
        <w:rPr>
          <w:snapToGrid w:val="0"/>
          <w:sz w:val="28"/>
          <w:szCs w:val="24"/>
        </w:rPr>
      </w:pPr>
      <w:r w:rsidRPr="0047162A">
        <w:rPr>
          <w:snapToGrid w:val="0"/>
          <w:sz w:val="24"/>
          <w:szCs w:val="24"/>
        </w:rPr>
        <w:t>Nevin</w:t>
      </w:r>
      <w:r w:rsidRPr="0047162A">
        <w:rPr>
          <w:snapToGrid w:val="0"/>
          <w:sz w:val="24"/>
          <w:szCs w:val="24"/>
          <w:vertAlign w:val="superscript"/>
        </w:rPr>
        <w:t>12</w:t>
      </w:r>
      <w:r w:rsidRPr="0047162A">
        <w:rPr>
          <w:snapToGrid w:val="0"/>
          <w:sz w:val="24"/>
          <w:szCs w:val="24"/>
        </w:rPr>
        <w:t xml:space="preserve"> reported the case of a 24-year-old male with chronic symptoms lasting in excess of 10 months with a suspected diagnosis of somatoform disorder. Symptoms developed soon after the first dose of mefloquine prophylaxis and worsened with additional doses of the drug. Findings of neuroimaging (MRI/CT brain scans) were normal. No standardised cognitive testing was conducted.</w:t>
      </w:r>
    </w:p>
    <w:p w14:paraId="173BD99A" w14:textId="77777777" w:rsidR="0047162A" w:rsidRDefault="00E43D78" w:rsidP="0047162A">
      <w:pPr>
        <w:pStyle w:val="NormalNumbered"/>
        <w:numPr>
          <w:ilvl w:val="0"/>
          <w:numId w:val="37"/>
        </w:numPr>
        <w:rPr>
          <w:snapToGrid w:val="0"/>
          <w:sz w:val="28"/>
          <w:szCs w:val="24"/>
        </w:rPr>
      </w:pPr>
      <w:r w:rsidRPr="0047162A">
        <w:rPr>
          <w:snapToGrid w:val="0"/>
          <w:sz w:val="24"/>
          <w:szCs w:val="24"/>
        </w:rPr>
        <w:t>Nevin</w:t>
      </w:r>
      <w:r w:rsidRPr="0047162A">
        <w:rPr>
          <w:snapToGrid w:val="0"/>
          <w:sz w:val="24"/>
          <w:szCs w:val="24"/>
          <w:vertAlign w:val="superscript"/>
        </w:rPr>
        <w:t>16</w:t>
      </w:r>
      <w:r w:rsidRPr="0047162A">
        <w:rPr>
          <w:snapToGrid w:val="0"/>
          <w:sz w:val="24"/>
          <w:szCs w:val="24"/>
        </w:rPr>
        <w:t xml:space="preserve"> reported a case of a 33-year-old soldier who developed severe anxiety, paranoia, hallucinations, dizziness and photophobia two days after the third weekly dose of mefloquine with no prior prodromal symptoms. Following a diagnosis of PTSD his psychiatric symptoms improved while physical symptoms of vertigo, disequilibrium, photophobia and accommodative dysfunction became more prominent. </w:t>
      </w:r>
      <w:r w:rsidR="0058643B" w:rsidRPr="0047162A">
        <w:rPr>
          <w:snapToGrid w:val="0"/>
          <w:sz w:val="24"/>
          <w:szCs w:val="24"/>
        </w:rPr>
        <w:t>V</w:t>
      </w:r>
      <w:r w:rsidRPr="0047162A">
        <w:rPr>
          <w:snapToGrid w:val="0"/>
          <w:sz w:val="24"/>
          <w:szCs w:val="24"/>
        </w:rPr>
        <w:t xml:space="preserve">estibular injury was diagnosed </w:t>
      </w:r>
      <w:r w:rsidR="0058643B" w:rsidRPr="0047162A">
        <w:rPr>
          <w:snapToGrid w:val="0"/>
          <w:sz w:val="24"/>
          <w:szCs w:val="24"/>
        </w:rPr>
        <w:t xml:space="preserve">following </w:t>
      </w:r>
      <w:r w:rsidRPr="0047162A">
        <w:rPr>
          <w:snapToGrid w:val="0"/>
          <w:sz w:val="24"/>
          <w:szCs w:val="24"/>
        </w:rPr>
        <w:t>documented nystagmus</w:t>
      </w:r>
      <w:r w:rsidR="0058643B" w:rsidRPr="0047162A">
        <w:rPr>
          <w:snapToGrid w:val="0"/>
          <w:sz w:val="24"/>
          <w:szCs w:val="24"/>
        </w:rPr>
        <w:t>, six months after mefloquine exposure</w:t>
      </w:r>
      <w:r w:rsidRPr="0047162A">
        <w:rPr>
          <w:snapToGrid w:val="0"/>
          <w:sz w:val="24"/>
          <w:szCs w:val="24"/>
        </w:rPr>
        <w:t>. No standardised cognitive testing or neuroimaging results were reported.</w:t>
      </w:r>
    </w:p>
    <w:p w14:paraId="7C8260B9" w14:textId="77777777" w:rsidR="0047162A" w:rsidRPr="0047162A" w:rsidRDefault="00E43D78" w:rsidP="0047162A">
      <w:pPr>
        <w:pStyle w:val="NormalNumbered"/>
        <w:numPr>
          <w:ilvl w:val="0"/>
          <w:numId w:val="37"/>
        </w:numPr>
        <w:spacing w:after="0"/>
        <w:rPr>
          <w:snapToGrid w:val="0"/>
          <w:sz w:val="28"/>
          <w:szCs w:val="24"/>
        </w:rPr>
      </w:pPr>
      <w:r w:rsidRPr="0047162A">
        <w:rPr>
          <w:snapToGrid w:val="0"/>
          <w:sz w:val="24"/>
          <w:szCs w:val="24"/>
        </w:rPr>
        <w:t>Weinke et al</w:t>
      </w:r>
      <w:r w:rsidRPr="0047162A">
        <w:rPr>
          <w:snapToGrid w:val="0"/>
          <w:sz w:val="24"/>
          <w:szCs w:val="24"/>
          <w:vertAlign w:val="superscript"/>
        </w:rPr>
        <w:t>28</w:t>
      </w:r>
      <w:r w:rsidRPr="0047162A">
        <w:rPr>
          <w:snapToGrid w:val="0"/>
          <w:sz w:val="24"/>
          <w:szCs w:val="24"/>
        </w:rPr>
        <w:t xml:space="preserve"> conducted a risk analysis of adverse neuropsychiatric effects of mefloquine use in Germany and found the incidence to be very low (1 in 2,000 users). They also outlined case reports from 12 patients with neuropsychiatric side effects after therapeutic or prophylactic use of mefloquine. A variety of severe adverse effects including acute psychosis, hallucinations and seizures with convulsions were reported with all patients fully recovering within 10 days without sequelae. No standardised cognitive testing or neuroimaging results were reported.</w:t>
      </w:r>
    </w:p>
    <w:p w14:paraId="260B94CB" w14:textId="3CFEB678" w:rsidR="0047162A" w:rsidRPr="0047162A" w:rsidRDefault="0047162A" w:rsidP="0047162A">
      <w:pPr>
        <w:pStyle w:val="Heading4"/>
        <w:spacing w:after="240"/>
        <w:rPr>
          <w:snapToGrid w:val="0"/>
        </w:rPr>
      </w:pPr>
      <w:r w:rsidRPr="00523D6F">
        <w:rPr>
          <w:snapToGrid w:val="0"/>
        </w:rPr>
        <w:t>Summary of evidence</w:t>
      </w:r>
      <w:r>
        <w:rPr>
          <w:snapToGrid w:val="0"/>
        </w:rPr>
        <w:t xml:space="preserve"> – mefloquine</w:t>
      </w:r>
    </w:p>
    <w:p w14:paraId="62AF5A1B" w14:textId="02EEE129" w:rsidR="0047162A" w:rsidRPr="0047162A" w:rsidRDefault="00E43D78" w:rsidP="0047162A">
      <w:pPr>
        <w:pStyle w:val="NormalNumbered"/>
        <w:numPr>
          <w:ilvl w:val="0"/>
          <w:numId w:val="37"/>
        </w:numPr>
        <w:rPr>
          <w:snapToGrid w:val="0"/>
          <w:sz w:val="28"/>
          <w:szCs w:val="24"/>
        </w:rPr>
      </w:pPr>
      <w:r w:rsidRPr="0047162A">
        <w:rPr>
          <w:snapToGrid w:val="0"/>
          <w:sz w:val="24"/>
          <w:szCs w:val="24"/>
        </w:rPr>
        <w:t>Three of the population studies</w:t>
      </w:r>
      <w:r w:rsidRPr="0047162A">
        <w:rPr>
          <w:snapToGrid w:val="0"/>
          <w:sz w:val="24"/>
          <w:szCs w:val="24"/>
          <w:vertAlign w:val="superscript"/>
        </w:rPr>
        <w:t>19, 21, 27</w:t>
      </w:r>
      <w:r w:rsidRPr="0047162A">
        <w:rPr>
          <w:snapToGrid w:val="0"/>
          <w:sz w:val="24"/>
          <w:szCs w:val="24"/>
        </w:rPr>
        <w:t xml:space="preserve"> considered reported an association between mefloquine use and increased occurrence of neuropsychiatric events (which are not a sufficient condition for diagnosis of ABI).  All three had methodological weaknesses and none demonstrated causality or chronicity of diagnosed conditions. With the exception of one study</w:t>
      </w:r>
      <w:r w:rsidRPr="0047162A">
        <w:rPr>
          <w:snapToGrid w:val="0"/>
          <w:sz w:val="24"/>
          <w:szCs w:val="24"/>
          <w:vertAlign w:val="superscript"/>
        </w:rPr>
        <w:t>27</w:t>
      </w:r>
      <w:r w:rsidRPr="0047162A">
        <w:rPr>
          <w:snapToGrid w:val="0"/>
          <w:sz w:val="24"/>
          <w:szCs w:val="24"/>
        </w:rPr>
        <w:t xml:space="preserve"> s</w:t>
      </w:r>
      <w:r w:rsidRPr="0047162A">
        <w:rPr>
          <w:snapToGrid w:val="0"/>
          <w:sz w:val="24"/>
        </w:rPr>
        <w:t>tandardised neurocognitive testing was not undertaken.</w:t>
      </w:r>
    </w:p>
    <w:p w14:paraId="4D8423A2" w14:textId="77777777" w:rsidR="0047162A" w:rsidRDefault="00E43D78" w:rsidP="0047162A">
      <w:pPr>
        <w:pStyle w:val="NormalNumbered"/>
        <w:numPr>
          <w:ilvl w:val="0"/>
          <w:numId w:val="37"/>
        </w:numPr>
        <w:rPr>
          <w:snapToGrid w:val="0"/>
          <w:sz w:val="28"/>
          <w:szCs w:val="24"/>
        </w:rPr>
      </w:pPr>
      <w:r w:rsidRPr="0047162A">
        <w:rPr>
          <w:snapToGrid w:val="0"/>
          <w:sz w:val="24"/>
        </w:rPr>
        <w:lastRenderedPageBreak/>
        <w:t>The remaining SMSE arising from population studies showed little or no association between mefloquine use and increased occurrence of neuropsychiatric events. Many of these studies did not present any evidence of diagnosed conditions that would be consistent with ABI. The Council noted some studies</w:t>
      </w:r>
      <w:r w:rsidRPr="0047162A">
        <w:rPr>
          <w:snapToGrid w:val="0"/>
          <w:sz w:val="24"/>
          <w:vertAlign w:val="superscript"/>
        </w:rPr>
        <w:t>1, 23, 26</w:t>
      </w:r>
      <w:r w:rsidRPr="0047162A">
        <w:rPr>
          <w:snapToGrid w:val="0"/>
          <w:sz w:val="24"/>
        </w:rPr>
        <w:t xml:space="preserve"> measured adverse events using neuropsychiatric outcome measures related to mood. It is not clear how outcomes of such measures relate to ABI or other neurological disorders. Standardised neurocognitive testing was not undertaken in any of the studies.</w:t>
      </w:r>
    </w:p>
    <w:p w14:paraId="148B23B8" w14:textId="77777777" w:rsidR="0047162A" w:rsidRPr="0047162A" w:rsidRDefault="00E43D78" w:rsidP="0047162A">
      <w:pPr>
        <w:pStyle w:val="NormalNumbered"/>
        <w:numPr>
          <w:ilvl w:val="0"/>
          <w:numId w:val="37"/>
        </w:numPr>
        <w:spacing w:after="0"/>
        <w:rPr>
          <w:snapToGrid w:val="0"/>
          <w:sz w:val="28"/>
          <w:szCs w:val="24"/>
        </w:rPr>
      </w:pPr>
      <w:r w:rsidRPr="0047162A">
        <w:rPr>
          <w:snapToGrid w:val="0"/>
          <w:sz w:val="24"/>
          <w:szCs w:val="24"/>
        </w:rPr>
        <w:t>The Council concluded that there was insufficient SMSE documenting the development of ABI following use of mefloquine.</w:t>
      </w:r>
    </w:p>
    <w:p w14:paraId="6E24F711" w14:textId="48CB355F" w:rsidR="0047162A" w:rsidRPr="0047162A" w:rsidRDefault="0047162A" w:rsidP="0047162A">
      <w:pPr>
        <w:pStyle w:val="Heading3"/>
        <w:spacing w:after="240"/>
        <w:rPr>
          <w:snapToGrid w:val="0"/>
        </w:rPr>
      </w:pPr>
      <w:r>
        <w:rPr>
          <w:snapToGrid w:val="0"/>
        </w:rPr>
        <w:t>Tafenoquine</w:t>
      </w:r>
    </w:p>
    <w:p w14:paraId="488410A0" w14:textId="77777777" w:rsidR="0047162A" w:rsidRDefault="00E43D78" w:rsidP="0047162A">
      <w:pPr>
        <w:pStyle w:val="NormalNumbered"/>
        <w:numPr>
          <w:ilvl w:val="0"/>
          <w:numId w:val="37"/>
        </w:numPr>
        <w:rPr>
          <w:snapToGrid w:val="0"/>
          <w:sz w:val="28"/>
          <w:szCs w:val="24"/>
        </w:rPr>
      </w:pPr>
      <w:r w:rsidRPr="0047162A">
        <w:rPr>
          <w:snapToGrid w:val="0"/>
          <w:sz w:val="24"/>
          <w:szCs w:val="24"/>
        </w:rPr>
        <w:t>The Council reviewed a number of papers</w:t>
      </w:r>
      <w:r w:rsidRPr="0047162A">
        <w:rPr>
          <w:snapToGrid w:val="0"/>
          <w:sz w:val="24"/>
          <w:szCs w:val="24"/>
          <w:vertAlign w:val="superscript"/>
        </w:rPr>
        <w:t>3, 10, 37-44</w:t>
      </w:r>
      <w:r w:rsidRPr="0047162A">
        <w:rPr>
          <w:snapToGrid w:val="0"/>
          <w:sz w:val="24"/>
          <w:szCs w:val="24"/>
        </w:rPr>
        <w:t xml:space="preserve"> that reported adverse events following use of tafenoquine. One animal study</w:t>
      </w:r>
      <w:r w:rsidRPr="0047162A">
        <w:rPr>
          <w:snapToGrid w:val="0"/>
          <w:sz w:val="24"/>
          <w:szCs w:val="24"/>
          <w:vertAlign w:val="superscript"/>
        </w:rPr>
        <w:t>45</w:t>
      </w:r>
      <w:r w:rsidRPr="0047162A">
        <w:rPr>
          <w:snapToGrid w:val="0"/>
          <w:sz w:val="24"/>
          <w:szCs w:val="24"/>
        </w:rPr>
        <w:t xml:space="preserve"> was also reviewed. Since tafenoquine was not licensed by the FDA until 2018 the majority of studies were clinical trials</w:t>
      </w:r>
      <w:r w:rsidRPr="0047162A">
        <w:rPr>
          <w:snapToGrid w:val="0"/>
          <w:sz w:val="24"/>
          <w:szCs w:val="24"/>
          <w:vertAlign w:val="superscript"/>
        </w:rPr>
        <w:t>10, 37, 39-44</w:t>
      </w:r>
      <w:r w:rsidRPr="0047162A">
        <w:rPr>
          <w:snapToGrid w:val="0"/>
          <w:sz w:val="24"/>
          <w:szCs w:val="24"/>
        </w:rPr>
        <w:t xml:space="preserve"> with two reviews</w:t>
      </w:r>
      <w:r w:rsidRPr="0047162A">
        <w:rPr>
          <w:snapToGrid w:val="0"/>
          <w:sz w:val="24"/>
          <w:szCs w:val="24"/>
          <w:vertAlign w:val="superscript"/>
        </w:rPr>
        <w:t>3, 38</w:t>
      </w:r>
      <w:r w:rsidR="00F41737" w:rsidRPr="0047162A">
        <w:rPr>
          <w:snapToGrid w:val="0"/>
          <w:sz w:val="24"/>
          <w:szCs w:val="24"/>
        </w:rPr>
        <w:t xml:space="preserve">. </w:t>
      </w:r>
      <w:r w:rsidRPr="0047162A">
        <w:rPr>
          <w:snapToGrid w:val="0"/>
          <w:sz w:val="24"/>
          <w:szCs w:val="24"/>
        </w:rPr>
        <w:t>Several of the studies</w:t>
      </w:r>
      <w:r w:rsidRPr="0047162A">
        <w:rPr>
          <w:snapToGrid w:val="0"/>
          <w:sz w:val="24"/>
          <w:szCs w:val="24"/>
          <w:vertAlign w:val="superscript"/>
        </w:rPr>
        <w:t>10, 39, 41, 43-45</w:t>
      </w:r>
      <w:r w:rsidRPr="0047162A">
        <w:rPr>
          <w:snapToGrid w:val="0"/>
          <w:sz w:val="24"/>
          <w:szCs w:val="24"/>
        </w:rPr>
        <w:t xml:space="preserve"> received funding from, or had lead authors working for, companies who have a financial interest in the registration of tafenoquine. </w:t>
      </w:r>
    </w:p>
    <w:p w14:paraId="3BC578EA" w14:textId="0D7EA491" w:rsidR="00E43D78" w:rsidRPr="0047162A" w:rsidRDefault="00E43D78" w:rsidP="00FC15D9">
      <w:pPr>
        <w:pStyle w:val="NormalNumbered"/>
        <w:numPr>
          <w:ilvl w:val="0"/>
          <w:numId w:val="37"/>
        </w:numPr>
        <w:rPr>
          <w:snapToGrid w:val="0"/>
          <w:sz w:val="28"/>
          <w:szCs w:val="24"/>
        </w:rPr>
      </w:pPr>
      <w:r w:rsidRPr="0047162A">
        <w:rPr>
          <w:snapToGrid w:val="0"/>
          <w:sz w:val="24"/>
          <w:szCs w:val="24"/>
        </w:rPr>
        <w:t>Nasveld et al</w:t>
      </w:r>
      <w:r w:rsidRPr="0047162A">
        <w:rPr>
          <w:snapToGrid w:val="0"/>
          <w:sz w:val="24"/>
          <w:szCs w:val="24"/>
          <w:vertAlign w:val="superscript"/>
        </w:rPr>
        <w:t>10</w:t>
      </w:r>
      <w:r w:rsidRPr="0047162A">
        <w:rPr>
          <w:snapToGrid w:val="0"/>
          <w:sz w:val="24"/>
          <w:szCs w:val="24"/>
        </w:rPr>
        <w:t xml:space="preserve"> reported an RCT comparing tafenoquine (n=492) to mefloquine (n=162) for prophylaxis over 26 weeks in Australian soldiers. The authors found no significant difference in the incidence or nature of treatment-related adverse events between tafenoquine and mefloquine groups. There were no drug-related severe adverse events in the tafenoquine group involving neuropsychiatric symptoms. One person withdrew from the study due to depression which was graded as moderate. In total 2.0%, 1.2%, 0.6% and 0.6% of participants in the tafenoquine group reported vertigo, abnormal dreaming, headache and insomnia which were suspected as being drug related, with all cases categorised by a physician as mild or moderate. </w:t>
      </w:r>
    </w:p>
    <w:p w14:paraId="21BC86AC" w14:textId="77777777" w:rsidR="00E43D78" w:rsidRPr="00A25B9E" w:rsidRDefault="00E43D78" w:rsidP="0047162A">
      <w:pPr>
        <w:pStyle w:val="NormalNumbered"/>
        <w:numPr>
          <w:ilvl w:val="0"/>
          <w:numId w:val="37"/>
        </w:numPr>
        <w:rPr>
          <w:snapToGrid w:val="0"/>
          <w:sz w:val="24"/>
          <w:szCs w:val="24"/>
        </w:rPr>
      </w:pPr>
      <w:r w:rsidRPr="00523D6F">
        <w:rPr>
          <w:snapToGrid w:val="0"/>
          <w:sz w:val="24"/>
          <w:szCs w:val="24"/>
        </w:rPr>
        <w:t>Results from three clinical trials which were placebo-controlled</w:t>
      </w:r>
      <w:r w:rsidRPr="008F1491">
        <w:rPr>
          <w:snapToGrid w:val="0"/>
          <w:sz w:val="24"/>
          <w:szCs w:val="24"/>
          <w:vertAlign w:val="superscript"/>
        </w:rPr>
        <w:t>40, 41, 44</w:t>
      </w:r>
      <w:r w:rsidRPr="00523D6F">
        <w:rPr>
          <w:snapToGrid w:val="0"/>
          <w:sz w:val="24"/>
          <w:szCs w:val="24"/>
        </w:rPr>
        <w:t xml:space="preserve"> showed no statistical diffe</w:t>
      </w:r>
      <w:r>
        <w:rPr>
          <w:snapToGrid w:val="0"/>
          <w:sz w:val="24"/>
          <w:szCs w:val="24"/>
        </w:rPr>
        <w:t>rence between rates of headache,</w:t>
      </w:r>
      <w:r w:rsidRPr="0012633F">
        <w:rPr>
          <w:snapToGrid w:val="0"/>
          <w:sz w:val="24"/>
          <w:szCs w:val="24"/>
          <w:vertAlign w:val="superscript"/>
        </w:rPr>
        <w:t>40, 41, 44</w:t>
      </w:r>
      <w:r w:rsidRPr="00523D6F">
        <w:rPr>
          <w:snapToGrid w:val="0"/>
          <w:sz w:val="24"/>
          <w:szCs w:val="24"/>
        </w:rPr>
        <w:t xml:space="preserve"> vertigo</w:t>
      </w:r>
      <w:r w:rsidRPr="0012633F">
        <w:rPr>
          <w:snapToGrid w:val="0"/>
          <w:sz w:val="24"/>
          <w:szCs w:val="24"/>
          <w:vertAlign w:val="superscript"/>
        </w:rPr>
        <w:t>44</w:t>
      </w:r>
      <w:r w:rsidRPr="00523D6F">
        <w:rPr>
          <w:snapToGrid w:val="0"/>
          <w:sz w:val="24"/>
          <w:szCs w:val="24"/>
        </w:rPr>
        <w:t xml:space="preserve"> or dizziness</w:t>
      </w:r>
      <w:r w:rsidRPr="0012633F">
        <w:rPr>
          <w:snapToGrid w:val="0"/>
          <w:sz w:val="24"/>
          <w:szCs w:val="24"/>
          <w:vertAlign w:val="superscript"/>
        </w:rPr>
        <w:t>41</w:t>
      </w:r>
      <w:r w:rsidRPr="00523D6F">
        <w:rPr>
          <w:snapToGrid w:val="0"/>
          <w:sz w:val="24"/>
          <w:szCs w:val="24"/>
        </w:rPr>
        <w:t xml:space="preserve"> </w:t>
      </w:r>
      <w:r w:rsidRPr="00523D6F">
        <w:rPr>
          <w:snapToGrid w:val="0"/>
          <w:sz w:val="24"/>
          <w:szCs w:val="24"/>
        </w:rPr>
        <w:lastRenderedPageBreak/>
        <w:t>between the tafenoquine study groups and placebo. None of these studies reported any serious neuropsychiatric adverse event</w:t>
      </w:r>
      <w:r>
        <w:rPr>
          <w:snapToGrid w:val="0"/>
          <w:sz w:val="24"/>
          <w:szCs w:val="24"/>
        </w:rPr>
        <w:t xml:space="preserve">s associated with tafenoquine. </w:t>
      </w:r>
    </w:p>
    <w:p w14:paraId="588729E8" w14:textId="77777777" w:rsidR="00E43D78" w:rsidRPr="008F1311" w:rsidRDefault="00E43D78" w:rsidP="0047162A">
      <w:pPr>
        <w:pStyle w:val="NormalNumbered"/>
        <w:numPr>
          <w:ilvl w:val="0"/>
          <w:numId w:val="37"/>
        </w:numPr>
        <w:rPr>
          <w:snapToGrid w:val="0"/>
          <w:sz w:val="24"/>
          <w:szCs w:val="24"/>
        </w:rPr>
      </w:pPr>
      <w:r w:rsidRPr="00523D6F">
        <w:rPr>
          <w:snapToGrid w:val="0"/>
          <w:sz w:val="24"/>
          <w:szCs w:val="24"/>
        </w:rPr>
        <w:t>Walsh et al</w:t>
      </w:r>
      <w:r w:rsidRPr="00E3107A">
        <w:rPr>
          <w:snapToGrid w:val="0"/>
          <w:sz w:val="24"/>
          <w:szCs w:val="24"/>
          <w:vertAlign w:val="superscript"/>
        </w:rPr>
        <w:t>43</w:t>
      </w:r>
      <w:r w:rsidRPr="00523D6F">
        <w:rPr>
          <w:snapToGrid w:val="0"/>
          <w:sz w:val="24"/>
          <w:szCs w:val="24"/>
        </w:rPr>
        <w:t xml:space="preserve"> investigated tafenoquine for prevention of relapse after</w:t>
      </w:r>
      <w:r w:rsidRPr="000E0642">
        <w:rPr>
          <w:i/>
          <w:snapToGrid w:val="0"/>
          <w:sz w:val="24"/>
          <w:szCs w:val="24"/>
        </w:rPr>
        <w:t xml:space="preserve"> Plasmodium vivax </w:t>
      </w:r>
      <w:r w:rsidRPr="00523D6F">
        <w:rPr>
          <w:snapToGrid w:val="0"/>
          <w:sz w:val="24"/>
          <w:szCs w:val="24"/>
        </w:rPr>
        <w:t>infection in 35 Thai patients</w:t>
      </w:r>
      <w:r>
        <w:rPr>
          <w:snapToGrid w:val="0"/>
          <w:sz w:val="24"/>
          <w:szCs w:val="24"/>
        </w:rPr>
        <w:t>. T</w:t>
      </w:r>
      <w:r w:rsidRPr="00523D6F">
        <w:rPr>
          <w:snapToGrid w:val="0"/>
          <w:sz w:val="24"/>
          <w:szCs w:val="24"/>
        </w:rPr>
        <w:t xml:space="preserve">he only neurological adverse event </w:t>
      </w:r>
      <w:r>
        <w:rPr>
          <w:snapToGrid w:val="0"/>
          <w:sz w:val="24"/>
          <w:szCs w:val="24"/>
        </w:rPr>
        <w:t xml:space="preserve">found </w:t>
      </w:r>
      <w:r w:rsidRPr="00523D6F">
        <w:rPr>
          <w:snapToGrid w:val="0"/>
          <w:sz w:val="24"/>
          <w:szCs w:val="24"/>
        </w:rPr>
        <w:t>was mild, transient headache which occu</w:t>
      </w:r>
      <w:r>
        <w:rPr>
          <w:snapToGrid w:val="0"/>
          <w:sz w:val="24"/>
          <w:szCs w:val="24"/>
        </w:rPr>
        <w:t>rred in a minority of patients.</w:t>
      </w:r>
    </w:p>
    <w:p w14:paraId="545F96AD" w14:textId="77777777" w:rsidR="00E43D78" w:rsidRPr="008F1311" w:rsidRDefault="00E43D78" w:rsidP="0047162A">
      <w:pPr>
        <w:pStyle w:val="NormalNumbered"/>
        <w:numPr>
          <w:ilvl w:val="0"/>
          <w:numId w:val="37"/>
        </w:numPr>
        <w:rPr>
          <w:snapToGrid w:val="0"/>
          <w:sz w:val="24"/>
          <w:szCs w:val="24"/>
        </w:rPr>
      </w:pPr>
      <w:r w:rsidRPr="00523D6F">
        <w:rPr>
          <w:snapToGrid w:val="0"/>
          <w:sz w:val="24"/>
          <w:szCs w:val="24"/>
        </w:rPr>
        <w:t>Nasveld et al</w:t>
      </w:r>
      <w:r w:rsidRPr="00E3107A">
        <w:rPr>
          <w:snapToGrid w:val="0"/>
          <w:sz w:val="24"/>
          <w:szCs w:val="24"/>
          <w:vertAlign w:val="superscript"/>
        </w:rPr>
        <w:t>42</w:t>
      </w:r>
      <w:r w:rsidRPr="00523D6F">
        <w:rPr>
          <w:snapToGrid w:val="0"/>
          <w:sz w:val="24"/>
          <w:szCs w:val="24"/>
        </w:rPr>
        <w:t xml:space="preserve"> and Elmes et al</w:t>
      </w:r>
      <w:r w:rsidRPr="00E3107A">
        <w:rPr>
          <w:snapToGrid w:val="0"/>
          <w:sz w:val="24"/>
          <w:szCs w:val="24"/>
          <w:vertAlign w:val="superscript"/>
        </w:rPr>
        <w:t>39</w:t>
      </w:r>
      <w:r w:rsidRPr="00523D6F">
        <w:rPr>
          <w:snapToGrid w:val="0"/>
          <w:sz w:val="24"/>
          <w:szCs w:val="24"/>
        </w:rPr>
        <w:t xml:space="preserve"> compared tafenoquine to primaquine for post-exposure prophylaxis in Australian soldiers and reported headache as the only neurological adverse event</w:t>
      </w:r>
      <w:r>
        <w:rPr>
          <w:snapToGrid w:val="0"/>
          <w:sz w:val="24"/>
          <w:szCs w:val="24"/>
        </w:rPr>
        <w:t>. In</w:t>
      </w:r>
      <w:r w:rsidRPr="00523D6F">
        <w:rPr>
          <w:snapToGrid w:val="0"/>
          <w:sz w:val="24"/>
          <w:szCs w:val="24"/>
        </w:rPr>
        <w:t xml:space="preserve"> the majori</w:t>
      </w:r>
      <w:r>
        <w:rPr>
          <w:snapToGrid w:val="0"/>
          <w:sz w:val="24"/>
          <w:szCs w:val="24"/>
        </w:rPr>
        <w:t>ty of cases the severity of headache was classified as mild.</w:t>
      </w:r>
    </w:p>
    <w:p w14:paraId="757A4AEC" w14:textId="77777777" w:rsidR="0047162A" w:rsidRDefault="00E43D78" w:rsidP="0047162A">
      <w:pPr>
        <w:pStyle w:val="NormalNumbered"/>
        <w:numPr>
          <w:ilvl w:val="0"/>
          <w:numId w:val="37"/>
        </w:numPr>
        <w:rPr>
          <w:snapToGrid w:val="0"/>
          <w:sz w:val="24"/>
          <w:szCs w:val="24"/>
        </w:rPr>
      </w:pPr>
      <w:r w:rsidRPr="00523D6F">
        <w:rPr>
          <w:snapToGrid w:val="0"/>
          <w:sz w:val="24"/>
          <w:szCs w:val="24"/>
        </w:rPr>
        <w:t>Bruechner et al</w:t>
      </w:r>
      <w:r w:rsidRPr="00E3107A">
        <w:rPr>
          <w:snapToGrid w:val="0"/>
          <w:sz w:val="24"/>
          <w:szCs w:val="24"/>
          <w:vertAlign w:val="superscript"/>
        </w:rPr>
        <w:t>37</w:t>
      </w:r>
      <w:r w:rsidRPr="00523D6F">
        <w:rPr>
          <w:snapToGrid w:val="0"/>
          <w:sz w:val="24"/>
          <w:szCs w:val="24"/>
        </w:rPr>
        <w:t xml:space="preserve"> reported a dosing study conducted in healthy male volunteers. Some participants reported headache and/or being lightheaded/dizzy after taking tafenoquine, but the rates of these events were no different to that </w:t>
      </w:r>
      <w:r>
        <w:rPr>
          <w:snapToGrid w:val="0"/>
          <w:sz w:val="24"/>
          <w:szCs w:val="24"/>
        </w:rPr>
        <w:t xml:space="preserve">observed in the placebo group. </w:t>
      </w:r>
    </w:p>
    <w:p w14:paraId="78AE3AC4" w14:textId="77777777" w:rsidR="0047162A" w:rsidRDefault="00E43D78" w:rsidP="0047162A">
      <w:pPr>
        <w:pStyle w:val="NormalNumbered"/>
        <w:numPr>
          <w:ilvl w:val="0"/>
          <w:numId w:val="37"/>
        </w:numPr>
        <w:rPr>
          <w:snapToGrid w:val="0"/>
          <w:sz w:val="24"/>
          <w:szCs w:val="24"/>
        </w:rPr>
      </w:pPr>
      <w:r w:rsidRPr="0047162A">
        <w:rPr>
          <w:snapToGrid w:val="0"/>
          <w:sz w:val="24"/>
          <w:szCs w:val="24"/>
        </w:rPr>
        <w:t>Two reviews</w:t>
      </w:r>
      <w:r w:rsidRPr="0047162A">
        <w:rPr>
          <w:snapToGrid w:val="0"/>
          <w:sz w:val="24"/>
          <w:szCs w:val="24"/>
          <w:vertAlign w:val="superscript"/>
        </w:rPr>
        <w:t>3, 38</w:t>
      </w:r>
      <w:r w:rsidRPr="0047162A">
        <w:rPr>
          <w:snapToGrid w:val="0"/>
          <w:sz w:val="24"/>
          <w:szCs w:val="24"/>
        </w:rPr>
        <w:t xml:space="preserve"> were considered with neither reporting any neuropsychiatric side effects following use of tafenoquine.</w:t>
      </w:r>
    </w:p>
    <w:p w14:paraId="7FE921DE" w14:textId="77777777" w:rsidR="0047162A" w:rsidRDefault="00E43D78" w:rsidP="0047162A">
      <w:pPr>
        <w:pStyle w:val="NormalNumbered"/>
        <w:numPr>
          <w:ilvl w:val="0"/>
          <w:numId w:val="37"/>
        </w:numPr>
        <w:spacing w:after="0"/>
        <w:rPr>
          <w:snapToGrid w:val="0"/>
          <w:sz w:val="24"/>
          <w:szCs w:val="24"/>
        </w:rPr>
      </w:pPr>
      <w:r w:rsidRPr="0047162A">
        <w:rPr>
          <w:snapToGrid w:val="0"/>
          <w:sz w:val="24"/>
          <w:szCs w:val="24"/>
        </w:rPr>
        <w:t>Dow et al</w:t>
      </w:r>
      <w:r w:rsidRPr="0047162A">
        <w:rPr>
          <w:snapToGrid w:val="0"/>
          <w:sz w:val="24"/>
          <w:szCs w:val="24"/>
          <w:vertAlign w:val="superscript"/>
        </w:rPr>
        <w:t>45</w:t>
      </w:r>
      <w:r w:rsidRPr="0047162A">
        <w:rPr>
          <w:snapToGrid w:val="0"/>
          <w:sz w:val="24"/>
          <w:szCs w:val="24"/>
        </w:rPr>
        <w:t xml:space="preserve"> reported no observable neurological changes in rat behaviour or brains following a single super-therapeutic dose of tafenoquine.</w:t>
      </w:r>
    </w:p>
    <w:p w14:paraId="012634D9" w14:textId="156D1494" w:rsidR="0047162A" w:rsidRPr="0047162A" w:rsidRDefault="0047162A" w:rsidP="0047162A">
      <w:pPr>
        <w:pStyle w:val="Heading4"/>
        <w:spacing w:after="240"/>
        <w:rPr>
          <w:snapToGrid w:val="0"/>
        </w:rPr>
      </w:pPr>
      <w:r w:rsidRPr="00523D6F">
        <w:rPr>
          <w:snapToGrid w:val="0"/>
        </w:rPr>
        <w:t>Summary of evidence</w:t>
      </w:r>
      <w:r>
        <w:rPr>
          <w:snapToGrid w:val="0"/>
        </w:rPr>
        <w:t xml:space="preserve"> – tafenoquine</w:t>
      </w:r>
    </w:p>
    <w:p w14:paraId="28381643" w14:textId="77777777" w:rsidR="0047162A" w:rsidRDefault="00E43D78" w:rsidP="0047162A">
      <w:pPr>
        <w:pStyle w:val="NormalNumbered"/>
        <w:numPr>
          <w:ilvl w:val="0"/>
          <w:numId w:val="37"/>
        </w:numPr>
        <w:rPr>
          <w:snapToGrid w:val="0"/>
          <w:sz w:val="24"/>
          <w:szCs w:val="24"/>
        </w:rPr>
      </w:pPr>
      <w:r w:rsidRPr="0047162A">
        <w:rPr>
          <w:snapToGrid w:val="0"/>
          <w:sz w:val="24"/>
          <w:szCs w:val="24"/>
        </w:rPr>
        <w:t xml:space="preserve">The SMSE for tafenoquine was limited with studies only reporting headache or dizziness, and no subsequent medical assessment or </w:t>
      </w:r>
      <w:r w:rsidRPr="0047162A">
        <w:rPr>
          <w:snapToGrid w:val="0"/>
          <w:sz w:val="24"/>
        </w:rPr>
        <w:t>standardised neurocognitive testing.</w:t>
      </w:r>
      <w:r w:rsidRPr="0047162A">
        <w:rPr>
          <w:snapToGrid w:val="0"/>
          <w:sz w:val="24"/>
          <w:szCs w:val="24"/>
        </w:rPr>
        <w:t xml:space="preserve"> </w:t>
      </w:r>
    </w:p>
    <w:p w14:paraId="539308E6" w14:textId="77777777" w:rsidR="0047162A" w:rsidRDefault="00E43D78" w:rsidP="00FC15D9">
      <w:pPr>
        <w:pStyle w:val="NormalNumbered"/>
        <w:numPr>
          <w:ilvl w:val="0"/>
          <w:numId w:val="37"/>
        </w:numPr>
        <w:spacing w:after="0"/>
        <w:rPr>
          <w:snapToGrid w:val="0"/>
          <w:sz w:val="24"/>
          <w:szCs w:val="24"/>
        </w:rPr>
      </w:pPr>
      <w:r w:rsidRPr="0047162A">
        <w:rPr>
          <w:snapToGrid w:val="0"/>
          <w:sz w:val="24"/>
          <w:szCs w:val="24"/>
        </w:rPr>
        <w:t>The Council concluded that there was insufficient SMSE documenting the development of ABI following use of tafenoquine.</w:t>
      </w:r>
    </w:p>
    <w:p w14:paraId="284EFF77" w14:textId="37C6C445" w:rsidR="0047162A" w:rsidRPr="0047162A" w:rsidRDefault="0047162A" w:rsidP="0047162A">
      <w:pPr>
        <w:pStyle w:val="Heading3"/>
        <w:spacing w:after="240"/>
        <w:rPr>
          <w:snapToGrid w:val="0"/>
        </w:rPr>
      </w:pPr>
      <w:r w:rsidRPr="00523D6F">
        <w:rPr>
          <w:snapToGrid w:val="0"/>
        </w:rPr>
        <w:t>Primaquine</w:t>
      </w:r>
    </w:p>
    <w:p w14:paraId="6E9E3A1F" w14:textId="77777777" w:rsidR="0047162A" w:rsidRDefault="00E43D78" w:rsidP="0047162A">
      <w:pPr>
        <w:pStyle w:val="NormalNumbered"/>
        <w:numPr>
          <w:ilvl w:val="0"/>
          <w:numId w:val="37"/>
        </w:numPr>
        <w:rPr>
          <w:snapToGrid w:val="0"/>
          <w:sz w:val="24"/>
          <w:szCs w:val="24"/>
        </w:rPr>
      </w:pPr>
      <w:r w:rsidRPr="0047162A">
        <w:rPr>
          <w:snapToGrid w:val="0"/>
          <w:sz w:val="24"/>
          <w:szCs w:val="24"/>
        </w:rPr>
        <w:t xml:space="preserve">Primaquine can be used for causal prophylaxis, terminal prophylaxis when leaving an area with malaria transmission, radical cure after vivax or ovale malaria, or as a gametocytocidal agent to prevent </w:t>
      </w:r>
      <w:r w:rsidRPr="0047162A">
        <w:rPr>
          <w:i/>
          <w:snapToGrid w:val="0"/>
          <w:sz w:val="24"/>
          <w:szCs w:val="24"/>
        </w:rPr>
        <w:t>P. falciparum</w:t>
      </w:r>
      <w:r w:rsidRPr="0047162A">
        <w:rPr>
          <w:snapToGrid w:val="0"/>
          <w:sz w:val="24"/>
          <w:szCs w:val="24"/>
        </w:rPr>
        <w:t xml:space="preserve"> transmission. The last three of these </w:t>
      </w:r>
      <w:r w:rsidRPr="0047162A">
        <w:rPr>
          <w:snapToGrid w:val="0"/>
          <w:sz w:val="24"/>
          <w:szCs w:val="24"/>
        </w:rPr>
        <w:lastRenderedPageBreak/>
        <w:t>uses usually result in primaquine being administered with, or shortly after, other antimalarial drugs making it difficult to assign potential adverse events to the use of primaquine alone. Only two studies</w:t>
      </w:r>
      <w:r w:rsidRPr="0047162A">
        <w:rPr>
          <w:snapToGrid w:val="0"/>
          <w:sz w:val="24"/>
          <w:szCs w:val="24"/>
          <w:vertAlign w:val="superscript"/>
        </w:rPr>
        <w:t>46, 47</w:t>
      </w:r>
      <w:r w:rsidRPr="0047162A">
        <w:rPr>
          <w:snapToGrid w:val="0"/>
          <w:sz w:val="24"/>
          <w:szCs w:val="24"/>
        </w:rPr>
        <w:t xml:space="preserve"> within the SMSE report results for primaquine use alone.</w:t>
      </w:r>
    </w:p>
    <w:p w14:paraId="0373EAB4" w14:textId="77777777" w:rsidR="0047162A" w:rsidRDefault="00E43D78" w:rsidP="0047162A">
      <w:pPr>
        <w:pStyle w:val="NormalNumbered"/>
        <w:numPr>
          <w:ilvl w:val="0"/>
          <w:numId w:val="37"/>
        </w:numPr>
        <w:rPr>
          <w:snapToGrid w:val="0"/>
          <w:sz w:val="24"/>
          <w:szCs w:val="24"/>
        </w:rPr>
      </w:pPr>
      <w:r w:rsidRPr="0047162A">
        <w:rPr>
          <w:snapToGrid w:val="0"/>
          <w:sz w:val="24"/>
          <w:szCs w:val="24"/>
        </w:rPr>
        <w:t>Kolifarhood et al</w:t>
      </w:r>
      <w:r w:rsidRPr="0047162A">
        <w:rPr>
          <w:snapToGrid w:val="0"/>
          <w:sz w:val="24"/>
          <w:szCs w:val="24"/>
          <w:vertAlign w:val="superscript"/>
        </w:rPr>
        <w:t>47</w:t>
      </w:r>
      <w:r w:rsidRPr="0047162A">
        <w:rPr>
          <w:snapToGrid w:val="0"/>
          <w:sz w:val="24"/>
          <w:szCs w:val="24"/>
        </w:rPr>
        <w:t xml:space="preserve"> conducted a systematic review and meta-analysis of seven studies that investigated primaquine use for prophylaxis, one of which</w:t>
      </w:r>
      <w:r w:rsidRPr="0047162A">
        <w:rPr>
          <w:snapToGrid w:val="0"/>
          <w:sz w:val="24"/>
          <w:szCs w:val="24"/>
          <w:vertAlign w:val="superscript"/>
        </w:rPr>
        <w:t>42</w:t>
      </w:r>
      <w:r w:rsidRPr="0047162A">
        <w:rPr>
          <w:snapToGrid w:val="0"/>
          <w:sz w:val="24"/>
          <w:szCs w:val="24"/>
        </w:rPr>
        <w:t xml:space="preserve"> the Council reviewed independently. Clinical side effects were self-reported by the participants or their supervisor in all studies except one where side effects were evaluated by physicians. The period of observation (prophylaxis plus follow-up) varied from 14 weeks to 37 months. The incident risk ratio comparing primaquine to placebo showed no significant difference in neuropsychiatric adverse effects. A similar result was obtained when primaquine was compared to other study drugs including mefloquine, doxycycline, proguanil and atovaquone/proguanil.</w:t>
      </w:r>
    </w:p>
    <w:p w14:paraId="7B5D6F00" w14:textId="77777777" w:rsidR="0047162A" w:rsidRDefault="00E43D78" w:rsidP="0047162A">
      <w:pPr>
        <w:pStyle w:val="NormalNumbered"/>
        <w:numPr>
          <w:ilvl w:val="0"/>
          <w:numId w:val="37"/>
        </w:numPr>
        <w:rPr>
          <w:snapToGrid w:val="0"/>
          <w:sz w:val="24"/>
          <w:szCs w:val="24"/>
        </w:rPr>
      </w:pPr>
      <w:r w:rsidRPr="0047162A">
        <w:rPr>
          <w:snapToGrid w:val="0"/>
          <w:sz w:val="24"/>
          <w:szCs w:val="24"/>
        </w:rPr>
        <w:t>Clayman et al</w:t>
      </w:r>
      <w:r w:rsidRPr="0047162A">
        <w:rPr>
          <w:snapToGrid w:val="0"/>
          <w:sz w:val="24"/>
          <w:szCs w:val="24"/>
          <w:vertAlign w:val="superscript"/>
        </w:rPr>
        <w:t>46</w:t>
      </w:r>
      <w:r w:rsidRPr="0047162A">
        <w:rPr>
          <w:snapToGrid w:val="0"/>
          <w:sz w:val="24"/>
          <w:szCs w:val="24"/>
        </w:rPr>
        <w:t xml:space="preserve"> reported on the toxicity of primaquine but no neuropsychiatric outcomes were described.</w:t>
      </w:r>
    </w:p>
    <w:p w14:paraId="5277A287" w14:textId="77777777" w:rsidR="0047162A" w:rsidRDefault="00E43D78" w:rsidP="0047162A">
      <w:pPr>
        <w:pStyle w:val="NormalNumbered"/>
        <w:numPr>
          <w:ilvl w:val="0"/>
          <w:numId w:val="37"/>
        </w:numPr>
        <w:rPr>
          <w:snapToGrid w:val="0"/>
          <w:sz w:val="24"/>
          <w:szCs w:val="24"/>
        </w:rPr>
      </w:pPr>
      <w:r w:rsidRPr="0047162A">
        <w:rPr>
          <w:snapToGrid w:val="0"/>
          <w:sz w:val="24"/>
          <w:szCs w:val="24"/>
        </w:rPr>
        <w:t>Recht et al</w:t>
      </w:r>
      <w:r w:rsidRPr="0047162A">
        <w:rPr>
          <w:snapToGrid w:val="0"/>
          <w:sz w:val="24"/>
          <w:szCs w:val="24"/>
          <w:vertAlign w:val="superscript"/>
        </w:rPr>
        <w:t>30</w:t>
      </w:r>
      <w:r w:rsidRPr="0047162A">
        <w:rPr>
          <w:snapToGrid w:val="0"/>
          <w:sz w:val="24"/>
          <w:szCs w:val="24"/>
        </w:rPr>
        <w:t xml:space="preserve"> analysed a total of 1,429 individual case reports, describing 4,560 reactions, submitted to the Uppsala Monitoring Centre between 1969 and 30 July 2012 in which primaquine was suspected of being a causative or possible interacting factor. The authors noted reporting bias by year, country and individual reporter, and highlighted that adverse event reports can only originate in locations where systems exist to report such events. The large majority (89%, 4,062) of reactions were reported from Thailand with 96.6% (3,925) of these reported in 1997-98. The USA and Australia reported the next highest numbers of reactions with 216 and 102, respectively. Other drugs were implicated as possible contributors in several reports, particularly reports from Thailand where artesunate and mefloquine were listed as possible causes. A total of 14 deaths were attributed to primaquine, none of which involved neuropsychiatric symptoms. Nervous system disorders were reported in 1,518 reactions including dizziness (838), headache (657) and anoxic seizure (1). Psychiatric disorders appeared in 510 reactions with 260 references to agitation and </w:t>
      </w:r>
      <w:r w:rsidRPr="0047162A">
        <w:rPr>
          <w:snapToGrid w:val="0"/>
          <w:sz w:val="24"/>
          <w:szCs w:val="24"/>
        </w:rPr>
        <w:lastRenderedPageBreak/>
        <w:t>125 to confused state. There were three reports of psychosis, with two from the US reporting concomitant use of mefloquine, and one from Malaysia reporting concomitant use of chloroquine with quinine.</w:t>
      </w:r>
    </w:p>
    <w:p w14:paraId="3BB7A408" w14:textId="52A2E8AA" w:rsidR="00E43D78" w:rsidRPr="0047162A" w:rsidRDefault="00E43D78" w:rsidP="0047162A">
      <w:pPr>
        <w:pStyle w:val="NormalNumbered"/>
        <w:numPr>
          <w:ilvl w:val="0"/>
          <w:numId w:val="37"/>
        </w:numPr>
        <w:spacing w:after="0"/>
        <w:rPr>
          <w:snapToGrid w:val="0"/>
          <w:sz w:val="24"/>
          <w:szCs w:val="24"/>
        </w:rPr>
      </w:pPr>
      <w:r w:rsidRPr="0047162A">
        <w:rPr>
          <w:snapToGrid w:val="0"/>
          <w:sz w:val="24"/>
          <w:szCs w:val="24"/>
        </w:rPr>
        <w:t>A review by Recht et al</w:t>
      </w:r>
      <w:r w:rsidRPr="0047162A">
        <w:rPr>
          <w:snapToGrid w:val="0"/>
          <w:sz w:val="24"/>
          <w:szCs w:val="24"/>
          <w:vertAlign w:val="superscript"/>
        </w:rPr>
        <w:t>30</w:t>
      </w:r>
      <w:r w:rsidRPr="0047162A">
        <w:rPr>
          <w:snapToGrid w:val="0"/>
          <w:sz w:val="24"/>
          <w:szCs w:val="24"/>
        </w:rPr>
        <w:t xml:space="preserve"> noted that neuropsychiatric effects had been reported after administration of primaquine. In one case report, a 55-year-old man with malaria developed depression and psychosis after the second dose of primaquine (following treatment with chloroquine), with symptoms disappearing within 24 hours of discontinuing primaquine. An unspecified number of cases of vertigo, psychomotor agitation and transitory neurological problems were reported following mass administration of chloroquine and primaquine in Nicaragua in 1973-1983. </w:t>
      </w:r>
    </w:p>
    <w:p w14:paraId="7C906F93" w14:textId="77777777" w:rsidR="0047162A" w:rsidRDefault="0047162A" w:rsidP="0047162A">
      <w:pPr>
        <w:pStyle w:val="Heading4"/>
        <w:rPr>
          <w:snapToGrid w:val="0"/>
        </w:rPr>
      </w:pPr>
      <w:r>
        <w:rPr>
          <w:snapToGrid w:val="0"/>
        </w:rPr>
        <w:t>Summary of evidence – primaquine</w:t>
      </w:r>
    </w:p>
    <w:p w14:paraId="54FF9735" w14:textId="77777777" w:rsidR="00E43D78" w:rsidRPr="007569AB" w:rsidRDefault="00E43D78" w:rsidP="00E43D78"/>
    <w:p w14:paraId="1CF075B7" w14:textId="77777777" w:rsidR="0047162A" w:rsidRDefault="00E43D78" w:rsidP="0047162A">
      <w:pPr>
        <w:pStyle w:val="NormalNumbered"/>
        <w:numPr>
          <w:ilvl w:val="0"/>
          <w:numId w:val="37"/>
        </w:numPr>
        <w:rPr>
          <w:snapToGrid w:val="0"/>
          <w:sz w:val="24"/>
          <w:szCs w:val="24"/>
        </w:rPr>
      </w:pPr>
      <w:r>
        <w:rPr>
          <w:snapToGrid w:val="0"/>
          <w:sz w:val="24"/>
          <w:szCs w:val="24"/>
        </w:rPr>
        <w:t xml:space="preserve">The population studies for primaquine showed no association between using primaquine and neuropsychiatric adverse events. Case studies and adverse event reports demonstrate some neuropsychiatric conditions, however reporting bias was identified and often, other drugs were listed as possible causes.  </w:t>
      </w:r>
    </w:p>
    <w:p w14:paraId="310E8FF9" w14:textId="77777777" w:rsidR="0047162A" w:rsidRDefault="00E43D78" w:rsidP="0047162A">
      <w:pPr>
        <w:pStyle w:val="NormalNumbered"/>
        <w:numPr>
          <w:ilvl w:val="0"/>
          <w:numId w:val="37"/>
        </w:numPr>
        <w:spacing w:after="0"/>
        <w:rPr>
          <w:snapToGrid w:val="0"/>
          <w:sz w:val="24"/>
          <w:szCs w:val="24"/>
        </w:rPr>
      </w:pPr>
      <w:r w:rsidRPr="0047162A">
        <w:rPr>
          <w:snapToGrid w:val="0"/>
          <w:sz w:val="24"/>
          <w:szCs w:val="24"/>
        </w:rPr>
        <w:t>The Council concluded that there was insufficient SMSE documenting the development of ABI following use of primaquine.</w:t>
      </w:r>
    </w:p>
    <w:p w14:paraId="7DEB62AC" w14:textId="452B7727" w:rsidR="0047162A" w:rsidRDefault="0047162A" w:rsidP="0047162A">
      <w:pPr>
        <w:pStyle w:val="Heading2"/>
        <w:spacing w:after="240"/>
        <w:rPr>
          <w:snapToGrid w:val="0"/>
          <w:sz w:val="24"/>
          <w:szCs w:val="24"/>
        </w:rPr>
      </w:pPr>
      <w:bookmarkStart w:id="49" w:name="_Toc523910176"/>
      <w:bookmarkStart w:id="50" w:name="_Toc524600787"/>
      <w:r w:rsidRPr="003C2CA2">
        <w:t xml:space="preserve">The council’s conclusions on whether there should be statements of principles </w:t>
      </w:r>
      <w:r>
        <w:t xml:space="preserve">for “chemically-acquired brain injury caused by mefloquine, tafenoquine or </w:t>
      </w:r>
      <w:r w:rsidRPr="008905BC">
        <w:t>primaquine</w:t>
      </w:r>
      <w:r>
        <w:t>”</w:t>
      </w:r>
      <w:bookmarkEnd w:id="49"/>
      <w:bookmarkEnd w:id="50"/>
      <w:r w:rsidRPr="00EA192E">
        <w:rPr>
          <w:snapToGrid w:val="0"/>
          <w:sz w:val="24"/>
          <w:szCs w:val="24"/>
        </w:rPr>
        <w:t xml:space="preserve"> </w:t>
      </w:r>
    </w:p>
    <w:p w14:paraId="33E6D04D" w14:textId="16B60758" w:rsidR="00E43D78" w:rsidRPr="0047162A" w:rsidRDefault="00E43D78" w:rsidP="0047162A">
      <w:pPr>
        <w:pStyle w:val="NormalNumbered"/>
        <w:numPr>
          <w:ilvl w:val="0"/>
          <w:numId w:val="37"/>
        </w:numPr>
        <w:rPr>
          <w:snapToGrid w:val="0"/>
          <w:sz w:val="24"/>
          <w:szCs w:val="24"/>
        </w:rPr>
      </w:pPr>
      <w:r w:rsidRPr="0047162A">
        <w:rPr>
          <w:sz w:val="24"/>
          <w:szCs w:val="24"/>
        </w:rPr>
        <w:t xml:space="preserve">The Council concluded, </w:t>
      </w:r>
      <w:r w:rsidRPr="0047162A">
        <w:rPr>
          <w:b/>
          <w:sz w:val="24"/>
          <w:szCs w:val="24"/>
        </w:rPr>
        <w:t>on the balance of probabilities</w:t>
      </w:r>
      <w:r w:rsidRPr="0047162A">
        <w:rPr>
          <w:sz w:val="24"/>
          <w:szCs w:val="24"/>
        </w:rPr>
        <w:t xml:space="preserve">, that the </w:t>
      </w:r>
      <w:r w:rsidRPr="0047162A">
        <w:rPr>
          <w:b/>
          <w:sz w:val="24"/>
          <w:szCs w:val="24"/>
        </w:rPr>
        <w:t>evidence does not</w:t>
      </w:r>
      <w:r w:rsidRPr="0047162A">
        <w:rPr>
          <w:sz w:val="24"/>
          <w:szCs w:val="24"/>
        </w:rPr>
        <w:t xml:space="preserve"> support that there is a disease or injury as defined in the Act described as “chemically-acquired  brain injury caused by mefloquine, tafenoquine or primaquine”</w:t>
      </w:r>
    </w:p>
    <w:p w14:paraId="38D1E739" w14:textId="77777777" w:rsidR="00E43D78" w:rsidRPr="008F1311" w:rsidRDefault="00E43D78" w:rsidP="0047162A">
      <w:pPr>
        <w:pStyle w:val="NormalNumbered"/>
        <w:numPr>
          <w:ilvl w:val="0"/>
          <w:numId w:val="37"/>
        </w:numPr>
        <w:rPr>
          <w:snapToGrid w:val="0"/>
          <w:sz w:val="24"/>
          <w:szCs w:val="24"/>
        </w:rPr>
      </w:pPr>
      <w:r w:rsidRPr="000B4E41">
        <w:rPr>
          <w:sz w:val="24"/>
          <w:szCs w:val="24"/>
        </w:rPr>
        <w:t xml:space="preserve">After reviewing the SMSE the Council noted </w:t>
      </w:r>
      <w:r>
        <w:rPr>
          <w:sz w:val="24"/>
          <w:szCs w:val="24"/>
        </w:rPr>
        <w:t xml:space="preserve">that </w:t>
      </w:r>
      <w:r w:rsidRPr="000B4E41">
        <w:rPr>
          <w:sz w:val="24"/>
          <w:szCs w:val="24"/>
        </w:rPr>
        <w:t xml:space="preserve">there </w:t>
      </w:r>
      <w:r>
        <w:rPr>
          <w:sz w:val="24"/>
          <w:szCs w:val="24"/>
        </w:rPr>
        <w:t>were few</w:t>
      </w:r>
      <w:r w:rsidRPr="000B4E41">
        <w:rPr>
          <w:sz w:val="24"/>
          <w:szCs w:val="24"/>
        </w:rPr>
        <w:t xml:space="preserve"> </w:t>
      </w:r>
      <w:r>
        <w:rPr>
          <w:sz w:val="24"/>
          <w:szCs w:val="24"/>
        </w:rPr>
        <w:t xml:space="preserve">human </w:t>
      </w:r>
      <w:r w:rsidRPr="000B4E41">
        <w:rPr>
          <w:sz w:val="24"/>
          <w:szCs w:val="24"/>
        </w:rPr>
        <w:t xml:space="preserve">studies assessing either the acute or the long-term effects on cognitive functioning using standardised neuropsychological tests. This merits specific comment for a number of reasons.  First, both the </w:t>
      </w:r>
      <w:r>
        <w:rPr>
          <w:sz w:val="24"/>
          <w:szCs w:val="24"/>
        </w:rPr>
        <w:t xml:space="preserve">applicant’s </w:t>
      </w:r>
      <w:r w:rsidRPr="000B4E41">
        <w:rPr>
          <w:sz w:val="24"/>
          <w:szCs w:val="24"/>
        </w:rPr>
        <w:t>written and oral submissions ma</w:t>
      </w:r>
      <w:r>
        <w:rPr>
          <w:sz w:val="24"/>
          <w:szCs w:val="24"/>
        </w:rPr>
        <w:t>de specific reference to “</w:t>
      </w:r>
      <w:r w:rsidRPr="000B4E41">
        <w:rPr>
          <w:sz w:val="24"/>
          <w:szCs w:val="24"/>
        </w:rPr>
        <w:t>cognitive d</w:t>
      </w:r>
      <w:r>
        <w:rPr>
          <w:sz w:val="24"/>
          <w:szCs w:val="24"/>
        </w:rPr>
        <w:t>ysfunction” and “neurocognitive deficits”</w:t>
      </w:r>
      <w:r w:rsidRPr="000B4E41">
        <w:rPr>
          <w:sz w:val="24"/>
          <w:szCs w:val="24"/>
        </w:rPr>
        <w:t xml:space="preserve"> </w:t>
      </w:r>
      <w:r>
        <w:rPr>
          <w:sz w:val="24"/>
          <w:szCs w:val="24"/>
        </w:rPr>
        <w:t>as sequelae of mefloquine, tafenoquine and primaquine</w:t>
      </w:r>
      <w:r w:rsidRPr="000B4E41">
        <w:rPr>
          <w:sz w:val="24"/>
          <w:szCs w:val="24"/>
        </w:rPr>
        <w:t xml:space="preserve"> </w:t>
      </w:r>
      <w:r>
        <w:rPr>
          <w:sz w:val="24"/>
          <w:szCs w:val="24"/>
        </w:rPr>
        <w:t xml:space="preserve">use </w:t>
      </w:r>
      <w:r w:rsidRPr="000B4E41">
        <w:rPr>
          <w:sz w:val="24"/>
          <w:szCs w:val="24"/>
        </w:rPr>
        <w:t xml:space="preserve">which </w:t>
      </w:r>
      <w:r>
        <w:rPr>
          <w:sz w:val="24"/>
          <w:szCs w:val="24"/>
        </w:rPr>
        <w:t xml:space="preserve">the applicant contended </w:t>
      </w:r>
      <w:r w:rsidRPr="000B4E41">
        <w:rPr>
          <w:sz w:val="24"/>
          <w:szCs w:val="24"/>
        </w:rPr>
        <w:t xml:space="preserve">are </w:t>
      </w:r>
      <w:r w:rsidRPr="000B4E41">
        <w:rPr>
          <w:sz w:val="24"/>
          <w:szCs w:val="24"/>
        </w:rPr>
        <w:lastRenderedPageBreak/>
        <w:t xml:space="preserve">evidence of an </w:t>
      </w:r>
      <w:r>
        <w:rPr>
          <w:sz w:val="24"/>
          <w:szCs w:val="24"/>
        </w:rPr>
        <w:t>ABI</w:t>
      </w:r>
      <w:r w:rsidRPr="000B4E41">
        <w:rPr>
          <w:sz w:val="24"/>
          <w:szCs w:val="24"/>
        </w:rPr>
        <w:t xml:space="preserve">. </w:t>
      </w:r>
      <w:r>
        <w:rPr>
          <w:sz w:val="24"/>
          <w:szCs w:val="24"/>
        </w:rPr>
        <w:t>However, the SMSE provided little evidence of the presence and magnitude of such dysfunction or deficits.</w:t>
      </w:r>
      <w:r w:rsidRPr="000B4E41">
        <w:rPr>
          <w:sz w:val="24"/>
          <w:szCs w:val="24"/>
        </w:rPr>
        <w:t xml:space="preserve"> Secondly, there is a large inventory of standardised neurocognitive tests which are regarded as reliable and valid measures of brain functi</w:t>
      </w:r>
      <w:r>
        <w:rPr>
          <w:sz w:val="24"/>
          <w:szCs w:val="24"/>
        </w:rPr>
        <w:t>o</w:t>
      </w:r>
      <w:r w:rsidRPr="000B4E41">
        <w:rPr>
          <w:sz w:val="24"/>
          <w:szCs w:val="24"/>
        </w:rPr>
        <w:t>n/dysfunction</w:t>
      </w:r>
      <w:r>
        <w:rPr>
          <w:sz w:val="24"/>
          <w:szCs w:val="24"/>
        </w:rPr>
        <w:t xml:space="preserve"> with established normal performance ranges</w:t>
      </w:r>
      <w:r w:rsidRPr="000B4E41">
        <w:rPr>
          <w:sz w:val="24"/>
          <w:szCs w:val="24"/>
        </w:rPr>
        <w:t xml:space="preserve">. Evidence of cognitive impairment on standardised neuropsychological tests is </w:t>
      </w:r>
      <w:r>
        <w:rPr>
          <w:sz w:val="24"/>
          <w:szCs w:val="24"/>
        </w:rPr>
        <w:t xml:space="preserve">usually </w:t>
      </w:r>
      <w:r w:rsidRPr="000B4E41">
        <w:rPr>
          <w:sz w:val="24"/>
          <w:szCs w:val="24"/>
        </w:rPr>
        <w:t xml:space="preserve">an important and objective indication of </w:t>
      </w:r>
      <w:r>
        <w:rPr>
          <w:sz w:val="24"/>
          <w:szCs w:val="24"/>
        </w:rPr>
        <w:t xml:space="preserve">ABI </w:t>
      </w:r>
      <w:r w:rsidRPr="000B4E41">
        <w:rPr>
          <w:sz w:val="24"/>
          <w:szCs w:val="24"/>
        </w:rPr>
        <w:t xml:space="preserve">as evidenced by the DSM-5 criteria for a </w:t>
      </w:r>
      <w:r>
        <w:rPr>
          <w:sz w:val="24"/>
          <w:szCs w:val="24"/>
        </w:rPr>
        <w:t>n</w:t>
      </w:r>
      <w:r w:rsidRPr="000B4E41">
        <w:rPr>
          <w:sz w:val="24"/>
          <w:szCs w:val="24"/>
        </w:rPr>
        <w:t xml:space="preserve">eurocognitive </w:t>
      </w:r>
      <w:r>
        <w:rPr>
          <w:sz w:val="24"/>
          <w:szCs w:val="24"/>
        </w:rPr>
        <w:t>d</w:t>
      </w:r>
      <w:r w:rsidRPr="000B4E41">
        <w:rPr>
          <w:sz w:val="24"/>
          <w:szCs w:val="24"/>
        </w:rPr>
        <w:t xml:space="preserve">isorder.  Thirdly, neurotoxic substances which are accepted risk factors for </w:t>
      </w:r>
      <w:r>
        <w:rPr>
          <w:sz w:val="24"/>
          <w:szCs w:val="24"/>
        </w:rPr>
        <w:t>ABI</w:t>
      </w:r>
      <w:r w:rsidRPr="000B4E41">
        <w:rPr>
          <w:sz w:val="24"/>
          <w:szCs w:val="24"/>
        </w:rPr>
        <w:t xml:space="preserve"> are usually supported by studies which have used standardised neurocognitive tests</w:t>
      </w:r>
      <w:r>
        <w:rPr>
          <w:sz w:val="24"/>
          <w:szCs w:val="24"/>
        </w:rPr>
        <w:t xml:space="preserve"> and/or compelling pathological or autopsy data but neither was present in the SMSE</w:t>
      </w:r>
      <w:r w:rsidRPr="000B4E41">
        <w:rPr>
          <w:sz w:val="24"/>
          <w:szCs w:val="24"/>
        </w:rPr>
        <w:t xml:space="preserve">. </w:t>
      </w:r>
      <w:r w:rsidRPr="00CF2F32">
        <w:rPr>
          <w:sz w:val="24"/>
          <w:szCs w:val="24"/>
        </w:rPr>
        <w:t xml:space="preserve">The Council noted a lack of </w:t>
      </w:r>
      <w:r w:rsidRPr="00280F77">
        <w:rPr>
          <w:sz w:val="24"/>
          <w:szCs w:val="24"/>
        </w:rPr>
        <w:t xml:space="preserve">reports of neuroimaging findings </w:t>
      </w:r>
      <w:r>
        <w:rPr>
          <w:sz w:val="24"/>
          <w:szCs w:val="24"/>
        </w:rPr>
        <w:t>in available research on mefloquine, tafenoquine and primaquine.</w:t>
      </w:r>
    </w:p>
    <w:p w14:paraId="67A059F6" w14:textId="77777777" w:rsidR="00E43D78" w:rsidRPr="007569AB" w:rsidRDefault="00E43D78" w:rsidP="0047162A">
      <w:pPr>
        <w:pStyle w:val="NormalNumbered"/>
        <w:numPr>
          <w:ilvl w:val="0"/>
          <w:numId w:val="37"/>
        </w:numPr>
        <w:rPr>
          <w:snapToGrid w:val="0"/>
          <w:sz w:val="24"/>
          <w:szCs w:val="24"/>
        </w:rPr>
      </w:pPr>
      <w:r w:rsidRPr="00A67660">
        <w:rPr>
          <w:sz w:val="24"/>
          <w:szCs w:val="24"/>
        </w:rPr>
        <w:t xml:space="preserve">The Council considered that the absence of established agreement on terminology to define </w:t>
      </w:r>
      <w:r>
        <w:rPr>
          <w:sz w:val="24"/>
          <w:szCs w:val="24"/>
        </w:rPr>
        <w:t>CABI, particularly related to chronicity</w:t>
      </w:r>
      <w:r w:rsidRPr="00A67660">
        <w:rPr>
          <w:sz w:val="24"/>
          <w:szCs w:val="24"/>
        </w:rPr>
        <w:t>, has made the evaluation and the comparison of the SMSE difficult.</w:t>
      </w:r>
    </w:p>
    <w:p w14:paraId="0DA80D8F" w14:textId="77777777" w:rsidR="00E43D78" w:rsidRPr="008F1311" w:rsidRDefault="00E43D78" w:rsidP="0047162A">
      <w:pPr>
        <w:pStyle w:val="NormalNumbered"/>
        <w:numPr>
          <w:ilvl w:val="0"/>
          <w:numId w:val="37"/>
        </w:numPr>
        <w:rPr>
          <w:snapToGrid w:val="0"/>
          <w:sz w:val="24"/>
          <w:szCs w:val="24"/>
        </w:rPr>
      </w:pPr>
      <w:r w:rsidRPr="00A67660">
        <w:rPr>
          <w:sz w:val="24"/>
          <w:szCs w:val="24"/>
        </w:rPr>
        <w:t>The Council noted</w:t>
      </w:r>
      <w:r>
        <w:rPr>
          <w:sz w:val="24"/>
          <w:szCs w:val="24"/>
        </w:rPr>
        <w:t xml:space="preserve"> that</w:t>
      </w:r>
      <w:r w:rsidRPr="00A67660">
        <w:rPr>
          <w:sz w:val="24"/>
          <w:szCs w:val="24"/>
        </w:rPr>
        <w:t xml:space="preserve"> many of the symptoms reported </w:t>
      </w:r>
      <w:r>
        <w:rPr>
          <w:sz w:val="24"/>
          <w:szCs w:val="24"/>
        </w:rPr>
        <w:t>following use of mefloquine, tafenoquine or primaquine were non-specific and that these symptoms are common in the population and</w:t>
      </w:r>
      <w:r w:rsidRPr="00A67660">
        <w:rPr>
          <w:sz w:val="24"/>
          <w:szCs w:val="24"/>
        </w:rPr>
        <w:t xml:space="preserve"> </w:t>
      </w:r>
      <w:r w:rsidRPr="00C84F86">
        <w:rPr>
          <w:bCs/>
          <w:sz w:val="24"/>
          <w:szCs w:val="24"/>
        </w:rPr>
        <w:t>overlap with other health conditions.</w:t>
      </w:r>
      <w:r w:rsidRPr="00A67660">
        <w:rPr>
          <w:sz w:val="24"/>
          <w:szCs w:val="24"/>
        </w:rPr>
        <w:t xml:space="preserve"> </w:t>
      </w:r>
      <w:r>
        <w:rPr>
          <w:sz w:val="24"/>
          <w:szCs w:val="24"/>
        </w:rPr>
        <w:t>Self-report of such generalised symptoms cannot be considered specific evidence of ABI in the absence of additional medical investigation including neuropsychological testing</w:t>
      </w:r>
      <w:r w:rsidRPr="00400F98">
        <w:rPr>
          <w:snapToGrid w:val="0"/>
          <w:sz w:val="24"/>
          <w:szCs w:val="24"/>
        </w:rPr>
        <w:t>.</w:t>
      </w:r>
    </w:p>
    <w:p w14:paraId="031CDC9A" w14:textId="5C75578E" w:rsidR="00E43D78" w:rsidRPr="008F1311" w:rsidRDefault="00E43D78" w:rsidP="0047162A">
      <w:pPr>
        <w:pStyle w:val="NormalNumbered"/>
        <w:numPr>
          <w:ilvl w:val="0"/>
          <w:numId w:val="37"/>
        </w:numPr>
        <w:rPr>
          <w:snapToGrid w:val="0"/>
          <w:sz w:val="24"/>
          <w:szCs w:val="24"/>
        </w:rPr>
      </w:pPr>
      <w:r w:rsidRPr="00C84F86">
        <w:rPr>
          <w:sz w:val="24"/>
          <w:szCs w:val="24"/>
        </w:rPr>
        <w:t xml:space="preserve">The Council acknowledges the concerns of </w:t>
      </w:r>
      <w:r>
        <w:rPr>
          <w:sz w:val="24"/>
          <w:szCs w:val="24"/>
        </w:rPr>
        <w:t>the applicant and other</w:t>
      </w:r>
      <w:r w:rsidRPr="00C84F86">
        <w:rPr>
          <w:sz w:val="24"/>
          <w:szCs w:val="24"/>
        </w:rPr>
        <w:t xml:space="preserve"> veterans, particularly where they are suffering from unexplained health symptoms</w:t>
      </w:r>
      <w:r>
        <w:rPr>
          <w:sz w:val="24"/>
          <w:szCs w:val="24"/>
        </w:rPr>
        <w:t xml:space="preserve"> which can sometimes be troubling or debilitating and can </w:t>
      </w:r>
      <w:r w:rsidRPr="00EA192E">
        <w:rPr>
          <w:sz w:val="24"/>
          <w:szCs w:val="24"/>
        </w:rPr>
        <w:t>have significant impacts on their lives.  Reference to other SoPs, as noted in paragraphs [</w:t>
      </w:r>
      <w:r w:rsidRPr="00EA192E">
        <w:rPr>
          <w:sz w:val="24"/>
          <w:szCs w:val="24"/>
        </w:rPr>
        <w:fldChar w:fldCharType="begin"/>
      </w:r>
      <w:r w:rsidRPr="00EA192E">
        <w:rPr>
          <w:sz w:val="24"/>
          <w:szCs w:val="24"/>
        </w:rPr>
        <w:instrText xml:space="preserve"> REF _Ref522863620 \r \h  \* MERGEFORMAT </w:instrText>
      </w:r>
      <w:r w:rsidRPr="00EA192E">
        <w:rPr>
          <w:sz w:val="24"/>
          <w:szCs w:val="24"/>
        </w:rPr>
      </w:r>
      <w:r w:rsidRPr="00EA192E">
        <w:rPr>
          <w:sz w:val="24"/>
          <w:szCs w:val="24"/>
        </w:rPr>
        <w:fldChar w:fldCharType="separate"/>
      </w:r>
      <w:r w:rsidR="0021301D">
        <w:rPr>
          <w:sz w:val="24"/>
          <w:szCs w:val="24"/>
        </w:rPr>
        <w:t>49</w:t>
      </w:r>
      <w:r w:rsidRPr="00EA192E">
        <w:rPr>
          <w:sz w:val="24"/>
          <w:szCs w:val="24"/>
        </w:rPr>
        <w:fldChar w:fldCharType="end"/>
      </w:r>
      <w:r w:rsidRPr="00EA192E">
        <w:rPr>
          <w:sz w:val="24"/>
          <w:szCs w:val="24"/>
        </w:rPr>
        <w:t>] and [</w:t>
      </w:r>
      <w:r w:rsidRPr="00EA192E">
        <w:rPr>
          <w:sz w:val="24"/>
          <w:szCs w:val="24"/>
        </w:rPr>
        <w:fldChar w:fldCharType="begin"/>
      </w:r>
      <w:r w:rsidRPr="00EA192E">
        <w:rPr>
          <w:sz w:val="24"/>
          <w:szCs w:val="24"/>
        </w:rPr>
        <w:instrText xml:space="preserve"> REF _Ref522863629 \r \h  \* MERGEFORMAT </w:instrText>
      </w:r>
      <w:r w:rsidRPr="00EA192E">
        <w:rPr>
          <w:sz w:val="24"/>
          <w:szCs w:val="24"/>
        </w:rPr>
      </w:r>
      <w:r w:rsidRPr="00EA192E">
        <w:rPr>
          <w:sz w:val="24"/>
          <w:szCs w:val="24"/>
        </w:rPr>
        <w:fldChar w:fldCharType="separate"/>
      </w:r>
      <w:r w:rsidR="0021301D">
        <w:rPr>
          <w:sz w:val="24"/>
          <w:szCs w:val="24"/>
        </w:rPr>
        <w:t>50</w:t>
      </w:r>
      <w:r w:rsidRPr="00EA192E">
        <w:rPr>
          <w:sz w:val="24"/>
          <w:szCs w:val="24"/>
        </w:rPr>
        <w:fldChar w:fldCharType="end"/>
      </w:r>
      <w:r w:rsidRPr="00EA192E">
        <w:rPr>
          <w:sz w:val="24"/>
          <w:szCs w:val="24"/>
        </w:rPr>
        <w:t>] above, may provide an avenue for assistance.</w:t>
      </w:r>
      <w:r>
        <w:rPr>
          <w:sz w:val="24"/>
          <w:szCs w:val="24"/>
        </w:rPr>
        <w:t xml:space="preserve">  </w:t>
      </w:r>
    </w:p>
    <w:p w14:paraId="61E0A5CC" w14:textId="77777777" w:rsidR="0047162A" w:rsidRPr="0047162A" w:rsidRDefault="00E43D78" w:rsidP="0047162A">
      <w:pPr>
        <w:pStyle w:val="NormalNumbered"/>
        <w:numPr>
          <w:ilvl w:val="0"/>
          <w:numId w:val="37"/>
        </w:numPr>
        <w:spacing w:after="0"/>
        <w:rPr>
          <w:snapToGrid w:val="0"/>
          <w:sz w:val="24"/>
          <w:szCs w:val="24"/>
        </w:rPr>
      </w:pPr>
      <w:r w:rsidRPr="008D6AE5">
        <w:rPr>
          <w:sz w:val="24"/>
        </w:rPr>
        <w:t>Having decided that “</w:t>
      </w:r>
      <w:r>
        <w:rPr>
          <w:sz w:val="24"/>
        </w:rPr>
        <w:t xml:space="preserve">chemically-acquired </w:t>
      </w:r>
      <w:r w:rsidRPr="008D6AE5">
        <w:rPr>
          <w:sz w:val="24"/>
        </w:rPr>
        <w:t>brain injury caused by mefloquine, tafenonquine or primaquine”</w:t>
      </w:r>
      <w:r w:rsidRPr="001F508F">
        <w:rPr>
          <w:sz w:val="24"/>
        </w:rPr>
        <w:t xml:space="preserve"> is not a particular kind of disease or illness, the Council has no power under the Act to determine a SoP.</w:t>
      </w:r>
      <w:bookmarkStart w:id="51" w:name="_Ref522866159"/>
    </w:p>
    <w:p w14:paraId="3CF14695" w14:textId="6E8136BA" w:rsidR="0047162A" w:rsidRPr="0047162A" w:rsidRDefault="0047162A" w:rsidP="0047162A">
      <w:pPr>
        <w:pStyle w:val="Heading2"/>
        <w:spacing w:after="240"/>
      </w:pPr>
      <w:bookmarkStart w:id="52" w:name="_Toc483923007"/>
      <w:bookmarkStart w:id="53" w:name="_Toc523910177"/>
      <w:bookmarkStart w:id="54" w:name="_Toc524600788"/>
      <w:r w:rsidRPr="00805132">
        <w:lastRenderedPageBreak/>
        <w:t>Council’s Analysis of the New Information</w:t>
      </w:r>
      <w:bookmarkEnd w:id="52"/>
      <w:bookmarkEnd w:id="53"/>
      <w:bookmarkEnd w:id="54"/>
      <w:r w:rsidRPr="00805132">
        <w:t xml:space="preserve"> </w:t>
      </w:r>
    </w:p>
    <w:p w14:paraId="7955DEDD" w14:textId="77777777" w:rsidR="0047162A" w:rsidRPr="0047162A" w:rsidRDefault="00E43D78" w:rsidP="0047162A">
      <w:pPr>
        <w:pStyle w:val="NormalNumbered"/>
        <w:numPr>
          <w:ilvl w:val="0"/>
          <w:numId w:val="37"/>
        </w:numPr>
        <w:rPr>
          <w:snapToGrid w:val="0"/>
          <w:sz w:val="24"/>
          <w:szCs w:val="24"/>
        </w:rPr>
      </w:pPr>
      <w:r w:rsidRPr="0047162A">
        <w:rPr>
          <w:sz w:val="24"/>
          <w:szCs w:val="24"/>
        </w:rPr>
        <w:t>As mentioned above, in conducting a review, the Council is unable to (and so did not) consider information which was not available to (not before) the RMA at the relevant times. However, having formed the view that there was nothing in the pool of information which pointed to the relevant association, and being mindful of the Applicant's comments, the Council considered whether in its view there was a basis for recommending to the RMA that it (the RMA) undertake a new investigation.</w:t>
      </w:r>
      <w:bookmarkEnd w:id="51"/>
      <w:r w:rsidRPr="0047162A">
        <w:rPr>
          <w:sz w:val="24"/>
          <w:szCs w:val="24"/>
        </w:rPr>
        <w:t xml:space="preserve"> </w:t>
      </w:r>
    </w:p>
    <w:p w14:paraId="468EFEB6" w14:textId="6E53CD8D" w:rsidR="00E43D78" w:rsidRPr="0047162A" w:rsidRDefault="00E43D78" w:rsidP="0047162A">
      <w:pPr>
        <w:pStyle w:val="NormalNumbered"/>
        <w:numPr>
          <w:ilvl w:val="0"/>
          <w:numId w:val="37"/>
        </w:numPr>
        <w:spacing w:after="0"/>
        <w:rPr>
          <w:snapToGrid w:val="0"/>
          <w:sz w:val="24"/>
          <w:szCs w:val="24"/>
        </w:rPr>
      </w:pPr>
      <w:r w:rsidRPr="0047162A">
        <w:rPr>
          <w:sz w:val="24"/>
          <w:szCs w:val="24"/>
        </w:rPr>
        <w:t xml:space="preserve">The Council has neither the capacity nor the jurisdiction to perform an investigative function, including undertaking a comprehensive literature search. However, by reason of the Councillors' specialist expertise in this kind of injury, disease or death, the Council was aware of some new information (listed at </w:t>
      </w:r>
      <w:r w:rsidRPr="0047162A">
        <w:rPr>
          <w:b/>
          <w:sz w:val="24"/>
          <w:szCs w:val="24"/>
        </w:rPr>
        <w:t>B2 Appendix B</w:t>
      </w:r>
      <w:r w:rsidRPr="0047162A">
        <w:rPr>
          <w:sz w:val="24"/>
          <w:szCs w:val="24"/>
        </w:rPr>
        <w:t>) which it considered on a preliminary basis.</w:t>
      </w:r>
    </w:p>
    <w:p w14:paraId="76CE576B" w14:textId="77777777" w:rsidR="00E43D78" w:rsidRDefault="00E43D78" w:rsidP="0047162A">
      <w:pPr>
        <w:pStyle w:val="NumberLevel1"/>
        <w:numPr>
          <w:ilvl w:val="0"/>
          <w:numId w:val="37"/>
        </w:numPr>
        <w:spacing w:line="360" w:lineRule="auto"/>
        <w:rPr>
          <w:rFonts w:ascii="Calibri" w:hAnsi="Calibri"/>
          <w:sz w:val="24"/>
          <w:szCs w:val="24"/>
        </w:rPr>
      </w:pPr>
      <w:r w:rsidRPr="00395532">
        <w:rPr>
          <w:rFonts w:ascii="Calibri" w:hAnsi="Calibri"/>
          <w:sz w:val="24"/>
          <w:szCs w:val="24"/>
        </w:rPr>
        <w:t>The Council considered the new information to determine whether, in the Council's view, it warranted the Council making any directions or recommendations to the RMA.</w:t>
      </w:r>
    </w:p>
    <w:p w14:paraId="170E7575" w14:textId="77777777" w:rsidR="0047162A" w:rsidRDefault="00786897" w:rsidP="0047162A">
      <w:pPr>
        <w:pStyle w:val="NumberLevel1"/>
        <w:numPr>
          <w:ilvl w:val="0"/>
          <w:numId w:val="37"/>
        </w:numPr>
        <w:spacing w:line="360" w:lineRule="auto"/>
        <w:rPr>
          <w:rFonts w:ascii="Calibri" w:hAnsi="Calibri"/>
          <w:sz w:val="24"/>
          <w:szCs w:val="24"/>
        </w:rPr>
      </w:pPr>
      <w:r w:rsidRPr="00E659F0">
        <w:rPr>
          <w:rFonts w:ascii="Calibri" w:hAnsi="Calibri"/>
          <w:sz w:val="24"/>
          <w:szCs w:val="24"/>
        </w:rPr>
        <w:t>In the Council's view any such direction or recommendation should only be made by the Council if it formed the view that the new information</w:t>
      </w:r>
      <w:bookmarkStart w:id="55" w:name="_Toc287254059"/>
      <w:bookmarkEnd w:id="23"/>
      <w:r w:rsidRPr="00E659F0">
        <w:rPr>
          <w:rFonts w:ascii="Calibri" w:hAnsi="Calibri"/>
          <w:sz w:val="24"/>
          <w:szCs w:val="24"/>
        </w:rPr>
        <w:t xml:space="preserve"> comprised </w:t>
      </w:r>
      <w:r w:rsidR="00A92ED8" w:rsidRPr="00E659F0">
        <w:rPr>
          <w:rFonts w:ascii="Calibri" w:hAnsi="Calibri"/>
          <w:sz w:val="24"/>
          <w:szCs w:val="24"/>
        </w:rPr>
        <w:t>SMSE</w:t>
      </w:r>
      <w:r w:rsidRPr="00E659F0">
        <w:rPr>
          <w:rFonts w:ascii="Calibri" w:hAnsi="Calibri"/>
          <w:sz w:val="24"/>
          <w:szCs w:val="24"/>
        </w:rPr>
        <w:t xml:space="preserve"> as defined in section 5AB(2) of the VEA being information which:</w:t>
      </w:r>
    </w:p>
    <w:p w14:paraId="7AD91533" w14:textId="77777777" w:rsidR="0047162A" w:rsidRPr="00395532" w:rsidRDefault="0047162A" w:rsidP="00FC15D9">
      <w:pPr>
        <w:numPr>
          <w:ilvl w:val="1"/>
          <w:numId w:val="37"/>
        </w:numPr>
        <w:spacing w:before="140" w:line="360" w:lineRule="auto"/>
        <w:rPr>
          <w:rFonts w:ascii="Calibri" w:hAnsi="Calibri"/>
          <w:sz w:val="24"/>
        </w:rPr>
      </w:pPr>
      <w:r w:rsidRPr="00395532">
        <w:rPr>
          <w:rFonts w:ascii="Calibri" w:hAnsi="Calibri"/>
          <w:sz w:val="24"/>
        </w:rPr>
        <w:t>was information epidemiologists would consider appropriate to take into account; and</w:t>
      </w:r>
    </w:p>
    <w:p w14:paraId="750F48A6" w14:textId="52442EF6" w:rsidR="0047162A" w:rsidRPr="00395532" w:rsidRDefault="0047162A" w:rsidP="00FC15D9">
      <w:pPr>
        <w:numPr>
          <w:ilvl w:val="1"/>
          <w:numId w:val="37"/>
        </w:numPr>
        <w:spacing w:before="140" w:after="140" w:line="360" w:lineRule="auto"/>
        <w:rPr>
          <w:rFonts w:ascii="Calibri" w:hAnsi="Calibri"/>
          <w:sz w:val="24"/>
        </w:rPr>
      </w:pPr>
      <w:r w:rsidRPr="00395532">
        <w:rPr>
          <w:rFonts w:ascii="Calibri" w:hAnsi="Calibri"/>
          <w:sz w:val="24"/>
        </w:rPr>
        <w:t xml:space="preserve">in the Council's view, 'touched on' (was relevant to) the contended factor; and could potentially satisfy the reasonable hypothesis and/or balance of probabilities tests (as appropriate; see paragraphs </w:t>
      </w:r>
      <w:r>
        <w:rPr>
          <w:rFonts w:ascii="Calibri" w:hAnsi="Calibri"/>
          <w:sz w:val="24"/>
        </w:rPr>
        <w:t>[</w:t>
      </w:r>
      <w:r w:rsidR="00493AF4">
        <w:rPr>
          <w:rFonts w:ascii="Calibri" w:hAnsi="Calibri"/>
          <w:sz w:val="24"/>
        </w:rPr>
        <w:fldChar w:fldCharType="begin"/>
      </w:r>
      <w:r w:rsidR="00493AF4">
        <w:rPr>
          <w:rFonts w:ascii="Calibri" w:hAnsi="Calibri"/>
          <w:sz w:val="24"/>
        </w:rPr>
        <w:instrText xml:space="preserve"> REF _Ref522863551 \r \h </w:instrText>
      </w:r>
      <w:r w:rsidR="00493AF4">
        <w:rPr>
          <w:rFonts w:ascii="Calibri" w:hAnsi="Calibri"/>
          <w:sz w:val="24"/>
        </w:rPr>
      </w:r>
      <w:r w:rsidR="00493AF4">
        <w:rPr>
          <w:rFonts w:ascii="Calibri" w:hAnsi="Calibri"/>
          <w:sz w:val="24"/>
        </w:rPr>
        <w:fldChar w:fldCharType="separate"/>
      </w:r>
      <w:r w:rsidR="0021301D">
        <w:rPr>
          <w:rFonts w:ascii="Calibri" w:hAnsi="Calibri"/>
          <w:sz w:val="24"/>
        </w:rPr>
        <w:t>108</w:t>
      </w:r>
      <w:r w:rsidR="00493AF4">
        <w:rPr>
          <w:rFonts w:ascii="Calibri" w:hAnsi="Calibri"/>
          <w:sz w:val="24"/>
        </w:rPr>
        <w:fldChar w:fldCharType="end"/>
      </w:r>
      <w:r w:rsidRPr="00395532">
        <w:rPr>
          <w:rFonts w:ascii="Calibri" w:hAnsi="Calibri"/>
          <w:sz w:val="24"/>
        </w:rPr>
        <w:t xml:space="preserve">] </w:t>
      </w:r>
      <w:r>
        <w:rPr>
          <w:rFonts w:ascii="Calibri" w:hAnsi="Calibri"/>
          <w:sz w:val="24"/>
        </w:rPr>
        <w:t>below</w:t>
      </w:r>
      <w:r w:rsidRPr="00395532">
        <w:rPr>
          <w:rFonts w:ascii="Calibri" w:hAnsi="Calibri"/>
          <w:sz w:val="24"/>
        </w:rPr>
        <w:t xml:space="preserve"> for the relevant associations). </w:t>
      </w:r>
    </w:p>
    <w:p w14:paraId="0693395D" w14:textId="77777777" w:rsidR="0047162A" w:rsidRDefault="0047162A" w:rsidP="0047162A">
      <w:pPr>
        <w:pStyle w:val="NumberLevel1"/>
        <w:spacing w:line="360" w:lineRule="auto"/>
        <w:ind w:left="425"/>
        <w:rPr>
          <w:rFonts w:ascii="Calibri" w:hAnsi="Calibri"/>
          <w:sz w:val="24"/>
          <w:szCs w:val="24"/>
        </w:rPr>
      </w:pPr>
    </w:p>
    <w:p w14:paraId="17D5690E" w14:textId="77777777" w:rsidR="0047162A" w:rsidRDefault="009F4E9E" w:rsidP="0047162A">
      <w:pPr>
        <w:pStyle w:val="NumberLevel1"/>
        <w:numPr>
          <w:ilvl w:val="0"/>
          <w:numId w:val="37"/>
        </w:numPr>
        <w:spacing w:line="360" w:lineRule="auto"/>
        <w:rPr>
          <w:rFonts w:ascii="Calibri" w:hAnsi="Calibri"/>
          <w:sz w:val="24"/>
          <w:szCs w:val="24"/>
        </w:rPr>
      </w:pPr>
      <w:r w:rsidRPr="0047162A">
        <w:rPr>
          <w:rFonts w:asciiTheme="minorHAnsi" w:hAnsiTheme="minorHAnsi"/>
          <w:sz w:val="24"/>
          <w:szCs w:val="24"/>
        </w:rPr>
        <w:lastRenderedPageBreak/>
        <w:t>Two papers (Dow and Schmidt) describe animal studies relating to possible toxicity from mefloquine and aminoquinolines, but the outcomes should not be extrapolated to the occurrence of CABI in humans.  The other papers did not include CABI as an outcome.</w:t>
      </w:r>
      <w:bookmarkEnd w:id="55"/>
    </w:p>
    <w:p w14:paraId="2F43514E" w14:textId="77777777" w:rsidR="0047162A" w:rsidRPr="0047162A" w:rsidRDefault="00F40B5E" w:rsidP="0047162A">
      <w:pPr>
        <w:pStyle w:val="NumberLevel1"/>
        <w:numPr>
          <w:ilvl w:val="0"/>
          <w:numId w:val="37"/>
        </w:numPr>
        <w:spacing w:line="360" w:lineRule="auto"/>
        <w:rPr>
          <w:rFonts w:ascii="Calibri" w:hAnsi="Calibri"/>
          <w:sz w:val="24"/>
          <w:szCs w:val="24"/>
        </w:rPr>
      </w:pPr>
      <w:r w:rsidRPr="0047162A">
        <w:rPr>
          <w:rFonts w:asciiTheme="minorHAnsi" w:hAnsiTheme="minorHAnsi"/>
          <w:snapToGrid w:val="0"/>
          <w:sz w:val="24"/>
          <w:szCs w:val="24"/>
        </w:rPr>
        <w:t>The Council considered that the new papers referred to it did not in its view warrant the Council making any recommendations to the RMA for a new investigation.</w:t>
      </w:r>
      <w:bookmarkEnd w:id="24"/>
    </w:p>
    <w:p w14:paraId="52A6079A" w14:textId="388C88E0" w:rsidR="0047162A" w:rsidRPr="0047162A" w:rsidRDefault="0047162A" w:rsidP="0047162A">
      <w:pPr>
        <w:pStyle w:val="Heading1"/>
      </w:pPr>
      <w:bookmarkStart w:id="56" w:name="_Toc415481412"/>
      <w:bookmarkStart w:id="57" w:name="_Toc483923008"/>
      <w:bookmarkStart w:id="58" w:name="_Toc524600789"/>
      <w:r w:rsidRPr="00017B9E">
        <w:t>Decision</w:t>
      </w:r>
      <w:bookmarkEnd w:id="56"/>
      <w:bookmarkEnd w:id="57"/>
      <w:bookmarkEnd w:id="58"/>
      <w:r w:rsidRPr="00017B9E">
        <w:tab/>
      </w:r>
    </w:p>
    <w:p w14:paraId="0D67C2B3" w14:textId="4492E69E" w:rsidR="00375738" w:rsidRPr="0047162A" w:rsidRDefault="00786897" w:rsidP="0047162A">
      <w:pPr>
        <w:pStyle w:val="NumberLevel1"/>
        <w:numPr>
          <w:ilvl w:val="0"/>
          <w:numId w:val="37"/>
        </w:numPr>
        <w:spacing w:line="360" w:lineRule="auto"/>
        <w:rPr>
          <w:rFonts w:ascii="Calibri" w:hAnsi="Calibri"/>
          <w:sz w:val="24"/>
          <w:szCs w:val="24"/>
        </w:rPr>
      </w:pPr>
      <w:r w:rsidRPr="0047162A">
        <w:rPr>
          <w:rFonts w:ascii="Calibri" w:hAnsi="Calibri" w:cs="Times New Roman"/>
          <w:sz w:val="24"/>
        </w:rPr>
        <w:t>The Council made the decla</w:t>
      </w:r>
      <w:r w:rsidR="0053787C" w:rsidRPr="0047162A">
        <w:rPr>
          <w:rFonts w:ascii="Calibri" w:hAnsi="Calibri" w:cs="Times New Roman"/>
          <w:sz w:val="24"/>
        </w:rPr>
        <w:t>rations summarised in paragraph</w:t>
      </w:r>
      <w:r w:rsidRPr="0047162A">
        <w:rPr>
          <w:rFonts w:ascii="Calibri" w:hAnsi="Calibri" w:cs="Times New Roman"/>
          <w:sz w:val="24"/>
        </w:rPr>
        <w:t xml:space="preserve"> </w:t>
      </w:r>
      <w:r w:rsidR="0053787C" w:rsidRPr="0047162A">
        <w:rPr>
          <w:rFonts w:ascii="Calibri" w:hAnsi="Calibri" w:cs="Times New Roman"/>
          <w:sz w:val="24"/>
        </w:rPr>
        <w:t>1</w:t>
      </w:r>
      <w:r w:rsidRPr="0047162A">
        <w:rPr>
          <w:rFonts w:ascii="Calibri" w:hAnsi="Calibri" w:cs="Times New Roman"/>
          <w:sz w:val="24"/>
        </w:rPr>
        <w:t xml:space="preserve"> above.</w:t>
      </w:r>
      <w:bookmarkEnd w:id="25"/>
    </w:p>
    <w:p w14:paraId="60A4F3C1" w14:textId="77777777" w:rsidR="00540F45" w:rsidRPr="00540F45" w:rsidRDefault="00375738" w:rsidP="00540F45">
      <w:pPr>
        <w:pStyle w:val="Heading2"/>
        <w:rPr>
          <w:rFonts w:ascii="Calibri" w:hAnsi="Calibri"/>
          <w:sz w:val="24"/>
          <w:szCs w:val="24"/>
        </w:rPr>
      </w:pPr>
      <w:r>
        <w:rPr>
          <w:rFonts w:ascii="Calibri" w:hAnsi="Calibri" w:cs="Times New Roman"/>
          <w:sz w:val="24"/>
        </w:rPr>
        <w:br w:type="page"/>
      </w:r>
      <w:bookmarkStart w:id="59" w:name="_Toc512343406"/>
      <w:bookmarkStart w:id="60" w:name="_Toc524600790"/>
      <w:r w:rsidRPr="008702F5">
        <w:rPr>
          <w:rFonts w:ascii="Calibri" w:hAnsi="Calibri"/>
          <w:sz w:val="24"/>
          <w:szCs w:val="24"/>
        </w:rPr>
        <w:lastRenderedPageBreak/>
        <w:t>REFERENCES</w:t>
      </w:r>
      <w:bookmarkEnd w:id="59"/>
      <w:bookmarkEnd w:id="60"/>
    </w:p>
    <w:p w14:paraId="3328208C" w14:textId="77777777" w:rsidR="00786897" w:rsidRPr="00395532" w:rsidRDefault="00540F45" w:rsidP="008F3BFE">
      <w:pPr>
        <w:rPr>
          <w:rFonts w:ascii="Calibri" w:hAnsi="Calibri"/>
          <w:sz w:val="24"/>
        </w:rPr>
      </w:pPr>
      <w:r w:rsidRPr="00540F45">
        <w:fldChar w:fldCharType="begin"/>
      </w:r>
      <w:r w:rsidRPr="00540F45">
        <w:instrText xml:space="preserve"> ADDIN EN.REFLIST </w:instrText>
      </w:r>
      <w:r w:rsidRPr="00540F45">
        <w:fldChar w:fldCharType="end"/>
      </w:r>
    </w:p>
    <w:p w14:paraId="25756C88" w14:textId="77777777" w:rsidR="006D05FC" w:rsidRPr="00540F45" w:rsidRDefault="006D05FC" w:rsidP="006D05FC">
      <w:pPr>
        <w:pStyle w:val="EndNoteBibliography"/>
      </w:pPr>
      <w:r w:rsidRPr="00540F45">
        <w:fldChar w:fldCharType="begin"/>
      </w:r>
      <w:r w:rsidRPr="00540F45">
        <w:instrText xml:space="preserve"> ADDIN EN.REFLIST </w:instrText>
      </w:r>
      <w:r w:rsidRPr="00540F45">
        <w:fldChar w:fldCharType="separate"/>
      </w:r>
      <w:r w:rsidRPr="00540F45">
        <w:t>1.</w:t>
      </w:r>
      <w:r w:rsidRPr="00540F45">
        <w:tab/>
        <w:t>Boudreau E, Schuster B, Sanchez J, Novakowski W, Johnson R, Redmond D, et al. Tolerability of prophylactic Lariam regimens. Trop Med Parasitol. 1993;44(3):257-65.</w:t>
      </w:r>
      <w:r w:rsidR="002B4D38">
        <w:t xml:space="preserve"> (RMA ID: 081267)</w:t>
      </w:r>
    </w:p>
    <w:p w14:paraId="24D176CC" w14:textId="77777777" w:rsidR="006D05FC" w:rsidRPr="00540F45" w:rsidRDefault="006D05FC" w:rsidP="006D05FC">
      <w:pPr>
        <w:pStyle w:val="EndNoteBibliography"/>
      </w:pPr>
      <w:r w:rsidRPr="00540F45">
        <w:t>2.</w:t>
      </w:r>
      <w:r w:rsidRPr="00540F45">
        <w:tab/>
        <w:t>Carrara VI, Phyo AP, Nwee P, Soe M, Htoo H, Arunkamomkiri J, et al. Auditory assessment of patients with acute uncomplicated Plasmodium falciparum malaria treated with three-day mefloquine-artesunate on the north-western border of Thailand. Malar J. 2008;7:233.</w:t>
      </w:r>
      <w:r w:rsidR="002B4D38">
        <w:t xml:space="preserve"> (RMA ID: 075192)</w:t>
      </w:r>
    </w:p>
    <w:p w14:paraId="12C73E56" w14:textId="77777777" w:rsidR="006D05FC" w:rsidRPr="00540F45" w:rsidRDefault="006D05FC" w:rsidP="006D05FC">
      <w:pPr>
        <w:pStyle w:val="EndNoteBibliography"/>
      </w:pPr>
      <w:r w:rsidRPr="00540F45">
        <w:t>3.</w:t>
      </w:r>
      <w:r w:rsidRPr="00540F45">
        <w:tab/>
        <w:t>Castelli F, Odolini S, Autino B, Foca E, Russo R. Malaria prophylaxis: a comprehensive review. Pharmaceuticals. 2010;3:3212-39.</w:t>
      </w:r>
      <w:r w:rsidR="002B4D38">
        <w:t xml:space="preserve"> (RMA ID: 075193)</w:t>
      </w:r>
    </w:p>
    <w:p w14:paraId="00AF3500" w14:textId="77777777" w:rsidR="006D05FC" w:rsidRPr="00540F45" w:rsidRDefault="006D05FC" w:rsidP="006D05FC">
      <w:pPr>
        <w:pStyle w:val="EndNoteBibliography"/>
      </w:pPr>
      <w:r w:rsidRPr="00540F45">
        <w:t>4.</w:t>
      </w:r>
      <w:r w:rsidRPr="00540F45">
        <w:tab/>
        <w:t>Eick-Cost AA, Hu Z, Rohrbeck P, Clark LL. Neuropsychiatric Outcomes After Mefloquine Exposure Among U.S. Military Service Members. Am J Trop Med Hyg. 2017;96(1):159-66.</w:t>
      </w:r>
      <w:r w:rsidR="002B4D38">
        <w:t xml:space="preserve"> (RMA ID: 081289)</w:t>
      </w:r>
    </w:p>
    <w:p w14:paraId="5C90E69D" w14:textId="77777777" w:rsidR="006D05FC" w:rsidRPr="00540F45" w:rsidRDefault="006D05FC" w:rsidP="006D05FC">
      <w:pPr>
        <w:pStyle w:val="EndNoteBibliography"/>
        <w:spacing w:after="0"/>
      </w:pPr>
      <w:r w:rsidRPr="00540F45">
        <w:t>5.</w:t>
      </w:r>
      <w:r w:rsidRPr="00540F45">
        <w:tab/>
        <w:t>Jaspers CA, Hopperus Buma AP, van Thiel PP, van Hulst RA, Kager PA. Tolerance of mefloquine chemoprophylaxis in Dutch military personnel. Am J Trop Med Hyg. 1996;55(2):230-4.</w:t>
      </w:r>
      <w:r w:rsidR="002B4D38">
        <w:t xml:space="preserve"> (RMA ID: 081502)</w:t>
      </w:r>
    </w:p>
    <w:p w14:paraId="3DEBF5EB" w14:textId="77777777" w:rsidR="006D05FC" w:rsidRPr="00540F45" w:rsidRDefault="006D05FC" w:rsidP="006D05FC">
      <w:pPr>
        <w:pStyle w:val="EndNoteBibliography"/>
        <w:spacing w:after="0"/>
      </w:pPr>
    </w:p>
    <w:p w14:paraId="2046185B" w14:textId="77777777" w:rsidR="006D05FC" w:rsidRPr="00540F45" w:rsidRDefault="006D05FC" w:rsidP="006D05FC">
      <w:pPr>
        <w:pStyle w:val="EndNoteBibliography"/>
        <w:spacing w:after="0"/>
      </w:pPr>
      <w:r w:rsidRPr="00540F45">
        <w:t>6.</w:t>
      </w:r>
      <w:r w:rsidRPr="00540F45">
        <w:tab/>
        <w:t>Kitchener SJ, Nasveld PE, Gregory RM, Edstein MD. Mefloquine and doxycycline malaria prophylaxis in Australian soldiers in East Timor. Med J Aust. 2005;182(4):168-71.</w:t>
      </w:r>
      <w:r w:rsidR="002B4D38">
        <w:t xml:space="preserve"> (RMA ID: 077980)</w:t>
      </w:r>
    </w:p>
    <w:p w14:paraId="3C2128AF" w14:textId="77777777" w:rsidR="006D05FC" w:rsidRPr="00540F45" w:rsidRDefault="006D05FC" w:rsidP="006D05FC">
      <w:pPr>
        <w:pStyle w:val="EndNoteBibliography"/>
        <w:spacing w:after="0"/>
      </w:pPr>
    </w:p>
    <w:p w14:paraId="5F22A24E" w14:textId="77777777" w:rsidR="006D05FC" w:rsidRPr="00540F45" w:rsidRDefault="006D05FC" w:rsidP="006D05FC">
      <w:pPr>
        <w:pStyle w:val="EndNoteBibliography"/>
        <w:spacing w:after="0"/>
      </w:pPr>
      <w:r w:rsidRPr="00540F45">
        <w:t>7.</w:t>
      </w:r>
      <w:r w:rsidRPr="00540F45">
        <w:tab/>
        <w:t>Lee SJ, Ter Kuile FO, Price RN, Luxemburger C, Nosten F. Adverse effects of mefloquine for the treatment of uncomplicated malaria in Thailand: A pooled analysis of 19, 850 individual patients. PLoS One. 2017;12(2):e0168780.</w:t>
      </w:r>
      <w:r w:rsidR="002B4D38">
        <w:t xml:space="preserve"> (RMA ID: 081215)</w:t>
      </w:r>
    </w:p>
    <w:p w14:paraId="4EB97748" w14:textId="77777777" w:rsidR="006D05FC" w:rsidRPr="00540F45" w:rsidRDefault="006D05FC" w:rsidP="006D05FC">
      <w:pPr>
        <w:pStyle w:val="EndNoteBibliography"/>
        <w:spacing w:after="0"/>
      </w:pPr>
    </w:p>
    <w:p w14:paraId="3C21E30B" w14:textId="77777777" w:rsidR="006D05FC" w:rsidRPr="00540F45" w:rsidRDefault="006D05FC" w:rsidP="006D05FC">
      <w:pPr>
        <w:pStyle w:val="EndNoteBibliography"/>
        <w:spacing w:after="0"/>
      </w:pPr>
      <w:r w:rsidRPr="00540F45">
        <w:t>8.</w:t>
      </w:r>
      <w:r w:rsidRPr="00540F45">
        <w:tab/>
        <w:t>Livezey J, Oliver T, Cantilena L. Prolonged Neuropsychiatric Symptoms in a Military Service Member Exposed to Mefloquine. Drug Saf Case Rep. 2016;3(1):7.</w:t>
      </w:r>
      <w:r w:rsidR="002B4D38">
        <w:t xml:space="preserve"> (RMA ID: 080812)</w:t>
      </w:r>
    </w:p>
    <w:p w14:paraId="7B0FE752" w14:textId="77777777" w:rsidR="006D05FC" w:rsidRPr="00540F45" w:rsidRDefault="006D05FC" w:rsidP="006D05FC">
      <w:pPr>
        <w:pStyle w:val="EndNoteBibliography"/>
        <w:spacing w:after="0"/>
      </w:pPr>
    </w:p>
    <w:p w14:paraId="2C2A3C30" w14:textId="77777777" w:rsidR="006D05FC" w:rsidRPr="00540F45" w:rsidRDefault="006D05FC" w:rsidP="006D05FC">
      <w:pPr>
        <w:pStyle w:val="EndNoteBibliography"/>
        <w:spacing w:after="0"/>
      </w:pPr>
      <w:r w:rsidRPr="00540F45">
        <w:t>9.</w:t>
      </w:r>
      <w:r w:rsidRPr="00540F45">
        <w:tab/>
        <w:t>McCarthy S. Malaria Prevention, Mefloquine Neurotoxicity, Neuropsychiatric Illness, and Risk-Benefit Analysis in the Australian Defence Force. J Parasitol Res. 2015;2015:287651.</w:t>
      </w:r>
      <w:r w:rsidR="002B4D38">
        <w:t xml:space="preserve"> (RMA ID: 069474)</w:t>
      </w:r>
    </w:p>
    <w:p w14:paraId="6B53B99A" w14:textId="77777777" w:rsidR="006D05FC" w:rsidRPr="00540F45" w:rsidRDefault="006D05FC" w:rsidP="006D05FC">
      <w:pPr>
        <w:pStyle w:val="EndNoteBibliography"/>
        <w:spacing w:after="0"/>
      </w:pPr>
    </w:p>
    <w:p w14:paraId="060443AF" w14:textId="77777777" w:rsidR="006D05FC" w:rsidRPr="00540F45" w:rsidRDefault="006D05FC" w:rsidP="006D05FC">
      <w:pPr>
        <w:pStyle w:val="EndNoteBibliography"/>
        <w:spacing w:after="0"/>
      </w:pPr>
      <w:r w:rsidRPr="00540F45">
        <w:t>10.</w:t>
      </w:r>
      <w:r w:rsidRPr="00540F45">
        <w:tab/>
        <w:t>Nasveld PE, Edstein MD, Reid M, Brennan L, Harris IE, Kitchener SJ, et al. Randomized, double-blind study of the safety, tolerability, and efficacy of tafenoquine versus mefloquine for malaria prophylaxis in nonimmune subjects. Antimicrob Agents Chemother. 2010;54(2):792-8.</w:t>
      </w:r>
      <w:r w:rsidR="002B4D38">
        <w:t xml:space="preserve"> (RMA ID: 077907)</w:t>
      </w:r>
    </w:p>
    <w:p w14:paraId="6CA53211" w14:textId="77777777" w:rsidR="006D05FC" w:rsidRPr="00540F45" w:rsidRDefault="006D05FC" w:rsidP="006D05FC">
      <w:pPr>
        <w:pStyle w:val="EndNoteBibliography"/>
        <w:spacing w:after="0"/>
      </w:pPr>
    </w:p>
    <w:p w14:paraId="187E976F" w14:textId="77777777" w:rsidR="006D05FC" w:rsidRPr="00540F45" w:rsidRDefault="006D05FC" w:rsidP="006D05FC">
      <w:pPr>
        <w:pStyle w:val="EndNoteBibliography"/>
        <w:spacing w:after="0"/>
      </w:pPr>
      <w:r w:rsidRPr="00540F45">
        <w:t>11.</w:t>
      </w:r>
      <w:r w:rsidRPr="00540F45">
        <w:tab/>
        <w:t>Nevin RL, Ritchie EC. The mefloquine intoxication syndrome: a significant potential confounder in the diagnosis and management of PTSP and other chronic deployment-related neuropsychiatric disorders.  Posttraumatic stress disorder and related diseases in combat veterans: Springer International Publishing; 2016. p. 257-78.</w:t>
      </w:r>
      <w:r w:rsidR="002B4D38">
        <w:t xml:space="preserve"> (RMA ID: 081518)</w:t>
      </w:r>
    </w:p>
    <w:p w14:paraId="4B844E79" w14:textId="77777777" w:rsidR="006D05FC" w:rsidRPr="00540F45" w:rsidRDefault="006D05FC" w:rsidP="006D05FC">
      <w:pPr>
        <w:pStyle w:val="EndNoteBibliography"/>
        <w:spacing w:after="0"/>
      </w:pPr>
    </w:p>
    <w:p w14:paraId="2DC346EF" w14:textId="77777777" w:rsidR="006D05FC" w:rsidRPr="00540F45" w:rsidRDefault="006D05FC" w:rsidP="006D05FC">
      <w:pPr>
        <w:pStyle w:val="EndNoteBibliography"/>
        <w:spacing w:after="0"/>
      </w:pPr>
      <w:r w:rsidRPr="00540F45">
        <w:t>12.</w:t>
      </w:r>
      <w:r w:rsidRPr="00540F45">
        <w:tab/>
        <w:t>Nevin RL. Limbic encephalopathy and central vestibulopathy caused by mefloquine: a case report. Travel Med Infect Dis. 2012;10(3):144-51.</w:t>
      </w:r>
      <w:r w:rsidR="002B4D38">
        <w:t xml:space="preserve"> (RMA ID: 075201)</w:t>
      </w:r>
    </w:p>
    <w:p w14:paraId="37850389" w14:textId="77777777" w:rsidR="006D05FC" w:rsidRPr="00540F45" w:rsidRDefault="006D05FC" w:rsidP="006D05FC">
      <w:pPr>
        <w:pStyle w:val="EndNoteBibliography"/>
        <w:spacing w:after="0"/>
      </w:pPr>
    </w:p>
    <w:p w14:paraId="04E567E7" w14:textId="77777777" w:rsidR="006D05FC" w:rsidRPr="00540F45" w:rsidRDefault="006D05FC" w:rsidP="006D05FC">
      <w:pPr>
        <w:pStyle w:val="EndNoteBibliography"/>
        <w:spacing w:after="0"/>
      </w:pPr>
      <w:r w:rsidRPr="00540F45">
        <w:lastRenderedPageBreak/>
        <w:t>13.</w:t>
      </w:r>
      <w:r w:rsidRPr="00540F45">
        <w:tab/>
        <w:t>Nevin RL. Mefloquine prescriptions in the presence of contraindications: prevalence among US military personnel deployed to Afghanistan, 2007. Pharmacoepidemiol Drug Saf. 2010;19(2):206-10.</w:t>
      </w:r>
      <w:r w:rsidR="002B4D38">
        <w:t xml:space="preserve"> (RMA ID: 077908)</w:t>
      </w:r>
    </w:p>
    <w:p w14:paraId="6FCFC72E" w14:textId="77777777" w:rsidR="006D05FC" w:rsidRPr="00540F45" w:rsidRDefault="006D05FC" w:rsidP="006D05FC">
      <w:pPr>
        <w:pStyle w:val="EndNoteBibliography"/>
        <w:spacing w:after="0"/>
      </w:pPr>
    </w:p>
    <w:p w14:paraId="11192DBE" w14:textId="77777777" w:rsidR="006D05FC" w:rsidRDefault="006D05FC" w:rsidP="006D05FC">
      <w:pPr>
        <w:pStyle w:val="EndNoteBibliography"/>
        <w:spacing w:after="0"/>
      </w:pPr>
      <w:r w:rsidRPr="00540F45">
        <w:t>14.</w:t>
      </w:r>
      <w:r w:rsidRPr="00540F45">
        <w:tab/>
        <w:t>Nevin RL. Rational Risk-Benefit Decision-Making in the Setting of Military Mefloquine Policy. J Parasitol Res. 2015;2015:260106.</w:t>
      </w:r>
      <w:r w:rsidR="002B4D38">
        <w:t xml:space="preserve"> (RMA ID: 077911)</w:t>
      </w:r>
    </w:p>
    <w:p w14:paraId="0DFC9995" w14:textId="77777777" w:rsidR="002B4D38" w:rsidRPr="00540F45" w:rsidRDefault="002B4D38" w:rsidP="006D05FC">
      <w:pPr>
        <w:pStyle w:val="EndNoteBibliography"/>
        <w:spacing w:after="0"/>
      </w:pPr>
    </w:p>
    <w:p w14:paraId="2E9CAE84" w14:textId="77777777" w:rsidR="006D05FC" w:rsidRPr="00540F45" w:rsidRDefault="006D05FC" w:rsidP="006D05FC">
      <w:pPr>
        <w:pStyle w:val="EndNoteBibliography"/>
        <w:spacing w:after="0"/>
      </w:pPr>
      <w:r w:rsidRPr="00540F45">
        <w:t>15.</w:t>
      </w:r>
      <w:r w:rsidRPr="00540F45">
        <w:tab/>
        <w:t>Nevin RL. Bias in military studies of mefloquine. J Travel Med. 2016;23(2):tav028.</w:t>
      </w:r>
      <w:r w:rsidR="002B4D38">
        <w:t xml:space="preserve"> (RMA ID: 081259)</w:t>
      </w:r>
    </w:p>
    <w:p w14:paraId="4BDFB912" w14:textId="77777777" w:rsidR="006D05FC" w:rsidRPr="00540F45" w:rsidRDefault="006D05FC" w:rsidP="006D05FC">
      <w:pPr>
        <w:pStyle w:val="EndNoteBibliography"/>
        <w:spacing w:after="0"/>
      </w:pPr>
    </w:p>
    <w:p w14:paraId="60CBCD71" w14:textId="77777777" w:rsidR="006D05FC" w:rsidRPr="00540F45" w:rsidRDefault="006D05FC" w:rsidP="006D05FC">
      <w:pPr>
        <w:pStyle w:val="EndNoteBibliography"/>
        <w:spacing w:after="0"/>
      </w:pPr>
      <w:r w:rsidRPr="00540F45">
        <w:t>16.</w:t>
      </w:r>
      <w:r w:rsidRPr="00540F45">
        <w:tab/>
        <w:t>Nevin RL. Mefloquine and posttraumatic stress disorder. In: Ritchie EC, editor. Textbook of military medicine: forensic and ethical issuesin military behavioural health. Washington, DC: Borden Institute; 2015. p. 277-96.</w:t>
      </w:r>
      <w:r w:rsidR="002B4D38">
        <w:t xml:space="preserve"> (RMA ID: 076942)</w:t>
      </w:r>
    </w:p>
    <w:p w14:paraId="05954318" w14:textId="77777777" w:rsidR="006D05FC" w:rsidRPr="00540F45" w:rsidRDefault="006D05FC" w:rsidP="006D05FC">
      <w:pPr>
        <w:pStyle w:val="EndNoteBibliography"/>
        <w:spacing w:after="0"/>
      </w:pPr>
    </w:p>
    <w:p w14:paraId="4A3B976E" w14:textId="77777777" w:rsidR="006D05FC" w:rsidRPr="00540F45" w:rsidRDefault="006D05FC" w:rsidP="006D05FC">
      <w:pPr>
        <w:pStyle w:val="EndNoteBibliography"/>
        <w:spacing w:after="0"/>
      </w:pPr>
      <w:r w:rsidRPr="00540F45">
        <w:t>17.</w:t>
      </w:r>
      <w:r w:rsidRPr="00540F45">
        <w:tab/>
        <w:t>Nevin RL. Idiosyncratic quinoline central nervous system toxicity: Historical insights into the chronic neurological sequelae of mefloquine. Int J Parasitol Drugs Drug Resist. 2014;4(2):118-25.</w:t>
      </w:r>
      <w:r w:rsidR="00933C60">
        <w:t xml:space="preserve"> (RMA ID: 077909)</w:t>
      </w:r>
    </w:p>
    <w:p w14:paraId="6B2D3B23" w14:textId="77777777" w:rsidR="006D05FC" w:rsidRPr="00540F45" w:rsidRDefault="006D05FC" w:rsidP="006D05FC">
      <w:pPr>
        <w:pStyle w:val="EndNoteBibliography"/>
        <w:spacing w:after="0"/>
      </w:pPr>
    </w:p>
    <w:p w14:paraId="4142A84C" w14:textId="77777777" w:rsidR="006D05FC" w:rsidRPr="00540F45" w:rsidRDefault="006D05FC" w:rsidP="006D05FC">
      <w:pPr>
        <w:pStyle w:val="EndNoteBibliography"/>
        <w:spacing w:after="0"/>
      </w:pPr>
      <w:r w:rsidRPr="00540F45">
        <w:t>18.</w:t>
      </w:r>
      <w:r w:rsidRPr="00540F45">
        <w:tab/>
        <w:t>Nevin RL, Croft AM. Psychiatric effects of malaria and anti-malarial drugs: historical and modern perspectives. Malar J. 2016;15:332.</w:t>
      </w:r>
      <w:r w:rsidR="00933C60">
        <w:t xml:space="preserve"> (RMA ID: 081439)</w:t>
      </w:r>
    </w:p>
    <w:p w14:paraId="353F4BBE" w14:textId="77777777" w:rsidR="006D05FC" w:rsidRPr="00540F45" w:rsidRDefault="006D05FC" w:rsidP="006D05FC">
      <w:pPr>
        <w:pStyle w:val="EndNoteBibliography"/>
        <w:spacing w:after="0"/>
      </w:pPr>
    </w:p>
    <w:p w14:paraId="58499396" w14:textId="77777777" w:rsidR="006D05FC" w:rsidRPr="00540F45" w:rsidRDefault="006D05FC" w:rsidP="006D05FC">
      <w:pPr>
        <w:pStyle w:val="EndNoteBibliography"/>
        <w:spacing w:after="0"/>
      </w:pPr>
      <w:r w:rsidRPr="00540F45">
        <w:t>19.</w:t>
      </w:r>
      <w:r w:rsidRPr="00540F45">
        <w:tab/>
        <w:t>Nevin RL, Leoutsakos JM. Identification of a Syndrome Class of Neuropsychiatric Adverse Reactions to Mefloquine from Latent Class Modeling of FDA Adverse Event Reporting System Data. Drugs R D. 2017;17(1):199-210.</w:t>
      </w:r>
      <w:r w:rsidR="00933C60">
        <w:t xml:space="preserve"> (RMA ID: 081257)</w:t>
      </w:r>
    </w:p>
    <w:p w14:paraId="19AFB9FC" w14:textId="77777777" w:rsidR="006D05FC" w:rsidRPr="00540F45" w:rsidRDefault="006D05FC" w:rsidP="006D05FC">
      <w:pPr>
        <w:pStyle w:val="EndNoteBibliography"/>
        <w:spacing w:after="0"/>
      </w:pPr>
    </w:p>
    <w:p w14:paraId="057EBFE2" w14:textId="77777777" w:rsidR="006D05FC" w:rsidRPr="00540F45" w:rsidRDefault="006D05FC" w:rsidP="006D05FC">
      <w:pPr>
        <w:pStyle w:val="EndNoteBibliography"/>
        <w:spacing w:after="0"/>
      </w:pPr>
      <w:r w:rsidRPr="00540F45">
        <w:t>20.</w:t>
      </w:r>
      <w:r w:rsidRPr="00540F45">
        <w:tab/>
        <w:t>Quinn JC. Complex Membrane Channel Blockade: A Unifying Hypothesis for the Prodromal and Acute Neuropsychiatric Sequelae Resulting from Exposure to the Antimalarial Drug Mefloquine. J Parasitol Res. 2015;2015:368064.</w:t>
      </w:r>
      <w:r w:rsidR="00933C60">
        <w:t xml:space="preserve"> (RMA ID: 076939)</w:t>
      </w:r>
    </w:p>
    <w:p w14:paraId="6A93F194" w14:textId="77777777" w:rsidR="006D05FC" w:rsidRPr="00540F45" w:rsidRDefault="006D05FC" w:rsidP="006D05FC">
      <w:pPr>
        <w:pStyle w:val="EndNoteBibliography"/>
        <w:spacing w:after="0"/>
      </w:pPr>
    </w:p>
    <w:p w14:paraId="48A7A89C" w14:textId="77777777" w:rsidR="006D05FC" w:rsidRPr="00540F45" w:rsidRDefault="006D05FC" w:rsidP="006D05FC">
      <w:pPr>
        <w:pStyle w:val="EndNoteBibliography"/>
        <w:spacing w:after="0"/>
      </w:pPr>
      <w:r w:rsidRPr="00540F45">
        <w:t>21.</w:t>
      </w:r>
      <w:r w:rsidRPr="00540F45">
        <w:tab/>
        <w:t>Ringqvist A, Bech P, Glenthoj B, Petersen E. Acute and long-term psychiatric side effects of mefloquine: a follow-up on Danish adverse event reports. Travel Med Infect Dis. 2015;13(1):80-8.</w:t>
      </w:r>
      <w:r w:rsidR="00933C60">
        <w:t xml:space="preserve"> (RMA ID: 075202)</w:t>
      </w:r>
    </w:p>
    <w:p w14:paraId="62FC4D73" w14:textId="77777777" w:rsidR="006D05FC" w:rsidRPr="00540F45" w:rsidRDefault="006D05FC" w:rsidP="006D05FC">
      <w:pPr>
        <w:pStyle w:val="EndNoteBibliography"/>
        <w:spacing w:after="0"/>
      </w:pPr>
    </w:p>
    <w:p w14:paraId="04341A62" w14:textId="77777777" w:rsidR="006D05FC" w:rsidRPr="00540F45" w:rsidRDefault="006D05FC" w:rsidP="006D05FC">
      <w:pPr>
        <w:pStyle w:val="EndNoteBibliography"/>
        <w:spacing w:after="0"/>
      </w:pPr>
      <w:r w:rsidRPr="00540F45">
        <w:t>22.</w:t>
      </w:r>
      <w:r w:rsidRPr="00540F45">
        <w:tab/>
        <w:t>Schlagenhauf P, Adamcova M, Regep L, Schaerer MT, Rhein HG. The position of mefloquine as a 21st century malaria chemoprophylaxis. Malar J. 2010;9:357.</w:t>
      </w:r>
      <w:r w:rsidR="00933C60">
        <w:t xml:space="preserve"> (RMA ID: 081457)</w:t>
      </w:r>
    </w:p>
    <w:p w14:paraId="5DE4E0C4" w14:textId="77777777" w:rsidR="006D05FC" w:rsidRPr="00540F45" w:rsidRDefault="006D05FC" w:rsidP="006D05FC">
      <w:pPr>
        <w:pStyle w:val="EndNoteBibliography"/>
        <w:spacing w:after="0"/>
      </w:pPr>
    </w:p>
    <w:p w14:paraId="308F9DC4" w14:textId="77777777" w:rsidR="006D05FC" w:rsidRPr="00540F45" w:rsidRDefault="006D05FC" w:rsidP="006D05FC">
      <w:pPr>
        <w:pStyle w:val="EndNoteBibliography"/>
        <w:spacing w:after="0"/>
      </w:pPr>
      <w:r w:rsidRPr="00540F45">
        <w:t>23.</w:t>
      </w:r>
      <w:r w:rsidRPr="00540F45">
        <w:tab/>
        <w:t>Schlagenhauf P, Tschopp A, Johnson R, Nothdurft HD, Beck B, Schwartz E, et al. Tolerability of malaria chemoprophylaxis in non-immune travellers to sub-Saharan Africa: multicentre, randomised, double blind, four arm study. BMJ. 2003;327(7423):1078.</w:t>
      </w:r>
      <w:r w:rsidR="00933C60">
        <w:t xml:space="preserve"> (RMA ID: 080940)</w:t>
      </w:r>
    </w:p>
    <w:p w14:paraId="10A42486" w14:textId="77777777" w:rsidR="006D05FC" w:rsidRPr="00540F45" w:rsidRDefault="006D05FC" w:rsidP="006D05FC">
      <w:pPr>
        <w:pStyle w:val="EndNoteBibliography"/>
        <w:spacing w:after="0"/>
      </w:pPr>
    </w:p>
    <w:p w14:paraId="0419E4A0" w14:textId="77777777" w:rsidR="006D05FC" w:rsidRPr="00540F45" w:rsidRDefault="006D05FC" w:rsidP="006D05FC">
      <w:pPr>
        <w:pStyle w:val="EndNoteBibliography"/>
        <w:spacing w:after="0"/>
      </w:pPr>
      <w:r w:rsidRPr="00540F45">
        <w:t>24.</w:t>
      </w:r>
      <w:r w:rsidRPr="00540F45">
        <w:tab/>
        <w:t>Schneider C, Adamcova M, Jick SS, Schlagenhauf P, Miller MK, Rhein HG, et al. Antimalarial chemoprophylaxis and the risk of neuropsychiatric disorders. Travel Med Infect Dis. 2013;11(2):71-80.</w:t>
      </w:r>
      <w:r w:rsidR="00933C60">
        <w:t xml:space="preserve"> (RMA ID: 075206)</w:t>
      </w:r>
    </w:p>
    <w:p w14:paraId="70648D96" w14:textId="77777777" w:rsidR="006D05FC" w:rsidRPr="00540F45" w:rsidRDefault="006D05FC" w:rsidP="006D05FC">
      <w:pPr>
        <w:pStyle w:val="EndNoteBibliography"/>
        <w:spacing w:after="0"/>
      </w:pPr>
    </w:p>
    <w:p w14:paraId="5C98ADEC" w14:textId="77777777" w:rsidR="006D05FC" w:rsidRPr="00540F45" w:rsidRDefault="006D05FC" w:rsidP="006D05FC">
      <w:pPr>
        <w:pStyle w:val="EndNoteBibliography"/>
        <w:spacing w:after="0"/>
      </w:pPr>
      <w:r w:rsidRPr="00540F45">
        <w:t>25.</w:t>
      </w:r>
      <w:r w:rsidRPr="00540F45">
        <w:tab/>
        <w:t>Toovey S. Mefloquine neurotoxicity: a literature review. Travel Med Infect Dis. 2009;7(1):2-6.</w:t>
      </w:r>
      <w:r w:rsidR="00933C60">
        <w:t xml:space="preserve"> (RMA ID: 075359)</w:t>
      </w:r>
    </w:p>
    <w:p w14:paraId="68552F71" w14:textId="77777777" w:rsidR="006D05FC" w:rsidRPr="00540F45" w:rsidRDefault="006D05FC" w:rsidP="006D05FC">
      <w:pPr>
        <w:pStyle w:val="EndNoteBibliography"/>
        <w:spacing w:after="0"/>
      </w:pPr>
    </w:p>
    <w:p w14:paraId="2709F3CB" w14:textId="77777777" w:rsidR="006D05FC" w:rsidRPr="00540F45" w:rsidRDefault="006D05FC" w:rsidP="006D05FC">
      <w:pPr>
        <w:pStyle w:val="EndNoteBibliography"/>
        <w:spacing w:after="0"/>
      </w:pPr>
      <w:r w:rsidRPr="00540F45">
        <w:lastRenderedPageBreak/>
        <w:t>26.</w:t>
      </w:r>
      <w:r w:rsidRPr="00540F45">
        <w:tab/>
        <w:t>van Riemsdijk MM, Sturkenboom MC, Ditters JM, Ligthelm RJ, Overbosch D, Stricker BH. Atovaquone plus chloroguanide versus mefloquine for malaria prophylaxis: a focus on neuropsychiatric adverse events. Clin Pharmacol Ther. 2002;72(3):294-301.</w:t>
      </w:r>
      <w:r w:rsidR="00933C60">
        <w:t xml:space="preserve"> (RMA ID: 081192)</w:t>
      </w:r>
    </w:p>
    <w:p w14:paraId="43DA823F" w14:textId="77777777" w:rsidR="006D05FC" w:rsidRPr="00540F45" w:rsidRDefault="006D05FC" w:rsidP="006D05FC">
      <w:pPr>
        <w:pStyle w:val="EndNoteBibliography"/>
        <w:spacing w:after="0"/>
      </w:pPr>
    </w:p>
    <w:p w14:paraId="30C37A03" w14:textId="77777777" w:rsidR="006D05FC" w:rsidRPr="00540F45" w:rsidRDefault="006D05FC" w:rsidP="006D05FC">
      <w:pPr>
        <w:pStyle w:val="EndNoteBibliography"/>
        <w:spacing w:after="0"/>
      </w:pPr>
      <w:r w:rsidRPr="00540F45">
        <w:t>27.</w:t>
      </w:r>
      <w:r w:rsidRPr="00540F45">
        <w:tab/>
        <w:t>van Riemsdijk MM, Sturkenboom MC, Pepplinkhuizen L, Stricker BH. Mefloquine increases the risk of serious psychiatric events during travel abroad: a nationwide case-control study in the Netherlands. J Clin Psychiatry. 2005;66(2):199-204.</w:t>
      </w:r>
      <w:r w:rsidR="00933C60">
        <w:t xml:space="preserve"> (RMA ID: 082190)</w:t>
      </w:r>
    </w:p>
    <w:p w14:paraId="562C97BC" w14:textId="77777777" w:rsidR="006D05FC" w:rsidRPr="00540F45" w:rsidRDefault="006D05FC" w:rsidP="006D05FC">
      <w:pPr>
        <w:pStyle w:val="EndNoteBibliography"/>
        <w:spacing w:after="0"/>
      </w:pPr>
    </w:p>
    <w:p w14:paraId="07C5EE8D" w14:textId="77777777" w:rsidR="006D05FC" w:rsidRPr="00540F45" w:rsidRDefault="006D05FC" w:rsidP="006D05FC">
      <w:pPr>
        <w:pStyle w:val="EndNoteBibliography"/>
        <w:spacing w:after="0"/>
      </w:pPr>
      <w:r w:rsidRPr="00540F45">
        <w:t>28.</w:t>
      </w:r>
      <w:r w:rsidRPr="00540F45">
        <w:tab/>
        <w:t>Weinke T, Trautmann M, Held T, Weber G, Eichenlaub D, Fleischer K, et al. Neuropsychiatric side effects after the use of mefloquine. Am J Trop Med Hyg. 1991;45(1):86-91.</w:t>
      </w:r>
      <w:r w:rsidR="00933C60">
        <w:t xml:space="preserve"> (RMA ID: 075208)</w:t>
      </w:r>
    </w:p>
    <w:p w14:paraId="4F5D563D" w14:textId="77777777" w:rsidR="006D05FC" w:rsidRPr="00540F45" w:rsidRDefault="006D05FC" w:rsidP="006D05FC">
      <w:pPr>
        <w:pStyle w:val="EndNoteBibliography"/>
        <w:spacing w:after="0"/>
      </w:pPr>
    </w:p>
    <w:p w14:paraId="4AC232C8" w14:textId="77777777" w:rsidR="006D05FC" w:rsidRPr="00540F45" w:rsidRDefault="006D05FC" w:rsidP="006D05FC">
      <w:pPr>
        <w:pStyle w:val="EndNoteBibliography"/>
        <w:spacing w:after="0"/>
      </w:pPr>
      <w:r w:rsidRPr="00540F45">
        <w:t>29.</w:t>
      </w:r>
      <w:r w:rsidRPr="00540F45">
        <w:tab/>
        <w:t>Wells TS, Smith TC, Smith B, Wang LZ, Hansen CJ, Reed RJ, et al. Mefloquine use and hospitalizations among US service members, 2002-2004. Am J Trop Med Hyg. 2006;74(5):744-9.</w:t>
      </w:r>
      <w:r w:rsidR="00933C60">
        <w:t xml:space="preserve"> (RMA ID: 077259)</w:t>
      </w:r>
    </w:p>
    <w:p w14:paraId="17230D95" w14:textId="77777777" w:rsidR="006D05FC" w:rsidRPr="00540F45" w:rsidRDefault="006D05FC" w:rsidP="006D05FC">
      <w:pPr>
        <w:pStyle w:val="EndNoteBibliography"/>
        <w:spacing w:after="0"/>
      </w:pPr>
    </w:p>
    <w:p w14:paraId="36CCC853" w14:textId="77777777" w:rsidR="006D05FC" w:rsidRPr="00540F45" w:rsidRDefault="006D05FC" w:rsidP="006D05FC">
      <w:pPr>
        <w:pStyle w:val="EndNoteBibliography"/>
        <w:spacing w:after="0"/>
      </w:pPr>
      <w:r w:rsidRPr="00540F45">
        <w:t>30.</w:t>
      </w:r>
      <w:r w:rsidRPr="00540F45">
        <w:tab/>
        <w:t>Recht J, Ashley E, White N. Safety of 8-aminoquinoline antimalarial medicines. 2014.</w:t>
      </w:r>
      <w:r w:rsidR="00933C60">
        <w:t xml:space="preserve"> (RMA ID: 080806)</w:t>
      </w:r>
    </w:p>
    <w:p w14:paraId="692DDEA8" w14:textId="77777777" w:rsidR="006D05FC" w:rsidRPr="00540F45" w:rsidRDefault="006D05FC" w:rsidP="006D05FC">
      <w:pPr>
        <w:pStyle w:val="EndNoteBibliography"/>
        <w:spacing w:after="0"/>
      </w:pPr>
    </w:p>
    <w:p w14:paraId="1FC3D050" w14:textId="77777777" w:rsidR="006D05FC" w:rsidRPr="00540F45" w:rsidRDefault="006D05FC" w:rsidP="006D05FC">
      <w:pPr>
        <w:pStyle w:val="EndNoteBibliography"/>
        <w:spacing w:after="0"/>
      </w:pPr>
      <w:r w:rsidRPr="00540F45">
        <w:t>31.</w:t>
      </w:r>
      <w:r w:rsidRPr="00540F45">
        <w:tab/>
        <w:t>de Lagerie SB, Fernandez C, German-Fattal M, Gantier JC, Gimenez F, Farinotti R. Impact of cerebral malaria on brain distribution of mefloquine. Drug Metab Lett. 2009;3(1):15-7.</w:t>
      </w:r>
      <w:r w:rsidR="00933C60">
        <w:t xml:space="preserve"> (RMA ID: 080815)</w:t>
      </w:r>
    </w:p>
    <w:p w14:paraId="361B5B83" w14:textId="77777777" w:rsidR="006D05FC" w:rsidRPr="00540F45" w:rsidRDefault="006D05FC" w:rsidP="006D05FC">
      <w:pPr>
        <w:pStyle w:val="EndNoteBibliography"/>
        <w:spacing w:after="0"/>
      </w:pPr>
    </w:p>
    <w:p w14:paraId="5292913F" w14:textId="77777777" w:rsidR="006D05FC" w:rsidRPr="00540F45" w:rsidRDefault="006D05FC" w:rsidP="006D05FC">
      <w:pPr>
        <w:pStyle w:val="EndNoteBibliography"/>
        <w:spacing w:after="0"/>
      </w:pPr>
      <w:r w:rsidRPr="00540F45">
        <w:t>32.</w:t>
      </w:r>
      <w:r w:rsidRPr="00540F45">
        <w:tab/>
        <w:t>Dow GS, Milner E, Bathurst I, Bhonsle J, Caridha D, Gardner S, et al. Central nervous system exposure of next generation quinoline methanols is reduced relative to mefloquine after intravenous dosing in mice. Malar J. 2011;10:150.</w:t>
      </w:r>
      <w:r w:rsidR="00933C60">
        <w:t xml:space="preserve"> (RMA ID: 081431)</w:t>
      </w:r>
    </w:p>
    <w:p w14:paraId="5BDB03DD" w14:textId="77777777" w:rsidR="006D05FC" w:rsidRPr="00540F45" w:rsidRDefault="006D05FC" w:rsidP="006D05FC">
      <w:pPr>
        <w:pStyle w:val="EndNoteBibliography"/>
        <w:spacing w:after="0"/>
      </w:pPr>
    </w:p>
    <w:p w14:paraId="7C30174A" w14:textId="77777777" w:rsidR="006D05FC" w:rsidRPr="00540F45" w:rsidRDefault="006D05FC" w:rsidP="006D05FC">
      <w:pPr>
        <w:pStyle w:val="EndNoteBibliography"/>
        <w:spacing w:after="0"/>
      </w:pPr>
      <w:r w:rsidRPr="00540F45">
        <w:t>33.</w:t>
      </w:r>
      <w:r w:rsidRPr="00540F45">
        <w:tab/>
        <w:t>Hood JE, Jenkins JW, Milatovic D, Rongzhu L, Aschner M. Mefloquine induces oxidative stress and neurodegeneration in primary rat cortical neurons. Neurotoxicology. 2010;31(5):518-23.</w:t>
      </w:r>
      <w:r w:rsidR="00933C60">
        <w:t xml:space="preserve"> (RMA ID: 080813)</w:t>
      </w:r>
    </w:p>
    <w:p w14:paraId="5BFA6233" w14:textId="77777777" w:rsidR="006D05FC" w:rsidRPr="00540F45" w:rsidRDefault="006D05FC" w:rsidP="006D05FC">
      <w:pPr>
        <w:pStyle w:val="EndNoteBibliography"/>
        <w:spacing w:after="0"/>
      </w:pPr>
    </w:p>
    <w:p w14:paraId="2F962328" w14:textId="77777777" w:rsidR="006D05FC" w:rsidRPr="00540F45" w:rsidRDefault="006D05FC" w:rsidP="006D05FC">
      <w:pPr>
        <w:pStyle w:val="EndNoteBibliography"/>
        <w:spacing w:after="0"/>
      </w:pPr>
      <w:r w:rsidRPr="00540F45">
        <w:t>34.</w:t>
      </w:r>
      <w:r w:rsidRPr="00540F45">
        <w:tab/>
        <w:t>Dow G, Bauman R, Caridha D, Cabezas M, Du F, Gomez-Lobo R, et al. Mefloquine induces dose-related neurological effects in a rat model. Antimicrob Agents Chemother. 2006;50(3):1045-53.</w:t>
      </w:r>
      <w:r w:rsidR="00933C60">
        <w:t xml:space="preserve"> (RMA ID: 077977)</w:t>
      </w:r>
    </w:p>
    <w:p w14:paraId="2DCF8D33" w14:textId="77777777" w:rsidR="006D05FC" w:rsidRPr="00540F45" w:rsidRDefault="006D05FC" w:rsidP="006D05FC">
      <w:pPr>
        <w:pStyle w:val="EndNoteBibliography"/>
        <w:spacing w:after="0"/>
      </w:pPr>
    </w:p>
    <w:p w14:paraId="0E68A4F0" w14:textId="77777777" w:rsidR="006D05FC" w:rsidRPr="00540F45" w:rsidRDefault="006D05FC" w:rsidP="006D05FC">
      <w:pPr>
        <w:pStyle w:val="EndNoteBibliography"/>
        <w:spacing w:after="0"/>
      </w:pPr>
      <w:r w:rsidRPr="00540F45">
        <w:t>35.</w:t>
      </w:r>
      <w:r w:rsidRPr="00540F45">
        <w:tab/>
        <w:t>Milatovic D, Jenkins JW, Hood JE, Yu Y, Rongzhu L, Aschner M. Mefloquine neurotoxicity is mediated by non-receptor tyrosine kinase. Neurotoxicology. 2011;32(5):578-85.</w:t>
      </w:r>
      <w:r w:rsidR="00933C60">
        <w:t xml:space="preserve"> (RMA ID: 081517)</w:t>
      </w:r>
    </w:p>
    <w:p w14:paraId="5F8C42A2" w14:textId="77777777" w:rsidR="006D05FC" w:rsidRPr="00540F45" w:rsidRDefault="006D05FC" w:rsidP="006D05FC">
      <w:pPr>
        <w:pStyle w:val="EndNoteBibliography"/>
        <w:spacing w:after="0"/>
      </w:pPr>
    </w:p>
    <w:p w14:paraId="22E52A94" w14:textId="77777777" w:rsidR="006D05FC" w:rsidRPr="00540F45" w:rsidRDefault="006D05FC" w:rsidP="006D05FC">
      <w:pPr>
        <w:pStyle w:val="EndNoteBibliography"/>
        <w:spacing w:after="0"/>
      </w:pPr>
      <w:r w:rsidRPr="00540F45">
        <w:t>36.</w:t>
      </w:r>
      <w:r w:rsidRPr="00540F45">
        <w:tab/>
        <w:t>Yu D, Ding D, Jiang H, Stolzberg D, Salvi R. Mefloquine damage vestibular hair cells in organotypic cultures. Neurotox Res. 2011;20(1):51-8.</w:t>
      </w:r>
      <w:r w:rsidR="00933C60">
        <w:t xml:space="preserve"> (RMA ID: 080804)</w:t>
      </w:r>
    </w:p>
    <w:p w14:paraId="4C9F2E8E" w14:textId="77777777" w:rsidR="006D05FC" w:rsidRPr="00540F45" w:rsidRDefault="006D05FC" w:rsidP="006D05FC">
      <w:pPr>
        <w:pStyle w:val="EndNoteBibliography"/>
        <w:spacing w:after="0"/>
      </w:pPr>
    </w:p>
    <w:p w14:paraId="11C9DFAC" w14:textId="77777777" w:rsidR="006D05FC" w:rsidRPr="00540F45" w:rsidRDefault="006D05FC" w:rsidP="006D05FC">
      <w:pPr>
        <w:pStyle w:val="EndNoteBibliography"/>
        <w:spacing w:after="0"/>
      </w:pPr>
      <w:r w:rsidRPr="00540F45">
        <w:t>37.</w:t>
      </w:r>
      <w:r w:rsidRPr="00540F45">
        <w:tab/>
        <w:t>Brueckner RP, Lasseter KC, Lin ET, Schuster BG. First-time-in-humans safety and pharmacokinetics of WR 238605, a new antimalarial. Am J Trop Med Hyg. 1998;58(5):645-9.</w:t>
      </w:r>
      <w:r w:rsidR="00933C60">
        <w:t xml:space="preserve"> (RMA ID: 016206)</w:t>
      </w:r>
    </w:p>
    <w:p w14:paraId="0896740C" w14:textId="77777777" w:rsidR="006D05FC" w:rsidRPr="00540F45" w:rsidRDefault="006D05FC" w:rsidP="006D05FC">
      <w:pPr>
        <w:pStyle w:val="EndNoteBibliography"/>
        <w:spacing w:after="0"/>
      </w:pPr>
    </w:p>
    <w:p w14:paraId="0EEEAA6F" w14:textId="77777777" w:rsidR="006D05FC" w:rsidRPr="00540F45" w:rsidRDefault="006D05FC" w:rsidP="006D05FC">
      <w:pPr>
        <w:pStyle w:val="EndNoteBibliography"/>
        <w:spacing w:after="0"/>
      </w:pPr>
      <w:r w:rsidRPr="00540F45">
        <w:t>38.</w:t>
      </w:r>
      <w:r w:rsidRPr="00540F45">
        <w:tab/>
        <w:t>Ebstie YA, Abay SM, Tadesse WT, Ejigu DA. Tafenoquine and its potential in the treatment and relapse prevention of Plasmodium vivax malaria: the evidence to date. Drug Des Devel Ther. 2016;10:2387-99.</w:t>
      </w:r>
      <w:r w:rsidR="00933C60">
        <w:t xml:space="preserve"> (RMA ID: 061534)</w:t>
      </w:r>
    </w:p>
    <w:p w14:paraId="750D0F08" w14:textId="77777777" w:rsidR="006D05FC" w:rsidRPr="00540F45" w:rsidRDefault="006D05FC" w:rsidP="006D05FC">
      <w:pPr>
        <w:pStyle w:val="EndNoteBibliography"/>
        <w:spacing w:after="0"/>
      </w:pPr>
    </w:p>
    <w:p w14:paraId="11069447" w14:textId="77777777" w:rsidR="006D05FC" w:rsidRPr="00540F45" w:rsidRDefault="006D05FC" w:rsidP="006D05FC">
      <w:pPr>
        <w:pStyle w:val="EndNoteBibliography"/>
        <w:spacing w:after="0"/>
      </w:pPr>
      <w:r w:rsidRPr="00540F45">
        <w:lastRenderedPageBreak/>
        <w:t>39.</w:t>
      </w:r>
      <w:r w:rsidRPr="00540F45">
        <w:tab/>
        <w:t>Elmes NJ, Nasveld PE, Kitchener SJ, Kocisko DA, Edstein MD. The efficacy and tolerability of three different regimens of tafenoquine versus primaquine for post-exposure prophylaxis of Plasmodium vivax malaria in the Southwest Pacific. Trans R Soc Trop Med Hyg. 2008;102(11):1095-101.</w:t>
      </w:r>
      <w:r w:rsidR="00933C60">
        <w:t xml:space="preserve"> (RMA ID: 077976)</w:t>
      </w:r>
    </w:p>
    <w:p w14:paraId="447330B3" w14:textId="77777777" w:rsidR="006D05FC" w:rsidRPr="00540F45" w:rsidRDefault="006D05FC" w:rsidP="006D05FC">
      <w:pPr>
        <w:pStyle w:val="EndNoteBibliography"/>
        <w:spacing w:after="0"/>
      </w:pPr>
    </w:p>
    <w:p w14:paraId="122012C1" w14:textId="77777777" w:rsidR="006D05FC" w:rsidRPr="00540F45" w:rsidRDefault="006D05FC" w:rsidP="006D05FC">
      <w:pPr>
        <w:pStyle w:val="EndNoteBibliography"/>
        <w:spacing w:after="0"/>
      </w:pPr>
      <w:r w:rsidRPr="00540F45">
        <w:t>40.</w:t>
      </w:r>
      <w:r w:rsidRPr="00540F45">
        <w:tab/>
        <w:t>Hale BR, Owusu-Agyei S, Fryauff DJ, Koram KA, Adjuik M, Oduro AR, et al. A randomized, double-blind, placebo-controlled, dose-ranging trial of tafenoquine for weekly prophylaxis against Plasmodium falciparum. Clin Infect Dis. 2003;36(5):541-9.</w:t>
      </w:r>
      <w:r w:rsidR="00933C60">
        <w:t xml:space="preserve"> (RMA ID: 078021)</w:t>
      </w:r>
    </w:p>
    <w:p w14:paraId="737C33C7" w14:textId="77777777" w:rsidR="006D05FC" w:rsidRPr="00540F45" w:rsidRDefault="006D05FC" w:rsidP="006D05FC">
      <w:pPr>
        <w:pStyle w:val="EndNoteBibliography"/>
        <w:spacing w:after="0"/>
      </w:pPr>
    </w:p>
    <w:p w14:paraId="7EDB45EF" w14:textId="77777777" w:rsidR="006D05FC" w:rsidRPr="00540F45" w:rsidRDefault="006D05FC" w:rsidP="006D05FC">
      <w:pPr>
        <w:pStyle w:val="EndNoteBibliography"/>
        <w:spacing w:after="0"/>
      </w:pPr>
      <w:r w:rsidRPr="00540F45">
        <w:t>41.</w:t>
      </w:r>
      <w:r w:rsidRPr="00540F45">
        <w:tab/>
        <w:t>Lell B, Faucher JF, Missinou MA, Borrmann S, Dangelmaier O, Horton J, et al. Malaria chemoprophylaxis with tafenoquine: a randomised study. Lancet. 2000;355(9220):2041-5.</w:t>
      </w:r>
      <w:r w:rsidR="00933C60">
        <w:t xml:space="preserve"> (RMA ID: 078022)</w:t>
      </w:r>
    </w:p>
    <w:p w14:paraId="3D16F0B7" w14:textId="77777777" w:rsidR="006D05FC" w:rsidRPr="00540F45" w:rsidRDefault="006D05FC" w:rsidP="006D05FC">
      <w:pPr>
        <w:pStyle w:val="EndNoteBibliography"/>
        <w:spacing w:after="0"/>
      </w:pPr>
    </w:p>
    <w:p w14:paraId="341D5EF1" w14:textId="77777777" w:rsidR="006D05FC" w:rsidRPr="00540F45" w:rsidRDefault="006D05FC" w:rsidP="006D05FC">
      <w:pPr>
        <w:pStyle w:val="EndNoteBibliography"/>
        <w:spacing w:after="0"/>
      </w:pPr>
      <w:r w:rsidRPr="00540F45">
        <w:t>42.</w:t>
      </w:r>
      <w:r w:rsidRPr="00540F45">
        <w:tab/>
        <w:t>Nasveld P, Kitchener S, Edstein M, Rieckmann K. Comparison of tafenoquine (WR238605) and primaquine in the post-exposure (terminal) prophylaxis of vivax malaria in Australian Defence Force personnel. Trans R Soc Trop Med Hyg. 2002;96(6):683-4.</w:t>
      </w:r>
      <w:r w:rsidR="00933C60">
        <w:t xml:space="preserve"> (RMA ID: 078015)</w:t>
      </w:r>
    </w:p>
    <w:p w14:paraId="65D021CF" w14:textId="77777777" w:rsidR="006D05FC" w:rsidRPr="00540F45" w:rsidRDefault="006D05FC" w:rsidP="006D05FC">
      <w:pPr>
        <w:pStyle w:val="EndNoteBibliography"/>
        <w:spacing w:after="0"/>
      </w:pPr>
    </w:p>
    <w:p w14:paraId="7CADEF5E" w14:textId="77777777" w:rsidR="006D05FC" w:rsidRPr="00540F45" w:rsidRDefault="006D05FC" w:rsidP="006D05FC">
      <w:pPr>
        <w:pStyle w:val="EndNoteBibliography"/>
        <w:spacing w:after="0"/>
      </w:pPr>
      <w:r w:rsidRPr="00540F45">
        <w:t>43.</w:t>
      </w:r>
      <w:r w:rsidRPr="00540F45">
        <w:tab/>
        <w:t>Walsh DS, Looareesuwan S, Wilairatana P, Heppner DG, Jr., Tang DB, Brewer TG, et al. Randomized dose-ranging study of the safety and efficacy of WR 238605 (Tafenoquine) in the prevention of relapse of Plasmodium vivax malaria in Thailand. J Infect Dis. 1999;180(4):1282-7.</w:t>
      </w:r>
    </w:p>
    <w:p w14:paraId="37C4DBF0" w14:textId="77777777" w:rsidR="006D05FC" w:rsidRPr="00540F45" w:rsidRDefault="006D05FC" w:rsidP="006D05FC">
      <w:pPr>
        <w:pStyle w:val="EndNoteBibliography"/>
        <w:spacing w:after="0"/>
      </w:pPr>
      <w:r w:rsidRPr="00540F45">
        <w:t>44.</w:t>
      </w:r>
      <w:r w:rsidRPr="00540F45">
        <w:tab/>
        <w:t>Walsh DS, Eamsila C, Sasiprapha T, Sangkharomya S, Khaewsathien P, Supakalin P, et al. Efficacy of monthly tafenoquine for prophylaxis of Plasmodium vivax and multidrug-resistant P. falciparum malaria. J Infect Dis. 2004;190(8):1456-63.</w:t>
      </w:r>
      <w:r w:rsidR="00933C60">
        <w:t xml:space="preserve"> (RMA ID: 078023)</w:t>
      </w:r>
    </w:p>
    <w:p w14:paraId="16366A85" w14:textId="77777777" w:rsidR="006D05FC" w:rsidRPr="00540F45" w:rsidRDefault="006D05FC" w:rsidP="006D05FC">
      <w:pPr>
        <w:pStyle w:val="EndNoteBibliography"/>
        <w:spacing w:after="0"/>
      </w:pPr>
    </w:p>
    <w:p w14:paraId="40A12C1C" w14:textId="77777777" w:rsidR="006D05FC" w:rsidRPr="00540F45" w:rsidRDefault="006D05FC" w:rsidP="006D05FC">
      <w:pPr>
        <w:pStyle w:val="EndNoteBibliography"/>
        <w:spacing w:after="0"/>
      </w:pPr>
      <w:r w:rsidRPr="00540F45">
        <w:t>45.</w:t>
      </w:r>
      <w:r w:rsidRPr="00540F45">
        <w:tab/>
        <w:t>Dow GS, Brown T, Reid M, Smith B, Toovey S. Tafenoquine is not neurotoxic following supertherapeutic dosing in rats. Travel Med Infect Dis. 2017;17:28-34.</w:t>
      </w:r>
      <w:r w:rsidR="00933C60">
        <w:t xml:space="preserve"> (RMA ID: 072187)</w:t>
      </w:r>
    </w:p>
    <w:p w14:paraId="02260611" w14:textId="77777777" w:rsidR="006D05FC" w:rsidRPr="00540F45" w:rsidRDefault="006D05FC" w:rsidP="006D05FC">
      <w:pPr>
        <w:pStyle w:val="EndNoteBibliography"/>
        <w:spacing w:after="0"/>
      </w:pPr>
    </w:p>
    <w:p w14:paraId="07C37021" w14:textId="77777777" w:rsidR="006D05FC" w:rsidRPr="00540F45" w:rsidRDefault="006D05FC" w:rsidP="006D05FC">
      <w:pPr>
        <w:pStyle w:val="EndNoteBibliography"/>
        <w:spacing w:after="0"/>
      </w:pPr>
      <w:r w:rsidRPr="00540F45">
        <w:t>46.</w:t>
      </w:r>
      <w:r w:rsidRPr="00540F45">
        <w:tab/>
        <w:t>Clayman CB, Arnold J, Hockwald RS, Yount EH, Jr., Edgcomb JH, Alving AS. Toxicity of primaquine in Caucasians. J Am Med Assoc. 1952;149(17):1563-8.</w:t>
      </w:r>
      <w:r w:rsidR="00933C60">
        <w:t xml:space="preserve"> (RMA ID: </w:t>
      </w:r>
      <w:r w:rsidR="00396E66">
        <w:t>039651)</w:t>
      </w:r>
    </w:p>
    <w:p w14:paraId="6FB14D12" w14:textId="77777777" w:rsidR="006D05FC" w:rsidRPr="00540F45" w:rsidRDefault="006D05FC" w:rsidP="006D05FC">
      <w:pPr>
        <w:pStyle w:val="EndNoteBibliography"/>
        <w:spacing w:after="0"/>
      </w:pPr>
    </w:p>
    <w:p w14:paraId="7FE6AD60" w14:textId="77777777" w:rsidR="006D05FC" w:rsidRPr="00540F45" w:rsidRDefault="006D05FC" w:rsidP="006D05FC">
      <w:pPr>
        <w:pStyle w:val="EndNoteBibliography"/>
      </w:pPr>
      <w:r w:rsidRPr="00540F45">
        <w:t>47.</w:t>
      </w:r>
      <w:r w:rsidRPr="00540F45">
        <w:tab/>
        <w:t>Kolifarhood G, Raeisi A, Ranjbar M, Haghdoust AA, Schapira A, Hashemi S, et al. Prophylactic efficacy of primaquine for preventing Plasmodium falciparum and Plasmodium vivax parasitaemia in travelers: A meta-analysis and systematic review. Travel Med Infect Dis. 2017;17:5-18.</w:t>
      </w:r>
      <w:r w:rsidR="00396E66">
        <w:t xml:space="preserve"> (RMA ID: 081456)</w:t>
      </w:r>
    </w:p>
    <w:p w14:paraId="4F964AEA" w14:textId="77777777" w:rsidR="00786897" w:rsidRPr="00395532" w:rsidRDefault="006D05FC" w:rsidP="006D05FC">
      <w:pPr>
        <w:keepNext/>
        <w:keepLines/>
        <w:spacing w:before="200" w:line="280" w:lineRule="atLeast"/>
        <w:outlineLvl w:val="1"/>
        <w:rPr>
          <w:rFonts w:ascii="Calibri" w:hAnsi="Calibri"/>
          <w:bCs/>
          <w:iCs/>
          <w:sz w:val="24"/>
          <w:highlight w:val="yellow"/>
        </w:rPr>
      </w:pPr>
      <w:r w:rsidRPr="00540F45">
        <w:fldChar w:fldCharType="end"/>
      </w:r>
    </w:p>
    <w:p w14:paraId="53C4C368" w14:textId="77777777" w:rsidR="00786897" w:rsidRPr="00395532" w:rsidRDefault="00786897" w:rsidP="00786897">
      <w:pPr>
        <w:rPr>
          <w:rFonts w:ascii="Calibri" w:hAnsi="Calibri"/>
          <w:sz w:val="24"/>
        </w:rPr>
      </w:pPr>
    </w:p>
    <w:p w14:paraId="3E8942CD" w14:textId="77777777" w:rsidR="00786897" w:rsidRPr="00395532" w:rsidRDefault="00786897" w:rsidP="00786897">
      <w:pPr>
        <w:pStyle w:val="TOC2"/>
        <w:tabs>
          <w:tab w:val="right" w:leader="dot" w:pos="8777"/>
        </w:tabs>
        <w:rPr>
          <w:rFonts w:ascii="Calibri" w:hAnsi="Calibri"/>
          <w:sz w:val="24"/>
          <w:szCs w:val="24"/>
        </w:rPr>
      </w:pPr>
    </w:p>
    <w:p w14:paraId="32D47A08" w14:textId="77777777" w:rsidR="00786897" w:rsidRPr="00395532" w:rsidRDefault="00786897" w:rsidP="00786897">
      <w:pPr>
        <w:pStyle w:val="NumberLevel1"/>
        <w:widowControl w:val="0"/>
        <w:rPr>
          <w:rFonts w:ascii="Calibri" w:hAnsi="Calibri"/>
          <w:sz w:val="24"/>
          <w:szCs w:val="24"/>
        </w:rPr>
      </w:pPr>
      <w:bookmarkStart w:id="61" w:name="_Toc373244659"/>
      <w:bookmarkEnd w:id="3"/>
    </w:p>
    <w:bookmarkEnd w:id="61"/>
    <w:p w14:paraId="1C5A4A4B" w14:textId="77777777" w:rsidR="00024D4A" w:rsidRDefault="00786897" w:rsidP="00024D4A">
      <w:pPr>
        <w:jc w:val="center"/>
      </w:pPr>
      <w:r w:rsidRPr="00395532">
        <w:rPr>
          <w:sz w:val="24"/>
        </w:rPr>
        <w:br w:type="page"/>
      </w:r>
      <w:bookmarkStart w:id="62" w:name="_Toc483923014"/>
      <w:bookmarkEnd w:id="4"/>
      <w:bookmarkEnd w:id="5"/>
      <w:r w:rsidR="00024D4A">
        <w:rPr>
          <w:noProof/>
        </w:rPr>
        <w:lastRenderedPageBreak/>
        <w:drawing>
          <wp:inline distT="0" distB="0" distL="0" distR="0" wp14:anchorId="6C191A4E" wp14:editId="1A131E92">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EE0DA5D" w14:textId="77777777" w:rsidR="00024D4A" w:rsidRPr="00024D4A" w:rsidRDefault="00024D4A" w:rsidP="00024D4A">
      <w:pPr>
        <w:jc w:val="center"/>
        <w:rPr>
          <w:rFonts w:asciiTheme="minorHAnsi" w:hAnsiTheme="minorHAnsi"/>
          <w:sz w:val="24"/>
        </w:rPr>
      </w:pPr>
    </w:p>
    <w:p w14:paraId="232607B1" w14:textId="77777777" w:rsidR="00024D4A" w:rsidRPr="00024D4A" w:rsidRDefault="00024D4A" w:rsidP="00024D4A">
      <w:pPr>
        <w:pBdr>
          <w:top w:val="single" w:sz="12" w:space="1" w:color="auto"/>
        </w:pBdr>
        <w:ind w:left="3119" w:right="3119"/>
        <w:jc w:val="center"/>
        <w:rPr>
          <w:rFonts w:asciiTheme="minorHAnsi" w:hAnsiTheme="minorHAnsi"/>
          <w:sz w:val="24"/>
        </w:rPr>
      </w:pPr>
    </w:p>
    <w:p w14:paraId="0501C5FB" w14:textId="77777777" w:rsidR="003A5775" w:rsidRPr="00810719" w:rsidRDefault="003A5775" w:rsidP="003A5775">
      <w:pPr>
        <w:jc w:val="center"/>
        <w:rPr>
          <w:rFonts w:ascii="Calibri" w:hAnsi="Calibri"/>
          <w:spacing w:val="-5"/>
          <w:sz w:val="36"/>
          <w:szCs w:val="36"/>
        </w:rPr>
      </w:pPr>
      <w:r w:rsidRPr="00810719">
        <w:rPr>
          <w:rFonts w:ascii="Calibri" w:hAnsi="Calibri"/>
          <w:spacing w:val="-5"/>
          <w:sz w:val="36"/>
          <w:szCs w:val="36"/>
        </w:rPr>
        <w:t xml:space="preserve">Specialist Medical </w:t>
      </w:r>
      <w:r w:rsidRPr="00810719">
        <w:rPr>
          <w:rFonts w:ascii="Calibri" w:hAnsi="Calibri"/>
          <w:spacing w:val="-15"/>
          <w:sz w:val="36"/>
          <w:szCs w:val="36"/>
        </w:rPr>
        <w:t>Re</w:t>
      </w:r>
      <w:r w:rsidRPr="00810719">
        <w:rPr>
          <w:rFonts w:ascii="Calibri" w:hAnsi="Calibri"/>
          <w:spacing w:val="-5"/>
          <w:sz w:val="36"/>
          <w:szCs w:val="36"/>
        </w:rPr>
        <w:t>view Council</w:t>
      </w:r>
    </w:p>
    <w:p w14:paraId="3014D5E6" w14:textId="77777777" w:rsidR="003A5775" w:rsidRPr="00395532" w:rsidRDefault="003A5775" w:rsidP="003A5775">
      <w:pPr>
        <w:jc w:val="center"/>
        <w:rPr>
          <w:rFonts w:ascii="Calibri" w:hAnsi="Calibri"/>
          <w:sz w:val="24"/>
        </w:rPr>
      </w:pPr>
    </w:p>
    <w:p w14:paraId="2A5E965F" w14:textId="77777777" w:rsidR="003A5775" w:rsidRPr="00395532" w:rsidRDefault="003A5775" w:rsidP="003A5775">
      <w:pPr>
        <w:keepNext/>
        <w:widowControl w:val="0"/>
        <w:jc w:val="center"/>
        <w:outlineLvl w:val="6"/>
        <w:rPr>
          <w:rFonts w:ascii="Calibri" w:hAnsi="Calibri"/>
          <w:b/>
          <w:sz w:val="24"/>
        </w:rPr>
      </w:pPr>
      <w:r w:rsidRPr="00395532">
        <w:rPr>
          <w:rFonts w:ascii="Calibri" w:hAnsi="Calibri"/>
          <w:b/>
          <w:sz w:val="24"/>
        </w:rPr>
        <w:t>Declaration and Reasons for Decisions</w:t>
      </w:r>
    </w:p>
    <w:p w14:paraId="09BB8EBC" w14:textId="77777777" w:rsidR="003A5775" w:rsidRPr="00395532" w:rsidRDefault="003A5775" w:rsidP="003A5775">
      <w:pPr>
        <w:jc w:val="center"/>
        <w:rPr>
          <w:rFonts w:ascii="Calibri" w:hAnsi="Calibri"/>
          <w:sz w:val="24"/>
        </w:rPr>
      </w:pPr>
    </w:p>
    <w:p w14:paraId="7B5F7C10" w14:textId="77777777" w:rsidR="003A5775" w:rsidRPr="00395532" w:rsidRDefault="003A5775" w:rsidP="003A5775">
      <w:pPr>
        <w:widowControl w:val="0"/>
        <w:jc w:val="center"/>
        <w:rPr>
          <w:rFonts w:ascii="Calibri" w:hAnsi="Calibri"/>
          <w:i/>
          <w:sz w:val="24"/>
        </w:rPr>
      </w:pPr>
      <w:r w:rsidRPr="00395532">
        <w:rPr>
          <w:rFonts w:ascii="Calibri" w:hAnsi="Calibri"/>
          <w:i/>
          <w:sz w:val="24"/>
        </w:rPr>
        <w:t>Section 196W</w:t>
      </w:r>
      <w:r w:rsidRPr="00395532">
        <w:rPr>
          <w:rFonts w:ascii="Calibri" w:hAnsi="Calibri"/>
          <w:i/>
          <w:sz w:val="24"/>
        </w:rPr>
        <w:br/>
        <w:t>Veterans’ Entitlements Act 1986</w:t>
      </w:r>
    </w:p>
    <w:p w14:paraId="192773BE" w14:textId="77777777" w:rsidR="003A5775" w:rsidRPr="00395532" w:rsidRDefault="003A5775" w:rsidP="003A5775">
      <w:pPr>
        <w:jc w:val="center"/>
        <w:rPr>
          <w:rFonts w:ascii="Calibri" w:hAnsi="Calibri"/>
          <w:sz w:val="24"/>
        </w:rPr>
      </w:pPr>
    </w:p>
    <w:p w14:paraId="198FF24E" w14:textId="77777777" w:rsidR="003A5775" w:rsidRPr="00395532" w:rsidRDefault="003A5775" w:rsidP="003A5775">
      <w:pPr>
        <w:pBdr>
          <w:top w:val="single" w:sz="12" w:space="1" w:color="auto"/>
        </w:pBdr>
        <w:ind w:left="3119" w:right="3119"/>
        <w:jc w:val="center"/>
        <w:rPr>
          <w:rFonts w:ascii="Calibri" w:hAnsi="Calibri"/>
          <w:sz w:val="24"/>
        </w:rPr>
      </w:pPr>
    </w:p>
    <w:p w14:paraId="424F493E" w14:textId="77777777" w:rsidR="003A5775" w:rsidRPr="00254882" w:rsidRDefault="003A5775" w:rsidP="003A5775">
      <w:pPr>
        <w:spacing w:line="360" w:lineRule="auto"/>
        <w:jc w:val="center"/>
        <w:rPr>
          <w:rFonts w:ascii="Calibri" w:hAnsi="Calibri"/>
          <w:sz w:val="24"/>
        </w:rPr>
      </w:pPr>
      <w:r w:rsidRPr="00254882">
        <w:rPr>
          <w:rFonts w:ascii="Calibri" w:hAnsi="Calibri"/>
          <w:b/>
          <w:sz w:val="24"/>
        </w:rPr>
        <w:t>Re: Decision of the Repatriation Medical Authority not to make</w:t>
      </w:r>
    </w:p>
    <w:p w14:paraId="76B99E1F" w14:textId="77777777" w:rsidR="003A5775" w:rsidRPr="00254882" w:rsidRDefault="003A5775" w:rsidP="003A5775">
      <w:pPr>
        <w:spacing w:line="360" w:lineRule="auto"/>
        <w:jc w:val="center"/>
        <w:rPr>
          <w:rFonts w:ascii="Calibri" w:hAnsi="Calibri"/>
          <w:b/>
          <w:sz w:val="24"/>
        </w:rPr>
      </w:pPr>
      <w:r w:rsidRPr="00254882">
        <w:rPr>
          <w:rFonts w:ascii="Calibri" w:hAnsi="Calibri"/>
          <w:b/>
          <w:sz w:val="24"/>
        </w:rPr>
        <w:t>Statements of Principles for “chemically</w:t>
      </w:r>
      <w:r>
        <w:rPr>
          <w:rFonts w:ascii="Calibri" w:hAnsi="Calibri"/>
          <w:b/>
          <w:sz w:val="24"/>
        </w:rPr>
        <w:t>-</w:t>
      </w:r>
      <w:r w:rsidRPr="00254882">
        <w:rPr>
          <w:rFonts w:ascii="Calibri" w:hAnsi="Calibri"/>
          <w:b/>
          <w:sz w:val="24"/>
        </w:rPr>
        <w:t xml:space="preserve">acquired brain injury caused by mefloquine, tafenoquine or primaquine”. </w:t>
      </w:r>
    </w:p>
    <w:p w14:paraId="49F3F9DB" w14:textId="77777777" w:rsidR="003A5775" w:rsidRPr="00254882" w:rsidRDefault="003A5775" w:rsidP="003A5775">
      <w:pPr>
        <w:jc w:val="center"/>
        <w:rPr>
          <w:rFonts w:ascii="Calibri" w:hAnsi="Calibri"/>
          <w:b/>
          <w:sz w:val="24"/>
        </w:rPr>
      </w:pPr>
    </w:p>
    <w:p w14:paraId="2FC5244C" w14:textId="77777777" w:rsidR="003A5775" w:rsidRPr="00810719" w:rsidRDefault="003A5775" w:rsidP="003A5775">
      <w:pPr>
        <w:jc w:val="center"/>
        <w:rPr>
          <w:rFonts w:ascii="Calibri" w:hAnsi="Calibri"/>
          <w:sz w:val="24"/>
        </w:rPr>
      </w:pPr>
      <w:r w:rsidRPr="00810719">
        <w:rPr>
          <w:rFonts w:ascii="Calibri" w:hAnsi="Calibri"/>
          <w:sz w:val="24"/>
        </w:rPr>
        <w:t xml:space="preserve">Request for Review Declaration No. </w:t>
      </w:r>
      <w:r w:rsidR="00FB3854">
        <w:rPr>
          <w:rFonts w:ascii="Calibri" w:hAnsi="Calibri"/>
          <w:sz w:val="24"/>
        </w:rPr>
        <w:t>34</w:t>
      </w:r>
    </w:p>
    <w:p w14:paraId="390E3401" w14:textId="77777777" w:rsidR="003A5775" w:rsidRDefault="003A5775" w:rsidP="00024D4A">
      <w:pPr>
        <w:jc w:val="center"/>
        <w:rPr>
          <w:rFonts w:asciiTheme="minorHAnsi" w:hAnsiTheme="minorHAnsi"/>
          <w:b/>
          <w:sz w:val="24"/>
        </w:rPr>
      </w:pPr>
    </w:p>
    <w:p w14:paraId="70EDCD46" w14:textId="77777777" w:rsidR="00024D4A" w:rsidRPr="00024D4A" w:rsidRDefault="00024D4A" w:rsidP="00024D4A">
      <w:pPr>
        <w:jc w:val="center"/>
        <w:rPr>
          <w:rFonts w:asciiTheme="minorHAnsi" w:hAnsiTheme="minorHAnsi"/>
          <w:b/>
          <w:sz w:val="24"/>
        </w:rPr>
      </w:pPr>
      <w:r w:rsidRPr="00024D4A">
        <w:rPr>
          <w:rFonts w:asciiTheme="minorHAnsi" w:hAnsiTheme="minorHAnsi"/>
          <w:b/>
          <w:sz w:val="24"/>
        </w:rPr>
        <w:t>APPENDICES</w:t>
      </w:r>
    </w:p>
    <w:p w14:paraId="6DE8D822" w14:textId="77777777" w:rsidR="00024D4A" w:rsidRPr="00024D4A" w:rsidRDefault="00024D4A" w:rsidP="00024D4A">
      <w:pPr>
        <w:jc w:val="center"/>
        <w:rPr>
          <w:rFonts w:asciiTheme="minorHAnsi" w:hAnsiTheme="minorHAnsi"/>
          <w:b/>
          <w:sz w:val="24"/>
        </w:rPr>
      </w:pPr>
    </w:p>
    <w:p w14:paraId="18B88B29" w14:textId="77777777" w:rsidR="00024D4A" w:rsidRPr="00024D4A" w:rsidRDefault="00024D4A" w:rsidP="00024D4A">
      <w:pPr>
        <w:rPr>
          <w:rFonts w:asciiTheme="minorHAnsi" w:hAnsiTheme="minorHAnsi" w:cs="Times New Roman"/>
          <w:sz w:val="24"/>
        </w:rPr>
      </w:pPr>
      <w:r w:rsidRPr="00024D4A">
        <w:rPr>
          <w:rFonts w:asciiTheme="minorHAnsi" w:hAnsiTheme="minorHAnsi"/>
          <w:b/>
          <w:sz w:val="24"/>
        </w:rPr>
        <w:t>APPENDIX A</w:t>
      </w:r>
      <w:r w:rsidRPr="00024D4A">
        <w:rPr>
          <w:rFonts w:asciiTheme="minorHAnsi" w:hAnsiTheme="minorHAnsi"/>
          <w:sz w:val="24"/>
        </w:rPr>
        <w:t>:  THE CONSTITUTED COUNCIL AND LEGISLATIVE FRAMEWORK OF THE REVIEW</w:t>
      </w:r>
    </w:p>
    <w:p w14:paraId="7ABF72A4" w14:textId="77777777" w:rsidR="00024D4A" w:rsidRPr="00024D4A" w:rsidRDefault="00024D4A" w:rsidP="00024D4A">
      <w:pPr>
        <w:rPr>
          <w:rFonts w:asciiTheme="minorHAnsi" w:hAnsiTheme="minorHAnsi"/>
          <w:sz w:val="24"/>
        </w:rPr>
      </w:pPr>
    </w:p>
    <w:p w14:paraId="1D9DFA1D" w14:textId="77777777" w:rsidR="00024D4A" w:rsidRPr="00024D4A" w:rsidRDefault="00024D4A" w:rsidP="00024D4A">
      <w:pPr>
        <w:rPr>
          <w:rFonts w:asciiTheme="minorHAnsi" w:hAnsiTheme="minorHAnsi"/>
          <w:sz w:val="24"/>
        </w:rPr>
      </w:pPr>
      <w:r w:rsidRPr="00024D4A">
        <w:rPr>
          <w:rFonts w:asciiTheme="minorHAnsi" w:hAnsiTheme="minorHAnsi"/>
          <w:b/>
          <w:sz w:val="24"/>
        </w:rPr>
        <w:t>APPENDIX B</w:t>
      </w:r>
      <w:r w:rsidRPr="00024D4A">
        <w:rPr>
          <w:rFonts w:asciiTheme="minorHAnsi" w:hAnsiTheme="minorHAnsi"/>
          <w:sz w:val="24"/>
        </w:rPr>
        <w:t xml:space="preserve">:  </w:t>
      </w:r>
    </w:p>
    <w:p w14:paraId="5090D9D0" w14:textId="77777777" w:rsidR="00024D4A" w:rsidRPr="00024D4A" w:rsidRDefault="00024D4A" w:rsidP="00024D4A">
      <w:pPr>
        <w:pStyle w:val="ListParagraph"/>
        <w:numPr>
          <w:ilvl w:val="0"/>
          <w:numId w:val="32"/>
        </w:numPr>
        <w:rPr>
          <w:rFonts w:asciiTheme="minorHAnsi" w:hAnsiTheme="minorHAnsi"/>
          <w:sz w:val="24"/>
        </w:rPr>
      </w:pPr>
      <w:r w:rsidRPr="00024D4A">
        <w:rPr>
          <w:rFonts w:asciiTheme="minorHAnsi" w:hAnsiTheme="minorHAnsi"/>
          <w:sz w:val="24"/>
        </w:rPr>
        <w:t xml:space="preserve">APPENDIX  B1: MATERIAL BEFORE THE RMA </w:t>
      </w:r>
    </w:p>
    <w:p w14:paraId="6000F201" w14:textId="77777777" w:rsidR="00024D4A" w:rsidRPr="00024D4A" w:rsidRDefault="00024D4A" w:rsidP="00024D4A">
      <w:pPr>
        <w:pStyle w:val="ListParagraph"/>
        <w:numPr>
          <w:ilvl w:val="0"/>
          <w:numId w:val="32"/>
        </w:numPr>
        <w:rPr>
          <w:rFonts w:asciiTheme="minorHAnsi" w:hAnsiTheme="minorHAnsi"/>
          <w:sz w:val="24"/>
        </w:rPr>
      </w:pPr>
      <w:r w:rsidRPr="00024D4A">
        <w:rPr>
          <w:rFonts w:asciiTheme="minorHAnsi" w:hAnsiTheme="minorHAnsi"/>
          <w:sz w:val="24"/>
        </w:rPr>
        <w:t>APPENDIX  B2: NEW MATERIAL WHICH WAS NOT BEFORE THE RMA</w:t>
      </w:r>
    </w:p>
    <w:p w14:paraId="1F50EA5B" w14:textId="77777777" w:rsidR="00024D4A" w:rsidRPr="00F93CEA" w:rsidRDefault="00024D4A" w:rsidP="00024D4A">
      <w:pPr>
        <w:spacing w:after="160" w:line="259" w:lineRule="auto"/>
        <w:rPr>
          <w:rFonts w:eastAsiaTheme="minorHAnsi" w:cs="Times New Roman"/>
          <w:sz w:val="24"/>
          <w:lang w:eastAsia="en-US"/>
        </w:rPr>
      </w:pPr>
      <w:r w:rsidRPr="00F93CEA">
        <w:rPr>
          <w:sz w:val="24"/>
        </w:rPr>
        <w:br w:type="page"/>
      </w:r>
    </w:p>
    <w:p w14:paraId="7E3B5E4D" w14:textId="77777777" w:rsidR="00786897" w:rsidRPr="008702F5" w:rsidRDefault="00786897" w:rsidP="00D5220F">
      <w:pPr>
        <w:pStyle w:val="Heading2"/>
        <w:rPr>
          <w:rFonts w:ascii="Calibri" w:hAnsi="Calibri"/>
          <w:sz w:val="26"/>
          <w:szCs w:val="26"/>
        </w:rPr>
      </w:pPr>
      <w:bookmarkStart w:id="63" w:name="_Toc524600791"/>
      <w:r w:rsidRPr="008702F5">
        <w:rPr>
          <w:rFonts w:ascii="Calibri" w:hAnsi="Calibri"/>
          <w:sz w:val="26"/>
          <w:szCs w:val="26"/>
        </w:rPr>
        <w:lastRenderedPageBreak/>
        <w:t xml:space="preserve">APPENDIX </w:t>
      </w:r>
      <w:r w:rsidR="00F66D26" w:rsidRPr="008702F5">
        <w:rPr>
          <w:rFonts w:ascii="Calibri" w:hAnsi="Calibri"/>
          <w:sz w:val="26"/>
          <w:szCs w:val="26"/>
        </w:rPr>
        <w:t>A</w:t>
      </w:r>
      <w:r w:rsidRPr="008702F5">
        <w:rPr>
          <w:rFonts w:ascii="Calibri" w:hAnsi="Calibri"/>
          <w:sz w:val="26"/>
          <w:szCs w:val="26"/>
        </w:rPr>
        <w:t>:  THE CONSTITUTED COUNCIL AND LEGISLATIVE FRAMEWORK OF THE REVIEW</w:t>
      </w:r>
      <w:bookmarkEnd w:id="62"/>
      <w:bookmarkEnd w:id="63"/>
    </w:p>
    <w:p w14:paraId="469DA77C" w14:textId="77777777" w:rsidR="00786897" w:rsidRPr="00395532" w:rsidRDefault="00786897" w:rsidP="00786897">
      <w:pPr>
        <w:pStyle w:val="Heading3"/>
        <w:rPr>
          <w:rFonts w:ascii="Calibri" w:hAnsi="Calibri"/>
          <w:sz w:val="24"/>
          <w:szCs w:val="24"/>
        </w:rPr>
      </w:pPr>
      <w:r w:rsidRPr="00395532">
        <w:rPr>
          <w:rFonts w:ascii="Calibri" w:hAnsi="Calibri"/>
          <w:sz w:val="24"/>
          <w:szCs w:val="24"/>
        </w:rPr>
        <w:t>The Specialist Medical Review Council</w:t>
      </w:r>
    </w:p>
    <w:p w14:paraId="564DA562" w14:textId="77777777" w:rsidR="0047162A" w:rsidRDefault="00786897" w:rsidP="0047162A">
      <w:pPr>
        <w:pStyle w:val="NumberLevel1"/>
        <w:numPr>
          <w:ilvl w:val="0"/>
          <w:numId w:val="37"/>
        </w:numPr>
        <w:spacing w:line="360" w:lineRule="auto"/>
        <w:rPr>
          <w:rFonts w:ascii="Calibri" w:hAnsi="Calibri"/>
          <w:sz w:val="24"/>
          <w:szCs w:val="24"/>
        </w:rPr>
      </w:pPr>
      <w:r w:rsidRPr="00395532">
        <w:rPr>
          <w:rFonts w:ascii="Calibri" w:hAnsi="Calibri"/>
          <w:sz w:val="24"/>
          <w:szCs w:val="24"/>
        </w:rPr>
        <w:t>The composition of each Review Council changes from review to review depending on the issues relevant to the particular Statement/s of Principles under review. When a review is undertaken</w:t>
      </w:r>
      <w:r w:rsidR="00D929D9">
        <w:rPr>
          <w:rFonts w:ascii="Calibri" w:hAnsi="Calibri"/>
          <w:sz w:val="24"/>
          <w:szCs w:val="24"/>
        </w:rPr>
        <w:t>,</w:t>
      </w:r>
      <w:r w:rsidRPr="00395532">
        <w:rPr>
          <w:rFonts w:ascii="Calibri" w:hAnsi="Calibri"/>
          <w:sz w:val="24"/>
          <w:szCs w:val="24"/>
        </w:rPr>
        <w:t xml:space="preserve"> three to five Councillors selected by the Convener constitute the Council. </w:t>
      </w:r>
    </w:p>
    <w:p w14:paraId="19CE59F9" w14:textId="77777777" w:rsidR="0047162A" w:rsidRDefault="00786897" w:rsidP="0047162A">
      <w:pPr>
        <w:pStyle w:val="NumberLevel1"/>
        <w:numPr>
          <w:ilvl w:val="0"/>
          <w:numId w:val="37"/>
        </w:numPr>
        <w:spacing w:line="360" w:lineRule="auto"/>
        <w:rPr>
          <w:rFonts w:ascii="Calibri" w:hAnsi="Calibri"/>
          <w:sz w:val="24"/>
          <w:szCs w:val="24"/>
        </w:rPr>
      </w:pPr>
      <w:r w:rsidRPr="0047162A">
        <w:rPr>
          <w:rFonts w:ascii="Calibri" w:hAnsi="Calibri"/>
          <w:sz w:val="24"/>
          <w:szCs w:val="24"/>
        </w:rPr>
        <w:t>The Minister must appoint one of the Councillors to be the Convener. If the Council does not include the Convener, the Convener must appoint one of the Councillors selected for the review to preside at all meetings as Presiding Councillor.</w:t>
      </w:r>
    </w:p>
    <w:p w14:paraId="6579F8C5" w14:textId="77777777" w:rsidR="0047162A" w:rsidRDefault="00275B43" w:rsidP="0047162A">
      <w:pPr>
        <w:pStyle w:val="NumberLevel1"/>
        <w:numPr>
          <w:ilvl w:val="0"/>
          <w:numId w:val="37"/>
        </w:numPr>
        <w:spacing w:line="360" w:lineRule="auto"/>
        <w:rPr>
          <w:rFonts w:ascii="Calibri" w:hAnsi="Calibri"/>
          <w:sz w:val="24"/>
          <w:szCs w:val="24"/>
        </w:rPr>
      </w:pPr>
      <w:r w:rsidRPr="0047162A">
        <w:rPr>
          <w:rFonts w:ascii="Calibri" w:hAnsi="Calibri"/>
          <w:b/>
          <w:sz w:val="24"/>
        </w:rPr>
        <w:t xml:space="preserve">Professor </w:t>
      </w:r>
      <w:r w:rsidR="00927E3D" w:rsidRPr="0047162A">
        <w:rPr>
          <w:rFonts w:ascii="Calibri" w:hAnsi="Calibri"/>
          <w:b/>
          <w:sz w:val="24"/>
        </w:rPr>
        <w:t>Charles Guest</w:t>
      </w:r>
      <w:r w:rsidRPr="0047162A">
        <w:rPr>
          <w:rFonts w:ascii="Calibri" w:hAnsi="Calibri"/>
          <w:b/>
          <w:sz w:val="24"/>
        </w:rPr>
        <w:t xml:space="preserve"> </w:t>
      </w:r>
      <w:r w:rsidRPr="0047162A">
        <w:rPr>
          <w:rFonts w:ascii="Calibri" w:hAnsi="Calibri"/>
          <w:sz w:val="24"/>
        </w:rPr>
        <w:t xml:space="preserve">was the Presiding Councillor for this review. </w:t>
      </w:r>
      <w:r w:rsidR="000D33C1" w:rsidRPr="0047162A">
        <w:rPr>
          <w:rFonts w:ascii="Calibri" w:hAnsi="Calibri"/>
          <w:sz w:val="24"/>
        </w:rPr>
        <w:t>Professor Guest is Chief Health Officer of Victoria, with academic affiliations at the University of Melbourne, Monash University and the Australian National University</w:t>
      </w:r>
      <w:r w:rsidR="009360DE" w:rsidRPr="0047162A">
        <w:rPr>
          <w:rFonts w:ascii="Calibri" w:hAnsi="Calibri"/>
          <w:sz w:val="24"/>
        </w:rPr>
        <w:t>.</w:t>
      </w:r>
    </w:p>
    <w:p w14:paraId="0F7DF7D7" w14:textId="134981F9" w:rsidR="00024900" w:rsidRPr="0047162A" w:rsidRDefault="00786897" w:rsidP="0047162A">
      <w:pPr>
        <w:pStyle w:val="NumberLevel1"/>
        <w:numPr>
          <w:ilvl w:val="0"/>
          <w:numId w:val="37"/>
        </w:numPr>
        <w:spacing w:line="360" w:lineRule="auto"/>
        <w:rPr>
          <w:rFonts w:ascii="Calibri" w:hAnsi="Calibri"/>
          <w:sz w:val="24"/>
          <w:szCs w:val="24"/>
        </w:rPr>
      </w:pPr>
      <w:r w:rsidRPr="0047162A">
        <w:rPr>
          <w:rFonts w:ascii="Calibri" w:hAnsi="Calibri"/>
          <w:sz w:val="24"/>
          <w:szCs w:val="24"/>
        </w:rPr>
        <w:t>The other members of the Council were:</w:t>
      </w:r>
    </w:p>
    <w:p w14:paraId="6E99A0E2" w14:textId="77777777" w:rsidR="00024900" w:rsidRPr="00A92ED8" w:rsidRDefault="00024900" w:rsidP="00FC15D9">
      <w:pPr>
        <w:pStyle w:val="NumberLevel1"/>
        <w:numPr>
          <w:ilvl w:val="0"/>
          <w:numId w:val="47"/>
        </w:numPr>
        <w:spacing w:line="360" w:lineRule="auto"/>
        <w:rPr>
          <w:rFonts w:ascii="Calibri" w:hAnsi="Calibri"/>
          <w:sz w:val="24"/>
          <w:szCs w:val="24"/>
        </w:rPr>
      </w:pPr>
      <w:r w:rsidRPr="00A92ED8">
        <w:rPr>
          <w:rFonts w:ascii="Calibri" w:hAnsi="Calibri"/>
          <w:b/>
          <w:sz w:val="24"/>
          <w:szCs w:val="24"/>
        </w:rPr>
        <w:t>Dr Yun Hwang</w:t>
      </w:r>
      <w:r w:rsidRPr="00A92ED8">
        <w:rPr>
          <w:rFonts w:ascii="Calibri" w:hAnsi="Calibri"/>
          <w:sz w:val="24"/>
          <w:szCs w:val="24"/>
        </w:rPr>
        <w:t>. Dr Hwang is a neurologist in private practice in NSW</w:t>
      </w:r>
      <w:r w:rsidR="00F313D7" w:rsidRPr="00A92ED8">
        <w:rPr>
          <w:rFonts w:ascii="Calibri" w:hAnsi="Calibri"/>
          <w:sz w:val="24"/>
          <w:szCs w:val="24"/>
        </w:rPr>
        <w:t xml:space="preserve"> with a specialist interest in cognitive disorders</w:t>
      </w:r>
      <w:r w:rsidRPr="00A92ED8">
        <w:rPr>
          <w:rFonts w:ascii="Calibri" w:hAnsi="Calibri"/>
          <w:sz w:val="24"/>
          <w:szCs w:val="24"/>
        </w:rPr>
        <w:t xml:space="preserve">. </w:t>
      </w:r>
    </w:p>
    <w:p w14:paraId="16BDFDA2" w14:textId="77777777" w:rsidR="00024900" w:rsidRPr="00A92ED8" w:rsidRDefault="00024900" w:rsidP="00FC15D9">
      <w:pPr>
        <w:pStyle w:val="NumberLevel1"/>
        <w:numPr>
          <w:ilvl w:val="0"/>
          <w:numId w:val="47"/>
        </w:numPr>
        <w:spacing w:line="360" w:lineRule="auto"/>
        <w:rPr>
          <w:rFonts w:ascii="Calibri" w:hAnsi="Calibri"/>
          <w:sz w:val="24"/>
          <w:szCs w:val="24"/>
        </w:rPr>
      </w:pPr>
      <w:r w:rsidRPr="00A92ED8">
        <w:rPr>
          <w:rFonts w:ascii="Calibri" w:hAnsi="Calibri"/>
          <w:b/>
          <w:sz w:val="24"/>
          <w:szCs w:val="24"/>
        </w:rPr>
        <w:t>Dr Pauline Langeluddecke</w:t>
      </w:r>
      <w:r w:rsidRPr="00A92ED8">
        <w:rPr>
          <w:rFonts w:ascii="Calibri" w:hAnsi="Calibri"/>
          <w:sz w:val="24"/>
          <w:szCs w:val="24"/>
        </w:rPr>
        <w:t>. Dr Langeluddecke is a clinical psychologist in private practice who has considerable clinical experience in the neuropsychological assessment of acquired brain injury.</w:t>
      </w:r>
    </w:p>
    <w:p w14:paraId="6150A006" w14:textId="77777777" w:rsidR="00FC15D9" w:rsidRDefault="00024900" w:rsidP="00FC15D9">
      <w:pPr>
        <w:pStyle w:val="NumberLevel1"/>
        <w:numPr>
          <w:ilvl w:val="0"/>
          <w:numId w:val="47"/>
        </w:numPr>
        <w:spacing w:line="360" w:lineRule="auto"/>
        <w:rPr>
          <w:rFonts w:ascii="Calibri" w:hAnsi="Calibri"/>
          <w:sz w:val="24"/>
          <w:szCs w:val="24"/>
        </w:rPr>
      </w:pPr>
      <w:r w:rsidRPr="00A92ED8">
        <w:rPr>
          <w:rFonts w:ascii="Calibri" w:hAnsi="Calibri"/>
          <w:b/>
          <w:sz w:val="24"/>
          <w:szCs w:val="24"/>
        </w:rPr>
        <w:t>Dr Nicole Jones.</w:t>
      </w:r>
      <w:r w:rsidRPr="00A92ED8">
        <w:rPr>
          <w:rFonts w:ascii="Calibri" w:hAnsi="Calibri"/>
          <w:sz w:val="24"/>
          <w:szCs w:val="24"/>
        </w:rPr>
        <w:t xml:space="preserve"> Dr Jones is a combined track teaching and research academic at UNSW Sydney, with specific expertise in neuropharmacology. Her research aims to better understand processes involved in brain injury in order to find new ways to protect the brain against injuries. </w:t>
      </w:r>
    </w:p>
    <w:p w14:paraId="577ED4D7" w14:textId="6D17E9E8" w:rsidR="00024900" w:rsidRPr="00FC15D9" w:rsidRDefault="005B0FB9" w:rsidP="00FC15D9">
      <w:pPr>
        <w:pStyle w:val="NumberLevel1"/>
        <w:numPr>
          <w:ilvl w:val="0"/>
          <w:numId w:val="47"/>
        </w:numPr>
        <w:spacing w:line="360" w:lineRule="auto"/>
        <w:rPr>
          <w:rFonts w:ascii="Calibri" w:hAnsi="Calibri"/>
          <w:sz w:val="24"/>
          <w:szCs w:val="24"/>
        </w:rPr>
      </w:pPr>
      <w:r w:rsidRPr="00FC15D9">
        <w:rPr>
          <w:rFonts w:ascii="Calibri" w:hAnsi="Calibri"/>
          <w:b/>
          <w:sz w:val="24"/>
          <w:szCs w:val="24"/>
        </w:rPr>
        <w:t xml:space="preserve">Associate </w:t>
      </w:r>
      <w:r w:rsidR="00024900" w:rsidRPr="00FC15D9">
        <w:rPr>
          <w:rFonts w:ascii="Calibri" w:hAnsi="Calibri"/>
          <w:b/>
          <w:sz w:val="24"/>
          <w:szCs w:val="24"/>
        </w:rPr>
        <w:t>Professor Jonathan Phillips</w:t>
      </w:r>
      <w:r w:rsidR="00024900" w:rsidRPr="00FC15D9">
        <w:rPr>
          <w:rFonts w:ascii="Calibri" w:hAnsi="Calibri"/>
          <w:sz w:val="24"/>
          <w:szCs w:val="24"/>
        </w:rPr>
        <w:t xml:space="preserve">. </w:t>
      </w:r>
      <w:r w:rsidRPr="00FC15D9">
        <w:rPr>
          <w:rFonts w:ascii="Calibri" w:hAnsi="Calibri"/>
          <w:sz w:val="24"/>
          <w:szCs w:val="24"/>
        </w:rPr>
        <w:t>Associate Professor Jonathan Phillips is a clinical and forensic psychiatrist.  He was a former convenor of the SMRC.</w:t>
      </w:r>
    </w:p>
    <w:p w14:paraId="37B82515" w14:textId="77777777" w:rsidR="00024900" w:rsidRPr="00395532" w:rsidRDefault="00024900" w:rsidP="00024900">
      <w:pPr>
        <w:pStyle w:val="Heading3"/>
        <w:spacing w:line="360" w:lineRule="auto"/>
        <w:rPr>
          <w:rFonts w:ascii="Calibri" w:hAnsi="Calibri"/>
          <w:sz w:val="24"/>
          <w:szCs w:val="24"/>
        </w:rPr>
      </w:pPr>
      <w:r w:rsidRPr="00395532">
        <w:rPr>
          <w:rFonts w:ascii="Calibri" w:hAnsi="Calibri"/>
          <w:sz w:val="24"/>
          <w:szCs w:val="24"/>
        </w:rPr>
        <w:lastRenderedPageBreak/>
        <w:t>The Legislation</w:t>
      </w:r>
    </w:p>
    <w:p w14:paraId="2E735C77" w14:textId="727A0741" w:rsidR="00786897" w:rsidRPr="005B0FB9" w:rsidRDefault="00786897" w:rsidP="0047162A">
      <w:pPr>
        <w:pStyle w:val="NumberLevel1"/>
        <w:numPr>
          <w:ilvl w:val="0"/>
          <w:numId w:val="37"/>
        </w:numPr>
        <w:spacing w:line="360" w:lineRule="auto"/>
        <w:rPr>
          <w:rFonts w:ascii="Calibri" w:hAnsi="Calibri"/>
          <w:color w:val="000000" w:themeColor="text1"/>
          <w:sz w:val="24"/>
          <w:szCs w:val="24"/>
        </w:rPr>
      </w:pPr>
      <w:bookmarkStart w:id="64" w:name="_Ref522863551"/>
      <w:r w:rsidRPr="005B0FB9">
        <w:rPr>
          <w:rFonts w:ascii="Calibri" w:hAnsi="Calibri"/>
          <w:color w:val="000000" w:themeColor="text1"/>
          <w:sz w:val="24"/>
        </w:rPr>
        <w:t xml:space="preserve">The legislative scheme for the making of Statements of Principles is set out in Parts XIA and XIB of the VEA. Statements of Principles operate as templates. They are determined by the RMA, and set out those criteria (conditions or exposures), known as factors, that must as a minimum exist before it can be said that an injury, disease or death can be connected with service, on either or both of the two statutory tests, the reasonable hypothesis test </w:t>
      </w:r>
      <w:r w:rsidRPr="005B0FB9">
        <w:rPr>
          <w:rStyle w:val="FootnoteReference"/>
          <w:rFonts w:ascii="Calibri" w:hAnsi="Calibri"/>
          <w:color w:val="000000" w:themeColor="text1"/>
          <w:sz w:val="24"/>
        </w:rPr>
        <w:footnoteReference w:id="6"/>
      </w:r>
      <w:r w:rsidRPr="005B0FB9">
        <w:rPr>
          <w:rFonts w:ascii="Calibri" w:hAnsi="Calibri"/>
          <w:color w:val="000000" w:themeColor="text1"/>
          <w:sz w:val="24"/>
        </w:rPr>
        <w:t xml:space="preserve"> and the balance of probabilities test. </w:t>
      </w:r>
      <w:r w:rsidRPr="005B0FB9">
        <w:rPr>
          <w:rStyle w:val="FootnoteReference"/>
          <w:rFonts w:ascii="Calibri" w:hAnsi="Calibri"/>
          <w:color w:val="000000" w:themeColor="text1"/>
          <w:sz w:val="24"/>
        </w:rPr>
        <w:footnoteReference w:id="7"/>
      </w:r>
      <w:r w:rsidRPr="005B0FB9">
        <w:rPr>
          <w:rFonts w:ascii="Calibri" w:hAnsi="Calibri"/>
          <w:color w:val="000000" w:themeColor="text1"/>
          <w:sz w:val="24"/>
        </w:rPr>
        <w:t xml:space="preserve">  Statements of Principles are ultimately applied by decision-makers in determining individual claims for benefits under the VEA and the </w:t>
      </w:r>
      <w:r w:rsidRPr="005B0FB9">
        <w:rPr>
          <w:rFonts w:ascii="Calibri" w:hAnsi="Calibri"/>
          <w:i/>
          <w:color w:val="000000" w:themeColor="text1"/>
          <w:sz w:val="24"/>
        </w:rPr>
        <w:t>Military Rehabilitation and Compensation Act 2004</w:t>
      </w:r>
      <w:r w:rsidRPr="005B0FB9">
        <w:rPr>
          <w:rFonts w:ascii="Calibri" w:hAnsi="Calibri"/>
          <w:color w:val="000000" w:themeColor="text1"/>
          <w:sz w:val="24"/>
        </w:rPr>
        <w:t xml:space="preserve"> (the MRCA). </w:t>
      </w:r>
      <w:r w:rsidRPr="005B0FB9">
        <w:rPr>
          <w:color w:val="000000" w:themeColor="text1"/>
          <w:vertAlign w:val="superscript"/>
        </w:rPr>
        <w:footnoteReference w:id="8"/>
      </w:r>
      <w:bookmarkEnd w:id="64"/>
    </w:p>
    <w:p w14:paraId="1AAEFFCC" w14:textId="77777777" w:rsidR="00024900" w:rsidRPr="00024900" w:rsidRDefault="00024900" w:rsidP="00024900">
      <w:pPr>
        <w:pStyle w:val="NumberLevel1"/>
        <w:spacing w:line="360" w:lineRule="auto"/>
        <w:rPr>
          <w:rFonts w:ascii="Calibri" w:hAnsi="Calibri"/>
          <w:color w:val="0070C0"/>
          <w:sz w:val="24"/>
          <w:szCs w:val="24"/>
        </w:rPr>
      </w:pPr>
    </w:p>
    <w:p w14:paraId="46980249" w14:textId="77777777" w:rsidR="00F66D26" w:rsidRPr="00C6296D" w:rsidRDefault="00F66D26" w:rsidP="00F66D26">
      <w:pPr>
        <w:pStyle w:val="Heading2"/>
        <w:rPr>
          <w:rFonts w:ascii="Calibri" w:hAnsi="Calibri"/>
          <w:sz w:val="26"/>
          <w:szCs w:val="26"/>
        </w:rPr>
      </w:pPr>
      <w:r>
        <w:rPr>
          <w:rFonts w:ascii="Calibri" w:hAnsi="Calibri"/>
          <w:sz w:val="24"/>
        </w:rPr>
        <w:br w:type="page"/>
      </w:r>
      <w:bookmarkStart w:id="65" w:name="_Toc483923010"/>
      <w:bookmarkStart w:id="66" w:name="_Toc524600792"/>
      <w:bookmarkStart w:id="67" w:name="_Toc399854326"/>
      <w:r w:rsidRPr="00C6296D">
        <w:rPr>
          <w:rFonts w:ascii="Calibri" w:hAnsi="Calibri"/>
          <w:sz w:val="26"/>
          <w:szCs w:val="26"/>
        </w:rPr>
        <w:lastRenderedPageBreak/>
        <w:t>APPENDIX B:</w:t>
      </w:r>
      <w:bookmarkEnd w:id="65"/>
      <w:bookmarkEnd w:id="66"/>
      <w:r w:rsidRPr="00C6296D">
        <w:rPr>
          <w:rFonts w:ascii="Calibri" w:hAnsi="Calibri"/>
          <w:sz w:val="26"/>
          <w:szCs w:val="26"/>
        </w:rPr>
        <w:t xml:space="preserve"> </w:t>
      </w:r>
      <w:bookmarkEnd w:id="67"/>
    </w:p>
    <w:tbl>
      <w:tblPr>
        <w:tblW w:w="8250" w:type="dxa"/>
        <w:tblLayout w:type="fixed"/>
        <w:tblCellMar>
          <w:left w:w="30" w:type="dxa"/>
          <w:right w:w="30" w:type="dxa"/>
        </w:tblCellMar>
        <w:tblLook w:val="0000" w:firstRow="0" w:lastRow="0" w:firstColumn="0" w:lastColumn="0" w:noHBand="0" w:noVBand="0"/>
      </w:tblPr>
      <w:tblGrid>
        <w:gridCol w:w="8250"/>
      </w:tblGrid>
      <w:tr w:rsidR="00F66D26" w:rsidRPr="008702F5" w14:paraId="0BBB6C15" w14:textId="77777777" w:rsidTr="008702F5">
        <w:trPr>
          <w:cantSplit/>
          <w:trHeight w:val="851"/>
        </w:trPr>
        <w:tc>
          <w:tcPr>
            <w:tcW w:w="8250" w:type="dxa"/>
            <w:vAlign w:val="center"/>
          </w:tcPr>
          <w:p w14:paraId="509C87CE" w14:textId="77777777" w:rsidR="00F66D26" w:rsidRPr="008702F5" w:rsidRDefault="00F66D26" w:rsidP="00C6296D">
            <w:pPr>
              <w:pStyle w:val="Heading3"/>
              <w:rPr>
                <w:rFonts w:ascii="Calibri" w:hAnsi="Calibri"/>
                <w:i w:val="0"/>
                <w:sz w:val="24"/>
                <w:szCs w:val="24"/>
              </w:rPr>
            </w:pPr>
          </w:p>
          <w:p w14:paraId="2012C926" w14:textId="77777777" w:rsidR="00F66D26" w:rsidRPr="008702F5" w:rsidRDefault="00F66D26" w:rsidP="00C6296D">
            <w:pPr>
              <w:pStyle w:val="Heading3"/>
              <w:rPr>
                <w:rFonts w:ascii="Calibri" w:hAnsi="Calibri"/>
                <w:i w:val="0"/>
                <w:sz w:val="24"/>
                <w:szCs w:val="24"/>
              </w:rPr>
            </w:pPr>
            <w:bookmarkStart w:id="68" w:name="_Toc483923011"/>
            <w:r w:rsidRPr="008702F5">
              <w:rPr>
                <w:rFonts w:ascii="Calibri" w:hAnsi="Calibri"/>
                <w:i w:val="0"/>
                <w:sz w:val="24"/>
                <w:szCs w:val="24"/>
              </w:rPr>
              <w:t>TABLE 1 MATERIAL BEFORE THE RMA</w:t>
            </w:r>
            <w:bookmarkEnd w:id="68"/>
          </w:p>
        </w:tc>
      </w:tr>
    </w:tbl>
    <w:p w14:paraId="302E1ABA" w14:textId="77777777" w:rsidR="006A6A5F" w:rsidRDefault="006A6A5F" w:rsidP="006A6A5F">
      <w:pPr>
        <w:jc w:val="center"/>
        <w:rPr>
          <w:b/>
          <w:sz w:val="44"/>
          <w:szCs w:val="44"/>
        </w:rPr>
      </w:pPr>
    </w:p>
    <w:p w14:paraId="73C414C7" w14:textId="77777777" w:rsidR="006A6A5F" w:rsidRDefault="0021301D" w:rsidP="006A6A5F">
      <w:pPr>
        <w:jc w:val="center"/>
        <w:rPr>
          <w:b/>
          <w:sz w:val="28"/>
          <w:szCs w:val="28"/>
        </w:rPr>
      </w:pPr>
      <w:sdt>
        <w:sdtPr>
          <w:rPr>
            <w:rStyle w:val="Style5"/>
          </w:rPr>
          <w:alias w:val="NAME OF CONDITION"/>
          <w:tag w:val="NAME OF CONDITION"/>
          <w:id w:val="289641528"/>
          <w:placeholder>
            <w:docPart w:val="B879840EE04648CD9A10911E4CC427A3"/>
          </w:placeholder>
        </w:sdtPr>
        <w:sdtEndPr>
          <w:rPr>
            <w:rStyle w:val="DefaultParagraphFont"/>
            <w:rFonts w:ascii="Arial" w:hAnsi="Arial"/>
            <w:b w:val="0"/>
            <w:sz w:val="44"/>
            <w:szCs w:val="44"/>
          </w:rPr>
        </w:sdtEndPr>
        <w:sdtContent>
          <w:r w:rsidR="006A6A5F" w:rsidRPr="001231C9">
            <w:rPr>
              <w:rStyle w:val="Style5"/>
              <w:sz w:val="44"/>
              <w:szCs w:val="44"/>
            </w:rPr>
            <w:t>CHEMICALLY-AQUIRED BRAIN INJURY</w:t>
          </w:r>
        </w:sdtContent>
      </w:sdt>
      <w:r w:rsidR="006A6A5F">
        <w:rPr>
          <w:noProof/>
        </w:rPr>
        <w:drawing>
          <wp:anchor distT="0" distB="0" distL="114300" distR="114300" simplePos="0" relativeHeight="251659264" behindDoc="0" locked="0" layoutInCell="1" allowOverlap="1" wp14:anchorId="6A8880CE" wp14:editId="11C260C4">
            <wp:simplePos x="0" y="0"/>
            <wp:positionH relativeFrom="column">
              <wp:posOffset>1412875</wp:posOffset>
            </wp:positionH>
            <wp:positionV relativeFrom="paragraph">
              <wp:posOffset>-31750</wp:posOffset>
            </wp:positionV>
            <wp:extent cx="3067050" cy="9429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A5F">
        <w:rPr>
          <w:b/>
          <w:sz w:val="44"/>
          <w:szCs w:val="44"/>
        </w:rPr>
        <w:tab/>
      </w:r>
    </w:p>
    <w:p w14:paraId="445E13DF" w14:textId="77777777" w:rsidR="006A6A5F" w:rsidRDefault="006A6A5F" w:rsidP="006A6A5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8080"/>
      </w:tblGrid>
      <w:tr w:rsidR="006A6A5F" w:rsidRPr="00330A62" w14:paraId="38D4ECFC" w14:textId="77777777" w:rsidTr="000E3F0E">
        <w:trPr>
          <w:cantSplit/>
          <w:trHeight w:val="714"/>
        </w:trPr>
        <w:tc>
          <w:tcPr>
            <w:tcW w:w="1418" w:type="dxa"/>
            <w:vAlign w:val="center"/>
          </w:tcPr>
          <w:p w14:paraId="682D3C55" w14:textId="77777777" w:rsidR="006A6A5F" w:rsidRPr="00330A62" w:rsidRDefault="006A6A5F" w:rsidP="000E3F0E">
            <w:pPr>
              <w:jc w:val="center"/>
              <w:rPr>
                <w:snapToGrid w:val="0"/>
                <w:szCs w:val="22"/>
                <w:lang w:eastAsia="en-US"/>
              </w:rPr>
            </w:pPr>
            <w:r w:rsidRPr="00330A62">
              <w:rPr>
                <w:snapToGrid w:val="0"/>
                <w:szCs w:val="22"/>
                <w:lang w:eastAsia="en-US"/>
              </w:rPr>
              <w:t>RMA ID Number</w:t>
            </w:r>
          </w:p>
        </w:tc>
        <w:tc>
          <w:tcPr>
            <w:tcW w:w="8080" w:type="dxa"/>
            <w:vAlign w:val="center"/>
          </w:tcPr>
          <w:p w14:paraId="2A707F6B" w14:textId="77777777" w:rsidR="006A6A5F" w:rsidRPr="00330A62" w:rsidRDefault="006A6A5F" w:rsidP="000E3F0E">
            <w:pPr>
              <w:jc w:val="center"/>
              <w:rPr>
                <w:snapToGrid w:val="0"/>
                <w:szCs w:val="22"/>
                <w:lang w:eastAsia="en-US"/>
              </w:rPr>
            </w:pPr>
            <w:r w:rsidRPr="00330A62">
              <w:rPr>
                <w:snapToGrid w:val="0"/>
                <w:szCs w:val="22"/>
                <w:lang w:eastAsia="en-US"/>
              </w:rPr>
              <w:t>Reference List for #RMA</w:t>
            </w:r>
            <w:sdt>
              <w:sdtPr>
                <w:rPr>
                  <w:snapToGrid w:val="0"/>
                  <w:szCs w:val="22"/>
                  <w:lang w:eastAsia="en-US"/>
                </w:rPr>
                <w:alias w:val="Number of condition &amp; investigation e.g. 064-4"/>
                <w:tag w:val="Number of condition &amp; investigaiton e.g. 064-04"/>
                <w:id w:val="-1720114037"/>
                <w:placeholder>
                  <w:docPart w:val="E5E5286AD1824DC898FEE7E068B3DF84"/>
                </w:placeholder>
                <w:text/>
              </w:sdtPr>
              <w:sdtEndPr/>
              <w:sdtContent>
                <w:r w:rsidDel="00D80C71">
                  <w:rPr>
                    <w:snapToGrid w:val="0"/>
                    <w:szCs w:val="22"/>
                    <w:lang w:eastAsia="en-US"/>
                  </w:rPr>
                  <w:t>424-1</w:t>
                </w:r>
                <w:r w:rsidR="00D80C71">
                  <w:rPr>
                    <w:snapToGrid w:val="0"/>
                    <w:szCs w:val="22"/>
                    <w:lang w:eastAsia="en-US"/>
                  </w:rPr>
                  <w:t>424-1424-1</w:t>
                </w:r>
              </w:sdtContent>
            </w:sdt>
            <w:r w:rsidRPr="00330A62">
              <w:rPr>
                <w:snapToGrid w:val="0"/>
                <w:szCs w:val="22"/>
                <w:lang w:eastAsia="en-US"/>
              </w:rPr>
              <w:t xml:space="preserve"> as at </w:t>
            </w:r>
            <w:sdt>
              <w:sdtPr>
                <w:rPr>
                  <w:snapToGrid w:val="0"/>
                  <w:szCs w:val="22"/>
                  <w:lang w:eastAsia="en-US"/>
                </w:rPr>
                <w:alias w:val="Last day of meeting"/>
                <w:tag w:val="Last day of meeting"/>
                <w:id w:val="2064596909"/>
                <w:placeholder>
                  <w:docPart w:val="0A9162C00D934F47B5B17EAF2B4AD564"/>
                </w:placeholder>
                <w:date>
                  <w:dateFormat w:val="d MMMM yyyy"/>
                  <w:lid w:val="en-AU"/>
                  <w:storeMappedDataAs w:val="dateTime"/>
                  <w:calendar w:val="gregorian"/>
                </w:date>
              </w:sdtPr>
              <w:sdtEndPr/>
              <w:sdtContent>
                <w:r w:rsidDel="00D80C71">
                  <w:rPr>
                    <w:snapToGrid w:val="0"/>
                    <w:szCs w:val="22"/>
                    <w:lang w:eastAsia="en-US"/>
                  </w:rPr>
                  <w:t>2 August 2017</w:t>
                </w:r>
                <w:r w:rsidR="00D80C71">
                  <w:rPr>
                    <w:snapToGrid w:val="0"/>
                    <w:szCs w:val="22"/>
                    <w:lang w:eastAsia="en-US"/>
                  </w:rPr>
                  <w:t>2 August 20172 August 2017</w:t>
                </w:r>
              </w:sdtContent>
            </w:sdt>
          </w:p>
        </w:tc>
      </w:tr>
    </w:tbl>
    <w:p w14:paraId="5B945377" w14:textId="77777777" w:rsidR="006A6A5F" w:rsidRPr="00414DF5" w:rsidRDefault="006A6A5F" w:rsidP="006A6A5F">
      <w:pPr>
        <w:jc w:val="center"/>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080"/>
      </w:tblGrid>
      <w:tr w:rsidR="006A6A5F" w:rsidRPr="001231C9" w14:paraId="51F49284" w14:textId="77777777" w:rsidTr="000E3F0E">
        <w:trPr>
          <w:cantSplit/>
        </w:trPr>
        <w:tc>
          <w:tcPr>
            <w:tcW w:w="1413" w:type="dxa"/>
            <w:shd w:val="clear" w:color="auto" w:fill="auto"/>
            <w:noWrap/>
            <w:vAlign w:val="center"/>
            <w:hideMark/>
          </w:tcPr>
          <w:p w14:paraId="6452E6DA" w14:textId="77777777" w:rsidR="006A6A5F" w:rsidRPr="001231C9" w:rsidRDefault="006A6A5F" w:rsidP="000E3F0E">
            <w:pPr>
              <w:jc w:val="center"/>
              <w:rPr>
                <w:color w:val="000000"/>
                <w:szCs w:val="22"/>
              </w:rPr>
            </w:pPr>
            <w:r w:rsidRPr="001231C9">
              <w:rPr>
                <w:color w:val="000000"/>
                <w:szCs w:val="22"/>
              </w:rPr>
              <w:t>77128</w:t>
            </w:r>
          </w:p>
        </w:tc>
        <w:tc>
          <w:tcPr>
            <w:tcW w:w="8080" w:type="dxa"/>
            <w:shd w:val="clear" w:color="auto" w:fill="auto"/>
            <w:vAlign w:val="bottom"/>
            <w:hideMark/>
          </w:tcPr>
          <w:p w14:paraId="5B6F253E" w14:textId="77777777" w:rsidR="006A6A5F" w:rsidRPr="001231C9" w:rsidRDefault="006A6A5F" w:rsidP="000E3F0E">
            <w:pPr>
              <w:rPr>
                <w:color w:val="000000"/>
                <w:szCs w:val="22"/>
              </w:rPr>
            </w:pPr>
            <w:proofErr w:type="spellStart"/>
            <w:r w:rsidRPr="001231C9">
              <w:rPr>
                <w:color w:val="000000"/>
                <w:szCs w:val="22"/>
              </w:rPr>
              <w:t>Adshead</w:t>
            </w:r>
            <w:proofErr w:type="spellEnd"/>
            <w:r w:rsidRPr="001231C9">
              <w:rPr>
                <w:color w:val="000000"/>
                <w:szCs w:val="22"/>
              </w:rPr>
              <w:t xml:space="preserve"> </w:t>
            </w:r>
            <w:proofErr w:type="spellStart"/>
            <w:r w:rsidRPr="001231C9">
              <w:rPr>
                <w:color w:val="000000"/>
                <w:szCs w:val="22"/>
              </w:rPr>
              <w:t>Surg</w:t>
            </w:r>
            <w:proofErr w:type="spellEnd"/>
            <w:r w:rsidRPr="001231C9">
              <w:rPr>
                <w:color w:val="000000"/>
                <w:szCs w:val="22"/>
              </w:rPr>
              <w:t xml:space="preserve"> Lt S (2014). Clinical research. The adverse effects of mefloquine in deployed military personnel. J R </w:t>
            </w:r>
            <w:proofErr w:type="spellStart"/>
            <w:r w:rsidRPr="001231C9">
              <w:rPr>
                <w:color w:val="000000"/>
                <w:szCs w:val="22"/>
              </w:rPr>
              <w:t>Nav</w:t>
            </w:r>
            <w:proofErr w:type="spellEnd"/>
            <w:r w:rsidRPr="001231C9">
              <w:rPr>
                <w:color w:val="000000"/>
                <w:szCs w:val="22"/>
              </w:rPr>
              <w:t xml:space="preserve"> Med </w:t>
            </w:r>
            <w:proofErr w:type="spellStart"/>
            <w:r w:rsidRPr="001231C9">
              <w:rPr>
                <w:color w:val="000000"/>
                <w:szCs w:val="22"/>
              </w:rPr>
              <w:t>Serv</w:t>
            </w:r>
            <w:proofErr w:type="spellEnd"/>
            <w:r w:rsidRPr="001231C9">
              <w:rPr>
                <w:color w:val="000000"/>
                <w:szCs w:val="22"/>
              </w:rPr>
              <w:t>, 100(3): 232-7.</w:t>
            </w:r>
          </w:p>
        </w:tc>
      </w:tr>
      <w:tr w:rsidR="006A6A5F" w:rsidRPr="001231C9" w14:paraId="7EF7E6B5" w14:textId="77777777" w:rsidTr="000E3F0E">
        <w:trPr>
          <w:cantSplit/>
        </w:trPr>
        <w:tc>
          <w:tcPr>
            <w:tcW w:w="1413" w:type="dxa"/>
            <w:shd w:val="clear" w:color="auto" w:fill="auto"/>
            <w:noWrap/>
            <w:vAlign w:val="center"/>
            <w:hideMark/>
          </w:tcPr>
          <w:p w14:paraId="2EA5A75F" w14:textId="77777777" w:rsidR="006A6A5F" w:rsidRPr="001231C9" w:rsidRDefault="006A6A5F" w:rsidP="000E3F0E">
            <w:pPr>
              <w:jc w:val="center"/>
              <w:rPr>
                <w:color w:val="000000"/>
                <w:szCs w:val="22"/>
              </w:rPr>
            </w:pPr>
            <w:r w:rsidRPr="001231C9">
              <w:rPr>
                <w:color w:val="000000"/>
                <w:szCs w:val="22"/>
              </w:rPr>
              <w:t>81441</w:t>
            </w:r>
          </w:p>
        </w:tc>
        <w:tc>
          <w:tcPr>
            <w:tcW w:w="8080" w:type="dxa"/>
            <w:shd w:val="clear" w:color="auto" w:fill="auto"/>
            <w:vAlign w:val="bottom"/>
            <w:hideMark/>
          </w:tcPr>
          <w:p w14:paraId="2412C40D" w14:textId="77777777" w:rsidR="006A6A5F" w:rsidRPr="001231C9" w:rsidRDefault="006A6A5F" w:rsidP="000E3F0E">
            <w:pPr>
              <w:rPr>
                <w:color w:val="000000"/>
                <w:szCs w:val="22"/>
              </w:rPr>
            </w:pPr>
            <w:r w:rsidRPr="001231C9">
              <w:rPr>
                <w:color w:val="000000"/>
                <w:szCs w:val="22"/>
              </w:rPr>
              <w:t>American Psychiatric Association (2013). Diagnostic and statistical manual of mental disorders, fifth edition. : 591-643.  Retrieved 22 May 2017, from http://dsm.psychiatryonline.org/doi/full/10.1176/appi.books.9780890425596.dsm17</w:t>
            </w:r>
          </w:p>
        </w:tc>
      </w:tr>
      <w:tr w:rsidR="006A6A5F" w:rsidRPr="001231C9" w14:paraId="56508854" w14:textId="77777777" w:rsidTr="000E3F0E">
        <w:trPr>
          <w:cantSplit/>
        </w:trPr>
        <w:tc>
          <w:tcPr>
            <w:tcW w:w="1413" w:type="dxa"/>
            <w:shd w:val="clear" w:color="auto" w:fill="auto"/>
            <w:noWrap/>
            <w:vAlign w:val="center"/>
            <w:hideMark/>
          </w:tcPr>
          <w:p w14:paraId="075AB29B" w14:textId="77777777" w:rsidR="006A6A5F" w:rsidRPr="001231C9" w:rsidRDefault="006A6A5F" w:rsidP="000E3F0E">
            <w:pPr>
              <w:jc w:val="center"/>
              <w:rPr>
                <w:color w:val="000000"/>
                <w:szCs w:val="22"/>
              </w:rPr>
            </w:pPr>
            <w:r w:rsidRPr="001231C9">
              <w:rPr>
                <w:color w:val="000000"/>
                <w:szCs w:val="22"/>
              </w:rPr>
              <w:t>60390</w:t>
            </w:r>
          </w:p>
        </w:tc>
        <w:tc>
          <w:tcPr>
            <w:tcW w:w="8080" w:type="dxa"/>
            <w:shd w:val="clear" w:color="auto" w:fill="auto"/>
            <w:vAlign w:val="bottom"/>
            <w:hideMark/>
          </w:tcPr>
          <w:p w14:paraId="3D8299BC" w14:textId="77777777" w:rsidR="006A6A5F" w:rsidRPr="001231C9" w:rsidRDefault="006A6A5F" w:rsidP="000E3F0E">
            <w:pPr>
              <w:rPr>
                <w:color w:val="000000"/>
                <w:szCs w:val="22"/>
              </w:rPr>
            </w:pPr>
            <w:r w:rsidRPr="001231C9">
              <w:rPr>
                <w:color w:val="000000"/>
                <w:szCs w:val="22"/>
              </w:rPr>
              <w:t>American Psychiatric Association (2017). Safety monitoring of medicinal products: Guidelines for setting up and running a pharmacovigilance centre. .  Retrieved 14 April 2011, from http://apps.who.int/medicinedocs/en/d/Jh2934e/</w:t>
            </w:r>
          </w:p>
        </w:tc>
      </w:tr>
      <w:tr w:rsidR="006A6A5F" w:rsidRPr="001231C9" w14:paraId="44F9F864" w14:textId="77777777" w:rsidTr="000E3F0E">
        <w:trPr>
          <w:cantSplit/>
        </w:trPr>
        <w:tc>
          <w:tcPr>
            <w:tcW w:w="1413" w:type="dxa"/>
            <w:shd w:val="clear" w:color="auto" w:fill="auto"/>
            <w:noWrap/>
            <w:vAlign w:val="center"/>
            <w:hideMark/>
          </w:tcPr>
          <w:p w14:paraId="6A8ADFD8" w14:textId="77777777" w:rsidR="006A6A5F" w:rsidRPr="001231C9" w:rsidRDefault="006A6A5F" w:rsidP="000E3F0E">
            <w:pPr>
              <w:jc w:val="center"/>
              <w:rPr>
                <w:color w:val="000000"/>
                <w:szCs w:val="22"/>
              </w:rPr>
            </w:pPr>
            <w:r w:rsidRPr="001231C9">
              <w:rPr>
                <w:color w:val="000000"/>
                <w:szCs w:val="22"/>
              </w:rPr>
              <w:t>80805</w:t>
            </w:r>
          </w:p>
        </w:tc>
        <w:tc>
          <w:tcPr>
            <w:tcW w:w="8080" w:type="dxa"/>
            <w:shd w:val="clear" w:color="auto" w:fill="auto"/>
            <w:vAlign w:val="bottom"/>
            <w:hideMark/>
          </w:tcPr>
          <w:p w14:paraId="6CBA5FCC" w14:textId="77777777" w:rsidR="006A6A5F" w:rsidRPr="001231C9" w:rsidRDefault="006A6A5F" w:rsidP="000E3F0E">
            <w:pPr>
              <w:rPr>
                <w:color w:val="000000"/>
                <w:szCs w:val="22"/>
              </w:rPr>
            </w:pPr>
            <w:r w:rsidRPr="001231C9">
              <w:rPr>
                <w:color w:val="000000"/>
                <w:szCs w:val="22"/>
              </w:rPr>
              <w:t xml:space="preserve">Ashley EA, </w:t>
            </w:r>
            <w:proofErr w:type="spellStart"/>
            <w:r w:rsidRPr="001231C9">
              <w:rPr>
                <w:color w:val="000000"/>
                <w:szCs w:val="22"/>
              </w:rPr>
              <w:t>Recht</w:t>
            </w:r>
            <w:proofErr w:type="spellEnd"/>
            <w:r w:rsidRPr="001231C9">
              <w:rPr>
                <w:color w:val="000000"/>
                <w:szCs w:val="22"/>
              </w:rPr>
              <w:t xml:space="preserve"> J, White NJ (2014). Primaquine: the risks and the benefits. Malar J, 13: 418.</w:t>
            </w:r>
          </w:p>
        </w:tc>
      </w:tr>
      <w:tr w:rsidR="006A6A5F" w:rsidRPr="001231C9" w14:paraId="55DBA1C9" w14:textId="77777777" w:rsidTr="000E3F0E">
        <w:trPr>
          <w:cantSplit/>
        </w:trPr>
        <w:tc>
          <w:tcPr>
            <w:tcW w:w="1413" w:type="dxa"/>
            <w:shd w:val="clear" w:color="auto" w:fill="auto"/>
            <w:noWrap/>
            <w:vAlign w:val="center"/>
            <w:hideMark/>
          </w:tcPr>
          <w:p w14:paraId="44BAE1BB" w14:textId="77777777" w:rsidR="006A6A5F" w:rsidRPr="001231C9" w:rsidRDefault="006A6A5F" w:rsidP="000E3F0E">
            <w:pPr>
              <w:jc w:val="center"/>
              <w:rPr>
                <w:color w:val="000000"/>
                <w:szCs w:val="22"/>
              </w:rPr>
            </w:pPr>
            <w:r w:rsidRPr="001231C9">
              <w:rPr>
                <w:color w:val="000000"/>
                <w:szCs w:val="22"/>
              </w:rPr>
              <w:t>80934</w:t>
            </w:r>
          </w:p>
        </w:tc>
        <w:tc>
          <w:tcPr>
            <w:tcW w:w="8080" w:type="dxa"/>
            <w:shd w:val="clear" w:color="auto" w:fill="auto"/>
            <w:vAlign w:val="bottom"/>
            <w:hideMark/>
          </w:tcPr>
          <w:p w14:paraId="50728EC3" w14:textId="77777777" w:rsidR="006A6A5F" w:rsidRPr="001231C9" w:rsidRDefault="006A6A5F" w:rsidP="000E3F0E">
            <w:pPr>
              <w:rPr>
                <w:color w:val="000000"/>
                <w:szCs w:val="22"/>
              </w:rPr>
            </w:pPr>
            <w:r w:rsidRPr="001231C9">
              <w:rPr>
                <w:color w:val="000000"/>
                <w:szCs w:val="22"/>
              </w:rPr>
              <w:t>Australian Government - Australian Institute of Health and Welfare (2007). Disability in Australia: acquired brain injury. AIHW Bulletin,  Bulletin 55. .</w:t>
            </w:r>
          </w:p>
        </w:tc>
      </w:tr>
      <w:tr w:rsidR="006A6A5F" w:rsidRPr="001231C9" w14:paraId="1F3CA459" w14:textId="77777777" w:rsidTr="000E3F0E">
        <w:trPr>
          <w:cantSplit/>
        </w:trPr>
        <w:tc>
          <w:tcPr>
            <w:tcW w:w="1413" w:type="dxa"/>
            <w:shd w:val="clear" w:color="auto" w:fill="auto"/>
            <w:noWrap/>
            <w:vAlign w:val="center"/>
            <w:hideMark/>
          </w:tcPr>
          <w:p w14:paraId="65DA78C7" w14:textId="77777777" w:rsidR="006A6A5F" w:rsidRPr="001231C9" w:rsidRDefault="006A6A5F" w:rsidP="000E3F0E">
            <w:pPr>
              <w:jc w:val="center"/>
              <w:rPr>
                <w:color w:val="000000"/>
                <w:szCs w:val="22"/>
              </w:rPr>
            </w:pPr>
            <w:r w:rsidRPr="001231C9">
              <w:rPr>
                <w:color w:val="000000"/>
                <w:szCs w:val="22"/>
              </w:rPr>
              <w:t>80935</w:t>
            </w:r>
          </w:p>
        </w:tc>
        <w:tc>
          <w:tcPr>
            <w:tcW w:w="8080" w:type="dxa"/>
            <w:shd w:val="clear" w:color="auto" w:fill="auto"/>
            <w:vAlign w:val="bottom"/>
            <w:hideMark/>
          </w:tcPr>
          <w:p w14:paraId="0958658E" w14:textId="77777777" w:rsidR="006A6A5F" w:rsidRPr="001231C9" w:rsidRDefault="006A6A5F" w:rsidP="000E3F0E">
            <w:pPr>
              <w:rPr>
                <w:color w:val="000000"/>
                <w:szCs w:val="22"/>
              </w:rPr>
            </w:pPr>
            <w:r w:rsidRPr="001231C9">
              <w:rPr>
                <w:color w:val="000000"/>
                <w:szCs w:val="22"/>
              </w:rPr>
              <w:t>Australian Medicines Handbook (2017). Mefloquine. .  Retrieved 8 March 2017, from https://amhonline.amh.net.au/chapters/chap-05/antiprotozoals/antimalarials/mefloquine</w:t>
            </w:r>
          </w:p>
        </w:tc>
      </w:tr>
      <w:tr w:rsidR="006A6A5F" w:rsidRPr="001231C9" w14:paraId="1644D32E" w14:textId="77777777" w:rsidTr="000E3F0E">
        <w:trPr>
          <w:cantSplit/>
        </w:trPr>
        <w:tc>
          <w:tcPr>
            <w:tcW w:w="1413" w:type="dxa"/>
            <w:shd w:val="clear" w:color="auto" w:fill="auto"/>
            <w:noWrap/>
            <w:vAlign w:val="center"/>
            <w:hideMark/>
          </w:tcPr>
          <w:p w14:paraId="7479A0CD" w14:textId="77777777" w:rsidR="006A6A5F" w:rsidRPr="001231C9" w:rsidRDefault="006A6A5F" w:rsidP="000E3F0E">
            <w:pPr>
              <w:jc w:val="center"/>
              <w:rPr>
                <w:color w:val="000000"/>
                <w:szCs w:val="22"/>
              </w:rPr>
            </w:pPr>
            <w:r w:rsidRPr="001231C9">
              <w:rPr>
                <w:color w:val="000000"/>
                <w:szCs w:val="22"/>
              </w:rPr>
              <w:t>77692</w:t>
            </w:r>
          </w:p>
        </w:tc>
        <w:tc>
          <w:tcPr>
            <w:tcW w:w="8080" w:type="dxa"/>
            <w:shd w:val="clear" w:color="auto" w:fill="auto"/>
            <w:vAlign w:val="bottom"/>
            <w:hideMark/>
          </w:tcPr>
          <w:p w14:paraId="791ADAB2" w14:textId="77777777" w:rsidR="006A6A5F" w:rsidRPr="001231C9" w:rsidRDefault="006A6A5F" w:rsidP="000E3F0E">
            <w:pPr>
              <w:rPr>
                <w:color w:val="000000"/>
                <w:szCs w:val="22"/>
              </w:rPr>
            </w:pPr>
            <w:r w:rsidRPr="001231C9">
              <w:rPr>
                <w:color w:val="000000"/>
                <w:szCs w:val="22"/>
              </w:rPr>
              <w:t xml:space="preserve">Beckley JT, Woodward JJ (2013). Volatile solvents as drugs of abuse: focus on the </w:t>
            </w:r>
            <w:proofErr w:type="spellStart"/>
            <w:r w:rsidRPr="001231C9">
              <w:rPr>
                <w:color w:val="000000"/>
                <w:szCs w:val="22"/>
              </w:rPr>
              <w:t>cortico</w:t>
            </w:r>
            <w:proofErr w:type="spellEnd"/>
            <w:r w:rsidRPr="001231C9">
              <w:rPr>
                <w:color w:val="000000"/>
                <w:szCs w:val="22"/>
              </w:rPr>
              <w:t xml:space="preserve">-mesolimbic circuitry. </w:t>
            </w:r>
            <w:proofErr w:type="spellStart"/>
            <w:r w:rsidRPr="001231C9">
              <w:rPr>
                <w:color w:val="000000"/>
                <w:szCs w:val="22"/>
              </w:rPr>
              <w:t>Neuropsychopharmacol</w:t>
            </w:r>
            <w:proofErr w:type="spellEnd"/>
            <w:r w:rsidRPr="001231C9">
              <w:rPr>
                <w:color w:val="000000"/>
                <w:szCs w:val="22"/>
              </w:rPr>
              <w:t>, 38: 2555-67.</w:t>
            </w:r>
          </w:p>
        </w:tc>
      </w:tr>
      <w:tr w:rsidR="006A6A5F" w:rsidRPr="001231C9" w14:paraId="18629033" w14:textId="77777777" w:rsidTr="000E3F0E">
        <w:trPr>
          <w:cantSplit/>
        </w:trPr>
        <w:tc>
          <w:tcPr>
            <w:tcW w:w="1413" w:type="dxa"/>
            <w:shd w:val="clear" w:color="auto" w:fill="auto"/>
            <w:noWrap/>
            <w:vAlign w:val="center"/>
            <w:hideMark/>
          </w:tcPr>
          <w:p w14:paraId="69665091" w14:textId="77777777" w:rsidR="006A6A5F" w:rsidRPr="001231C9" w:rsidRDefault="006A6A5F" w:rsidP="000E3F0E">
            <w:pPr>
              <w:jc w:val="center"/>
              <w:rPr>
                <w:color w:val="000000"/>
                <w:szCs w:val="22"/>
              </w:rPr>
            </w:pPr>
            <w:r w:rsidRPr="001231C9">
              <w:rPr>
                <w:color w:val="000000"/>
                <w:szCs w:val="22"/>
              </w:rPr>
              <w:t>81267</w:t>
            </w:r>
          </w:p>
        </w:tc>
        <w:tc>
          <w:tcPr>
            <w:tcW w:w="8080" w:type="dxa"/>
            <w:shd w:val="clear" w:color="auto" w:fill="auto"/>
            <w:vAlign w:val="bottom"/>
            <w:hideMark/>
          </w:tcPr>
          <w:p w14:paraId="152DC81C" w14:textId="77777777" w:rsidR="006A6A5F" w:rsidRPr="001231C9" w:rsidRDefault="006A6A5F" w:rsidP="000E3F0E">
            <w:pPr>
              <w:rPr>
                <w:color w:val="000000"/>
                <w:szCs w:val="22"/>
              </w:rPr>
            </w:pPr>
            <w:r w:rsidRPr="001231C9">
              <w:rPr>
                <w:color w:val="000000"/>
                <w:szCs w:val="22"/>
              </w:rPr>
              <w:t xml:space="preserve">Boudreau E, Schuster B, Sanchez J, et al (1993). Tolerability of prophylactic </w:t>
            </w:r>
            <w:proofErr w:type="spellStart"/>
            <w:r w:rsidRPr="001231C9">
              <w:rPr>
                <w:color w:val="000000"/>
                <w:szCs w:val="22"/>
              </w:rPr>
              <w:t>Lariam</w:t>
            </w:r>
            <w:proofErr w:type="spellEnd"/>
            <w:r w:rsidRPr="001231C9">
              <w:rPr>
                <w:color w:val="000000"/>
                <w:szCs w:val="22"/>
              </w:rPr>
              <w:t xml:space="preserve"> regimens. Tropical medicine and parasitology, 44(3): 257-265.</w:t>
            </w:r>
          </w:p>
        </w:tc>
      </w:tr>
      <w:tr w:rsidR="006A6A5F" w:rsidRPr="001231C9" w14:paraId="46B856BC" w14:textId="77777777" w:rsidTr="000E3F0E">
        <w:trPr>
          <w:cantSplit/>
        </w:trPr>
        <w:tc>
          <w:tcPr>
            <w:tcW w:w="1413" w:type="dxa"/>
            <w:shd w:val="clear" w:color="auto" w:fill="auto"/>
            <w:noWrap/>
            <w:vAlign w:val="center"/>
            <w:hideMark/>
          </w:tcPr>
          <w:p w14:paraId="1842A695" w14:textId="77777777" w:rsidR="006A6A5F" w:rsidRPr="001231C9" w:rsidRDefault="006A6A5F" w:rsidP="000E3F0E">
            <w:pPr>
              <w:jc w:val="center"/>
              <w:rPr>
                <w:color w:val="000000"/>
                <w:szCs w:val="22"/>
              </w:rPr>
            </w:pPr>
            <w:r w:rsidRPr="001231C9">
              <w:rPr>
                <w:color w:val="000000"/>
                <w:szCs w:val="22"/>
              </w:rPr>
              <w:t>16206</w:t>
            </w:r>
          </w:p>
        </w:tc>
        <w:tc>
          <w:tcPr>
            <w:tcW w:w="8080" w:type="dxa"/>
            <w:shd w:val="clear" w:color="auto" w:fill="auto"/>
            <w:vAlign w:val="bottom"/>
            <w:hideMark/>
          </w:tcPr>
          <w:p w14:paraId="4FFD627E" w14:textId="77777777" w:rsidR="006A6A5F" w:rsidRPr="001231C9" w:rsidRDefault="006A6A5F" w:rsidP="000E3F0E">
            <w:pPr>
              <w:rPr>
                <w:color w:val="000000"/>
                <w:szCs w:val="22"/>
              </w:rPr>
            </w:pPr>
            <w:proofErr w:type="spellStart"/>
            <w:r w:rsidRPr="001231C9">
              <w:rPr>
                <w:color w:val="000000"/>
                <w:szCs w:val="22"/>
              </w:rPr>
              <w:t>Brueckner</w:t>
            </w:r>
            <w:proofErr w:type="spellEnd"/>
            <w:r w:rsidRPr="001231C9">
              <w:rPr>
                <w:color w:val="000000"/>
                <w:szCs w:val="22"/>
              </w:rPr>
              <w:t xml:space="preserve"> RP, Lasseter KC, Lin ET, et al (1998). First-time-in humans safety and pharmacokinetics of WR238605, a new antimalarial. Am J Trop Med </w:t>
            </w:r>
            <w:proofErr w:type="spellStart"/>
            <w:r w:rsidRPr="001231C9">
              <w:rPr>
                <w:color w:val="000000"/>
                <w:szCs w:val="22"/>
              </w:rPr>
              <w:t>Hyg</w:t>
            </w:r>
            <w:proofErr w:type="spellEnd"/>
            <w:r w:rsidRPr="001231C9">
              <w:rPr>
                <w:color w:val="000000"/>
                <w:szCs w:val="22"/>
              </w:rPr>
              <w:t>, 58(5): 645-49.</w:t>
            </w:r>
          </w:p>
        </w:tc>
      </w:tr>
      <w:tr w:rsidR="006A6A5F" w:rsidRPr="001231C9" w14:paraId="588942B5" w14:textId="77777777" w:rsidTr="000E3F0E">
        <w:trPr>
          <w:cantSplit/>
        </w:trPr>
        <w:tc>
          <w:tcPr>
            <w:tcW w:w="1413" w:type="dxa"/>
            <w:shd w:val="clear" w:color="auto" w:fill="auto"/>
            <w:noWrap/>
            <w:vAlign w:val="center"/>
            <w:hideMark/>
          </w:tcPr>
          <w:p w14:paraId="28E457C5" w14:textId="77777777" w:rsidR="006A6A5F" w:rsidRPr="001231C9" w:rsidRDefault="006A6A5F" w:rsidP="000E3F0E">
            <w:pPr>
              <w:jc w:val="center"/>
              <w:rPr>
                <w:color w:val="000000"/>
                <w:szCs w:val="22"/>
              </w:rPr>
            </w:pPr>
            <w:r w:rsidRPr="001231C9">
              <w:rPr>
                <w:color w:val="000000"/>
                <w:szCs w:val="22"/>
              </w:rPr>
              <w:t>75192</w:t>
            </w:r>
          </w:p>
        </w:tc>
        <w:tc>
          <w:tcPr>
            <w:tcW w:w="8080" w:type="dxa"/>
            <w:shd w:val="clear" w:color="auto" w:fill="auto"/>
            <w:vAlign w:val="bottom"/>
            <w:hideMark/>
          </w:tcPr>
          <w:p w14:paraId="5B07E281" w14:textId="77777777" w:rsidR="006A6A5F" w:rsidRPr="001231C9" w:rsidRDefault="006A6A5F" w:rsidP="000E3F0E">
            <w:pPr>
              <w:rPr>
                <w:color w:val="000000"/>
                <w:szCs w:val="22"/>
              </w:rPr>
            </w:pPr>
            <w:r w:rsidRPr="001231C9">
              <w:rPr>
                <w:color w:val="000000"/>
                <w:szCs w:val="22"/>
              </w:rPr>
              <w:t xml:space="preserve">Carrara VI, </w:t>
            </w:r>
            <w:proofErr w:type="spellStart"/>
            <w:r w:rsidRPr="001231C9">
              <w:rPr>
                <w:color w:val="000000"/>
                <w:szCs w:val="22"/>
              </w:rPr>
              <w:t>Phyo</w:t>
            </w:r>
            <w:proofErr w:type="spellEnd"/>
            <w:r w:rsidRPr="001231C9">
              <w:rPr>
                <w:color w:val="000000"/>
                <w:szCs w:val="22"/>
              </w:rPr>
              <w:t xml:space="preserve"> AP, </w:t>
            </w:r>
            <w:proofErr w:type="spellStart"/>
            <w:r w:rsidRPr="001231C9">
              <w:rPr>
                <w:color w:val="000000"/>
                <w:szCs w:val="22"/>
              </w:rPr>
              <w:t>Nwee</w:t>
            </w:r>
            <w:proofErr w:type="spellEnd"/>
            <w:r w:rsidRPr="001231C9">
              <w:rPr>
                <w:color w:val="000000"/>
                <w:szCs w:val="22"/>
              </w:rPr>
              <w:t xml:space="preserve"> P, et al (2008). Auditory assessment of patients with acute uncomplicated Plasmodium falciparum malaria treated with three-day mefloquine-</w:t>
            </w:r>
            <w:proofErr w:type="spellStart"/>
            <w:r w:rsidRPr="001231C9">
              <w:rPr>
                <w:color w:val="000000"/>
                <w:szCs w:val="22"/>
              </w:rPr>
              <w:t>artesunate</w:t>
            </w:r>
            <w:proofErr w:type="spellEnd"/>
            <w:r w:rsidRPr="001231C9">
              <w:rPr>
                <w:color w:val="000000"/>
                <w:szCs w:val="22"/>
              </w:rPr>
              <w:t xml:space="preserve"> on the north-western border of Thailand. Malar J, 233: .</w:t>
            </w:r>
          </w:p>
        </w:tc>
      </w:tr>
      <w:tr w:rsidR="006A6A5F" w:rsidRPr="001231C9" w14:paraId="262B36E5" w14:textId="77777777" w:rsidTr="000E3F0E">
        <w:trPr>
          <w:cantSplit/>
        </w:trPr>
        <w:tc>
          <w:tcPr>
            <w:tcW w:w="1413" w:type="dxa"/>
            <w:shd w:val="clear" w:color="auto" w:fill="auto"/>
            <w:noWrap/>
            <w:vAlign w:val="center"/>
            <w:hideMark/>
          </w:tcPr>
          <w:p w14:paraId="24D0FD69" w14:textId="77777777" w:rsidR="006A6A5F" w:rsidRPr="001231C9" w:rsidRDefault="006A6A5F" w:rsidP="000E3F0E">
            <w:pPr>
              <w:jc w:val="center"/>
              <w:rPr>
                <w:color w:val="000000"/>
                <w:szCs w:val="22"/>
              </w:rPr>
            </w:pPr>
            <w:r w:rsidRPr="001231C9">
              <w:rPr>
                <w:color w:val="000000"/>
                <w:szCs w:val="22"/>
              </w:rPr>
              <w:t>75193</w:t>
            </w:r>
          </w:p>
        </w:tc>
        <w:tc>
          <w:tcPr>
            <w:tcW w:w="8080" w:type="dxa"/>
            <w:shd w:val="clear" w:color="auto" w:fill="auto"/>
            <w:vAlign w:val="bottom"/>
            <w:hideMark/>
          </w:tcPr>
          <w:p w14:paraId="00966EF4" w14:textId="77777777" w:rsidR="006A6A5F" w:rsidRPr="001231C9" w:rsidRDefault="006A6A5F" w:rsidP="000E3F0E">
            <w:pPr>
              <w:rPr>
                <w:color w:val="000000"/>
                <w:szCs w:val="22"/>
              </w:rPr>
            </w:pPr>
            <w:proofErr w:type="spellStart"/>
            <w:r w:rsidRPr="001231C9">
              <w:rPr>
                <w:color w:val="000000"/>
                <w:szCs w:val="22"/>
              </w:rPr>
              <w:t>Castelli</w:t>
            </w:r>
            <w:proofErr w:type="spellEnd"/>
            <w:r w:rsidRPr="001231C9">
              <w:rPr>
                <w:color w:val="000000"/>
                <w:szCs w:val="22"/>
              </w:rPr>
              <w:t xml:space="preserve"> F, </w:t>
            </w:r>
            <w:proofErr w:type="spellStart"/>
            <w:r w:rsidRPr="001231C9">
              <w:rPr>
                <w:color w:val="000000"/>
                <w:szCs w:val="22"/>
              </w:rPr>
              <w:t>Odolini</w:t>
            </w:r>
            <w:proofErr w:type="spellEnd"/>
            <w:r w:rsidRPr="001231C9">
              <w:rPr>
                <w:color w:val="000000"/>
                <w:szCs w:val="22"/>
              </w:rPr>
              <w:t xml:space="preserve"> S, </w:t>
            </w:r>
            <w:proofErr w:type="spellStart"/>
            <w:r w:rsidRPr="001231C9">
              <w:rPr>
                <w:color w:val="000000"/>
                <w:szCs w:val="22"/>
              </w:rPr>
              <w:t>Autino</w:t>
            </w:r>
            <w:proofErr w:type="spellEnd"/>
            <w:r w:rsidRPr="001231C9">
              <w:rPr>
                <w:color w:val="000000"/>
                <w:szCs w:val="22"/>
              </w:rPr>
              <w:t xml:space="preserve"> B, et al (2010). Malaria Prophylaxis: A Comprehensive Review. Pharmaceuticals, 3: 3212-39.</w:t>
            </w:r>
          </w:p>
        </w:tc>
      </w:tr>
      <w:tr w:rsidR="006A6A5F" w:rsidRPr="001231C9" w14:paraId="1D0E9195" w14:textId="77777777" w:rsidTr="000E3F0E">
        <w:trPr>
          <w:cantSplit/>
        </w:trPr>
        <w:tc>
          <w:tcPr>
            <w:tcW w:w="1413" w:type="dxa"/>
            <w:shd w:val="clear" w:color="auto" w:fill="auto"/>
            <w:noWrap/>
            <w:vAlign w:val="center"/>
            <w:hideMark/>
          </w:tcPr>
          <w:p w14:paraId="62E5C821" w14:textId="77777777" w:rsidR="006A6A5F" w:rsidRPr="001231C9" w:rsidRDefault="006A6A5F" w:rsidP="000E3F0E">
            <w:pPr>
              <w:jc w:val="center"/>
              <w:rPr>
                <w:color w:val="000000"/>
                <w:szCs w:val="22"/>
              </w:rPr>
            </w:pPr>
            <w:r w:rsidRPr="001231C9">
              <w:rPr>
                <w:color w:val="000000"/>
                <w:szCs w:val="22"/>
              </w:rPr>
              <w:lastRenderedPageBreak/>
              <w:t>39651</w:t>
            </w:r>
          </w:p>
        </w:tc>
        <w:tc>
          <w:tcPr>
            <w:tcW w:w="8080" w:type="dxa"/>
            <w:shd w:val="clear" w:color="auto" w:fill="auto"/>
            <w:vAlign w:val="bottom"/>
            <w:hideMark/>
          </w:tcPr>
          <w:p w14:paraId="243B96A2" w14:textId="77777777" w:rsidR="006A6A5F" w:rsidRPr="001231C9" w:rsidRDefault="006A6A5F" w:rsidP="000E3F0E">
            <w:pPr>
              <w:rPr>
                <w:color w:val="000000"/>
                <w:szCs w:val="22"/>
              </w:rPr>
            </w:pPr>
            <w:proofErr w:type="spellStart"/>
            <w:r w:rsidRPr="001231C9">
              <w:rPr>
                <w:color w:val="000000"/>
                <w:szCs w:val="22"/>
              </w:rPr>
              <w:t>Clayman</w:t>
            </w:r>
            <w:proofErr w:type="spellEnd"/>
            <w:r w:rsidRPr="001231C9">
              <w:rPr>
                <w:color w:val="000000"/>
                <w:szCs w:val="22"/>
              </w:rPr>
              <w:t xml:space="preserve"> CB, Arnold J, </w:t>
            </w:r>
            <w:proofErr w:type="spellStart"/>
            <w:r w:rsidRPr="001231C9">
              <w:rPr>
                <w:color w:val="000000"/>
                <w:szCs w:val="22"/>
              </w:rPr>
              <w:t>Hockwald</w:t>
            </w:r>
            <w:proofErr w:type="spellEnd"/>
            <w:r w:rsidRPr="001231C9">
              <w:rPr>
                <w:color w:val="000000"/>
                <w:szCs w:val="22"/>
              </w:rPr>
              <w:t xml:space="preserve"> RS, et al (2006). Toxicity of primaquine in Caucasians. J Am Med </w:t>
            </w:r>
            <w:proofErr w:type="spellStart"/>
            <w:r w:rsidRPr="001231C9">
              <w:rPr>
                <w:color w:val="000000"/>
                <w:szCs w:val="22"/>
              </w:rPr>
              <w:t>Assoc</w:t>
            </w:r>
            <w:proofErr w:type="spellEnd"/>
            <w:r w:rsidRPr="001231C9">
              <w:rPr>
                <w:color w:val="000000"/>
                <w:szCs w:val="22"/>
              </w:rPr>
              <w:t>, 149(17): 1563-8.</w:t>
            </w:r>
          </w:p>
        </w:tc>
      </w:tr>
      <w:tr w:rsidR="006A6A5F" w:rsidRPr="001231C9" w14:paraId="2A28C993" w14:textId="77777777" w:rsidTr="000E3F0E">
        <w:trPr>
          <w:cantSplit/>
        </w:trPr>
        <w:tc>
          <w:tcPr>
            <w:tcW w:w="1413" w:type="dxa"/>
            <w:shd w:val="clear" w:color="auto" w:fill="auto"/>
            <w:noWrap/>
            <w:vAlign w:val="center"/>
            <w:hideMark/>
          </w:tcPr>
          <w:p w14:paraId="52F3B49B" w14:textId="77777777" w:rsidR="006A6A5F" w:rsidRPr="001231C9" w:rsidRDefault="006A6A5F" w:rsidP="000E3F0E">
            <w:pPr>
              <w:jc w:val="center"/>
              <w:rPr>
                <w:color w:val="000000"/>
                <w:szCs w:val="22"/>
              </w:rPr>
            </w:pPr>
            <w:r w:rsidRPr="001231C9">
              <w:rPr>
                <w:color w:val="000000"/>
                <w:szCs w:val="22"/>
              </w:rPr>
              <w:t>80815</w:t>
            </w:r>
          </w:p>
        </w:tc>
        <w:tc>
          <w:tcPr>
            <w:tcW w:w="8080" w:type="dxa"/>
            <w:shd w:val="clear" w:color="auto" w:fill="auto"/>
            <w:vAlign w:val="bottom"/>
            <w:hideMark/>
          </w:tcPr>
          <w:p w14:paraId="6A646FFA" w14:textId="77777777" w:rsidR="006A6A5F" w:rsidRPr="001231C9" w:rsidRDefault="006A6A5F" w:rsidP="000E3F0E">
            <w:pPr>
              <w:rPr>
                <w:color w:val="000000"/>
                <w:szCs w:val="22"/>
              </w:rPr>
            </w:pPr>
            <w:r w:rsidRPr="001231C9">
              <w:rPr>
                <w:color w:val="000000"/>
                <w:szCs w:val="22"/>
              </w:rPr>
              <w:t xml:space="preserve">de </w:t>
            </w:r>
            <w:proofErr w:type="spellStart"/>
            <w:r w:rsidRPr="001231C9">
              <w:rPr>
                <w:color w:val="000000"/>
                <w:szCs w:val="22"/>
              </w:rPr>
              <w:t>Lagerie</w:t>
            </w:r>
            <w:proofErr w:type="spellEnd"/>
            <w:r w:rsidRPr="001231C9">
              <w:rPr>
                <w:color w:val="000000"/>
                <w:szCs w:val="22"/>
              </w:rPr>
              <w:t xml:space="preserve"> SB, Fernandez C, German-</w:t>
            </w:r>
            <w:proofErr w:type="spellStart"/>
            <w:r w:rsidRPr="001231C9">
              <w:rPr>
                <w:color w:val="000000"/>
                <w:szCs w:val="22"/>
              </w:rPr>
              <w:t>Fattal</w:t>
            </w:r>
            <w:proofErr w:type="spellEnd"/>
            <w:r w:rsidRPr="001231C9">
              <w:rPr>
                <w:color w:val="000000"/>
                <w:szCs w:val="22"/>
              </w:rPr>
              <w:t xml:space="preserve"> M, et al (2009). Impact of cerebral malaria on brain distribution of mefloquine. Drug Metabolism Letters, 3(1): 15-7.</w:t>
            </w:r>
          </w:p>
        </w:tc>
      </w:tr>
      <w:tr w:rsidR="006A6A5F" w:rsidRPr="001231C9" w14:paraId="3DF5FC93" w14:textId="77777777" w:rsidTr="000E3F0E">
        <w:trPr>
          <w:cantSplit/>
        </w:trPr>
        <w:tc>
          <w:tcPr>
            <w:tcW w:w="1413" w:type="dxa"/>
            <w:shd w:val="clear" w:color="auto" w:fill="auto"/>
            <w:noWrap/>
            <w:vAlign w:val="center"/>
            <w:hideMark/>
          </w:tcPr>
          <w:p w14:paraId="79C9DAA0" w14:textId="77777777" w:rsidR="006A6A5F" w:rsidRPr="001231C9" w:rsidRDefault="006A6A5F" w:rsidP="000E3F0E">
            <w:pPr>
              <w:jc w:val="center"/>
              <w:rPr>
                <w:color w:val="000000"/>
                <w:szCs w:val="22"/>
              </w:rPr>
            </w:pPr>
            <w:r w:rsidRPr="001231C9">
              <w:rPr>
                <w:color w:val="000000"/>
                <w:szCs w:val="22"/>
              </w:rPr>
              <w:t>80933</w:t>
            </w:r>
          </w:p>
        </w:tc>
        <w:tc>
          <w:tcPr>
            <w:tcW w:w="8080" w:type="dxa"/>
            <w:shd w:val="clear" w:color="auto" w:fill="auto"/>
            <w:vAlign w:val="bottom"/>
            <w:hideMark/>
          </w:tcPr>
          <w:p w14:paraId="4FD51E3D" w14:textId="77777777" w:rsidR="006A6A5F" w:rsidRPr="001231C9" w:rsidRDefault="006A6A5F" w:rsidP="000E3F0E">
            <w:pPr>
              <w:rPr>
                <w:color w:val="000000"/>
                <w:szCs w:val="22"/>
              </w:rPr>
            </w:pPr>
            <w:r w:rsidRPr="001231C9">
              <w:rPr>
                <w:color w:val="000000"/>
                <w:szCs w:val="22"/>
              </w:rPr>
              <w:t xml:space="preserve">de Souza A, </w:t>
            </w:r>
            <w:proofErr w:type="spellStart"/>
            <w:r w:rsidRPr="001231C9">
              <w:rPr>
                <w:color w:val="000000"/>
                <w:szCs w:val="22"/>
              </w:rPr>
              <w:t>Narvencar</w:t>
            </w:r>
            <w:proofErr w:type="spellEnd"/>
            <w:r w:rsidRPr="001231C9">
              <w:rPr>
                <w:color w:val="000000"/>
                <w:szCs w:val="22"/>
              </w:rPr>
              <w:t xml:space="preserve"> KPS, Desai PK, et al (2013). Adult lead encephalopathy. Neurological Research, 35(1): 54-8.</w:t>
            </w:r>
          </w:p>
        </w:tc>
      </w:tr>
      <w:tr w:rsidR="006A6A5F" w:rsidRPr="001231C9" w14:paraId="4BE1721B" w14:textId="77777777" w:rsidTr="000E3F0E">
        <w:trPr>
          <w:cantSplit/>
        </w:trPr>
        <w:tc>
          <w:tcPr>
            <w:tcW w:w="1413" w:type="dxa"/>
            <w:shd w:val="clear" w:color="auto" w:fill="auto"/>
            <w:noWrap/>
            <w:vAlign w:val="center"/>
            <w:hideMark/>
          </w:tcPr>
          <w:p w14:paraId="20E77B41" w14:textId="77777777" w:rsidR="006A6A5F" w:rsidRPr="001231C9" w:rsidRDefault="006A6A5F" w:rsidP="000E3F0E">
            <w:pPr>
              <w:jc w:val="center"/>
              <w:rPr>
                <w:color w:val="000000"/>
                <w:szCs w:val="22"/>
              </w:rPr>
            </w:pPr>
            <w:r w:rsidRPr="001231C9">
              <w:rPr>
                <w:color w:val="000000"/>
                <w:szCs w:val="22"/>
              </w:rPr>
              <w:t>77977</w:t>
            </w:r>
          </w:p>
        </w:tc>
        <w:tc>
          <w:tcPr>
            <w:tcW w:w="8080" w:type="dxa"/>
            <w:shd w:val="clear" w:color="auto" w:fill="auto"/>
            <w:vAlign w:val="bottom"/>
            <w:hideMark/>
          </w:tcPr>
          <w:p w14:paraId="6B703D02" w14:textId="77777777" w:rsidR="006A6A5F" w:rsidRPr="001231C9" w:rsidRDefault="006A6A5F" w:rsidP="000E3F0E">
            <w:pPr>
              <w:rPr>
                <w:color w:val="000000"/>
                <w:szCs w:val="22"/>
              </w:rPr>
            </w:pPr>
            <w:r w:rsidRPr="001231C9">
              <w:rPr>
                <w:color w:val="000000"/>
                <w:szCs w:val="22"/>
              </w:rPr>
              <w:t xml:space="preserve">Dow G, Bauman R, </w:t>
            </w:r>
            <w:proofErr w:type="spellStart"/>
            <w:r w:rsidRPr="001231C9">
              <w:rPr>
                <w:color w:val="000000"/>
                <w:szCs w:val="22"/>
              </w:rPr>
              <w:t>Caridha</w:t>
            </w:r>
            <w:proofErr w:type="spellEnd"/>
            <w:r w:rsidRPr="001231C9">
              <w:rPr>
                <w:color w:val="000000"/>
                <w:szCs w:val="22"/>
              </w:rPr>
              <w:t xml:space="preserve"> D, et al (2006). Mefloquine induces dose-related neurological effects in a rat model. </w:t>
            </w:r>
            <w:proofErr w:type="spellStart"/>
            <w:r w:rsidRPr="001231C9">
              <w:rPr>
                <w:color w:val="000000"/>
                <w:szCs w:val="22"/>
              </w:rPr>
              <w:t>Antimicrob</w:t>
            </w:r>
            <w:proofErr w:type="spellEnd"/>
            <w:r w:rsidRPr="001231C9">
              <w:rPr>
                <w:color w:val="000000"/>
                <w:szCs w:val="22"/>
              </w:rPr>
              <w:t xml:space="preserve"> Agents </w:t>
            </w:r>
            <w:proofErr w:type="spellStart"/>
            <w:r w:rsidRPr="001231C9">
              <w:rPr>
                <w:color w:val="000000"/>
                <w:szCs w:val="22"/>
              </w:rPr>
              <w:t>Chemother</w:t>
            </w:r>
            <w:proofErr w:type="spellEnd"/>
            <w:r w:rsidRPr="001231C9">
              <w:rPr>
                <w:color w:val="000000"/>
                <w:szCs w:val="22"/>
              </w:rPr>
              <w:t>, 50(3): 1045-53.</w:t>
            </w:r>
          </w:p>
        </w:tc>
      </w:tr>
      <w:tr w:rsidR="006A6A5F" w:rsidRPr="001231C9" w14:paraId="28AC7EE9" w14:textId="77777777" w:rsidTr="000E3F0E">
        <w:trPr>
          <w:cantSplit/>
        </w:trPr>
        <w:tc>
          <w:tcPr>
            <w:tcW w:w="1413" w:type="dxa"/>
            <w:shd w:val="clear" w:color="auto" w:fill="auto"/>
            <w:noWrap/>
            <w:vAlign w:val="center"/>
            <w:hideMark/>
          </w:tcPr>
          <w:p w14:paraId="22E363BB" w14:textId="77777777" w:rsidR="006A6A5F" w:rsidRPr="001231C9" w:rsidRDefault="006A6A5F" w:rsidP="000E3F0E">
            <w:pPr>
              <w:jc w:val="center"/>
              <w:rPr>
                <w:color w:val="000000"/>
                <w:szCs w:val="22"/>
              </w:rPr>
            </w:pPr>
            <w:r w:rsidRPr="001231C9">
              <w:rPr>
                <w:color w:val="000000"/>
                <w:szCs w:val="22"/>
              </w:rPr>
              <w:t>72187</w:t>
            </w:r>
          </w:p>
        </w:tc>
        <w:tc>
          <w:tcPr>
            <w:tcW w:w="8080" w:type="dxa"/>
            <w:shd w:val="clear" w:color="auto" w:fill="auto"/>
            <w:vAlign w:val="bottom"/>
            <w:hideMark/>
          </w:tcPr>
          <w:p w14:paraId="0875C252" w14:textId="77777777" w:rsidR="006A6A5F" w:rsidRPr="001231C9" w:rsidRDefault="006A6A5F" w:rsidP="000E3F0E">
            <w:pPr>
              <w:rPr>
                <w:color w:val="000000"/>
                <w:szCs w:val="22"/>
              </w:rPr>
            </w:pPr>
            <w:r w:rsidRPr="001231C9">
              <w:rPr>
                <w:color w:val="000000"/>
                <w:szCs w:val="22"/>
              </w:rPr>
              <w:t xml:space="preserve">Dow G, Brown T, Reid M, et al (2017). Tafenoquine is not neurotoxic following </w:t>
            </w:r>
            <w:proofErr w:type="spellStart"/>
            <w:r w:rsidRPr="001231C9">
              <w:rPr>
                <w:color w:val="000000"/>
                <w:szCs w:val="22"/>
              </w:rPr>
              <w:t>supertherapeutic</w:t>
            </w:r>
            <w:proofErr w:type="spellEnd"/>
            <w:r w:rsidRPr="001231C9">
              <w:rPr>
                <w:color w:val="000000"/>
                <w:szCs w:val="22"/>
              </w:rPr>
              <w:t xml:space="preserve"> doses in rats. Travel Medicine and Infectious Disease, : .</w:t>
            </w:r>
          </w:p>
        </w:tc>
      </w:tr>
      <w:tr w:rsidR="006A6A5F" w:rsidRPr="001231C9" w14:paraId="2C2CA4B0" w14:textId="77777777" w:rsidTr="000E3F0E">
        <w:trPr>
          <w:cantSplit/>
        </w:trPr>
        <w:tc>
          <w:tcPr>
            <w:tcW w:w="1413" w:type="dxa"/>
            <w:shd w:val="clear" w:color="auto" w:fill="auto"/>
            <w:noWrap/>
            <w:vAlign w:val="center"/>
            <w:hideMark/>
          </w:tcPr>
          <w:p w14:paraId="7C8D702E" w14:textId="77777777" w:rsidR="006A6A5F" w:rsidRPr="001231C9" w:rsidRDefault="006A6A5F" w:rsidP="000E3F0E">
            <w:pPr>
              <w:jc w:val="center"/>
              <w:rPr>
                <w:color w:val="000000"/>
                <w:szCs w:val="22"/>
              </w:rPr>
            </w:pPr>
            <w:r w:rsidRPr="001231C9">
              <w:rPr>
                <w:color w:val="000000"/>
                <w:szCs w:val="22"/>
              </w:rPr>
              <w:t>80910</w:t>
            </w:r>
          </w:p>
        </w:tc>
        <w:tc>
          <w:tcPr>
            <w:tcW w:w="8080" w:type="dxa"/>
            <w:shd w:val="clear" w:color="auto" w:fill="auto"/>
            <w:vAlign w:val="bottom"/>
            <w:hideMark/>
          </w:tcPr>
          <w:p w14:paraId="5915961C" w14:textId="77777777" w:rsidR="006A6A5F" w:rsidRPr="001231C9" w:rsidRDefault="006A6A5F" w:rsidP="000E3F0E">
            <w:pPr>
              <w:rPr>
                <w:color w:val="000000"/>
                <w:szCs w:val="22"/>
              </w:rPr>
            </w:pPr>
            <w:r w:rsidRPr="001231C9">
              <w:rPr>
                <w:color w:val="000000"/>
                <w:szCs w:val="22"/>
              </w:rPr>
              <w:t>Dow GS, Liu J, Lin G, et al (2015). Summary of anti-malarial prophylactic efficacy of tafenoquine from three placebo-controlled studies of residents of malaria-endemic countries. Malar J, 14(1): 473.</w:t>
            </w:r>
          </w:p>
        </w:tc>
      </w:tr>
      <w:tr w:rsidR="006A6A5F" w:rsidRPr="001231C9" w14:paraId="7976CDD7" w14:textId="77777777" w:rsidTr="000E3F0E">
        <w:trPr>
          <w:cantSplit/>
        </w:trPr>
        <w:tc>
          <w:tcPr>
            <w:tcW w:w="1413" w:type="dxa"/>
            <w:shd w:val="clear" w:color="auto" w:fill="auto"/>
            <w:noWrap/>
            <w:vAlign w:val="center"/>
            <w:hideMark/>
          </w:tcPr>
          <w:p w14:paraId="47B6B8B9" w14:textId="77777777" w:rsidR="006A6A5F" w:rsidRPr="001231C9" w:rsidRDefault="006A6A5F" w:rsidP="000E3F0E">
            <w:pPr>
              <w:jc w:val="center"/>
              <w:rPr>
                <w:color w:val="000000"/>
                <w:szCs w:val="22"/>
              </w:rPr>
            </w:pPr>
            <w:r w:rsidRPr="001231C9">
              <w:rPr>
                <w:color w:val="000000"/>
                <w:szCs w:val="22"/>
              </w:rPr>
              <w:t>81431</w:t>
            </w:r>
          </w:p>
        </w:tc>
        <w:tc>
          <w:tcPr>
            <w:tcW w:w="8080" w:type="dxa"/>
            <w:shd w:val="clear" w:color="auto" w:fill="auto"/>
            <w:vAlign w:val="bottom"/>
            <w:hideMark/>
          </w:tcPr>
          <w:p w14:paraId="47D9614E" w14:textId="77777777" w:rsidR="006A6A5F" w:rsidRPr="001231C9" w:rsidRDefault="006A6A5F" w:rsidP="000E3F0E">
            <w:pPr>
              <w:rPr>
                <w:color w:val="000000"/>
                <w:szCs w:val="22"/>
              </w:rPr>
            </w:pPr>
            <w:r w:rsidRPr="001231C9">
              <w:rPr>
                <w:color w:val="000000"/>
                <w:szCs w:val="22"/>
              </w:rPr>
              <w:t xml:space="preserve">Dow GS, Miner E, Bathurst I, et al (2011). Central nervous system exposure of next generation quinoline </w:t>
            </w:r>
            <w:proofErr w:type="spellStart"/>
            <w:r w:rsidRPr="001231C9">
              <w:rPr>
                <w:color w:val="000000"/>
                <w:szCs w:val="22"/>
              </w:rPr>
              <w:t>methanols</w:t>
            </w:r>
            <w:proofErr w:type="spellEnd"/>
            <w:r w:rsidRPr="001231C9">
              <w:rPr>
                <w:color w:val="000000"/>
                <w:szCs w:val="22"/>
              </w:rPr>
              <w:t xml:space="preserve"> is reduced relative to mefloquine after intravenous dosing in mice. Malar J, 10: .</w:t>
            </w:r>
          </w:p>
        </w:tc>
      </w:tr>
      <w:tr w:rsidR="006A6A5F" w:rsidRPr="001231C9" w14:paraId="6CBC0965" w14:textId="77777777" w:rsidTr="000E3F0E">
        <w:trPr>
          <w:cantSplit/>
        </w:trPr>
        <w:tc>
          <w:tcPr>
            <w:tcW w:w="1413" w:type="dxa"/>
            <w:shd w:val="clear" w:color="auto" w:fill="auto"/>
            <w:noWrap/>
            <w:vAlign w:val="center"/>
            <w:hideMark/>
          </w:tcPr>
          <w:p w14:paraId="5DC3AF82" w14:textId="77777777" w:rsidR="006A6A5F" w:rsidRPr="001231C9" w:rsidRDefault="006A6A5F" w:rsidP="000E3F0E">
            <w:pPr>
              <w:jc w:val="center"/>
              <w:rPr>
                <w:color w:val="000000"/>
                <w:szCs w:val="22"/>
              </w:rPr>
            </w:pPr>
            <w:r w:rsidRPr="001231C9">
              <w:rPr>
                <w:color w:val="000000"/>
                <w:szCs w:val="22"/>
              </w:rPr>
              <w:t>61534</w:t>
            </w:r>
          </w:p>
        </w:tc>
        <w:tc>
          <w:tcPr>
            <w:tcW w:w="8080" w:type="dxa"/>
            <w:shd w:val="clear" w:color="auto" w:fill="auto"/>
            <w:vAlign w:val="bottom"/>
            <w:hideMark/>
          </w:tcPr>
          <w:p w14:paraId="3730F88D" w14:textId="77777777" w:rsidR="006A6A5F" w:rsidRPr="001231C9" w:rsidRDefault="006A6A5F" w:rsidP="000E3F0E">
            <w:pPr>
              <w:rPr>
                <w:color w:val="000000"/>
                <w:szCs w:val="22"/>
              </w:rPr>
            </w:pPr>
            <w:proofErr w:type="spellStart"/>
            <w:r w:rsidRPr="001231C9">
              <w:rPr>
                <w:color w:val="000000"/>
                <w:szCs w:val="22"/>
              </w:rPr>
              <w:t>Ebstie</w:t>
            </w:r>
            <w:proofErr w:type="spellEnd"/>
            <w:r w:rsidRPr="001231C9">
              <w:rPr>
                <w:color w:val="000000"/>
                <w:szCs w:val="22"/>
              </w:rPr>
              <w:t xml:space="preserve"> YA, </w:t>
            </w:r>
            <w:proofErr w:type="spellStart"/>
            <w:r w:rsidRPr="001231C9">
              <w:rPr>
                <w:color w:val="000000"/>
                <w:szCs w:val="22"/>
              </w:rPr>
              <w:t>Abay</w:t>
            </w:r>
            <w:proofErr w:type="spellEnd"/>
            <w:r w:rsidRPr="001231C9">
              <w:rPr>
                <w:color w:val="000000"/>
                <w:szCs w:val="22"/>
              </w:rPr>
              <w:t xml:space="preserve"> SM, </w:t>
            </w:r>
            <w:proofErr w:type="spellStart"/>
            <w:r w:rsidRPr="001231C9">
              <w:rPr>
                <w:color w:val="000000"/>
                <w:szCs w:val="22"/>
              </w:rPr>
              <w:t>Tadesse</w:t>
            </w:r>
            <w:proofErr w:type="spellEnd"/>
            <w:r w:rsidRPr="001231C9">
              <w:rPr>
                <w:color w:val="000000"/>
                <w:szCs w:val="22"/>
              </w:rPr>
              <w:t xml:space="preserve"> WT, et al (2016). Tafenoquine and its potential in the treatment and relapse prevention of Plasmodium vivax malaria: the evidence to date. Drug Des </w:t>
            </w:r>
            <w:proofErr w:type="spellStart"/>
            <w:r w:rsidRPr="001231C9">
              <w:rPr>
                <w:color w:val="000000"/>
                <w:szCs w:val="22"/>
              </w:rPr>
              <w:t>Devel</w:t>
            </w:r>
            <w:proofErr w:type="spellEnd"/>
            <w:r w:rsidRPr="001231C9">
              <w:rPr>
                <w:color w:val="000000"/>
                <w:szCs w:val="22"/>
              </w:rPr>
              <w:t xml:space="preserve"> </w:t>
            </w:r>
            <w:proofErr w:type="spellStart"/>
            <w:r w:rsidRPr="001231C9">
              <w:rPr>
                <w:color w:val="000000"/>
                <w:szCs w:val="22"/>
              </w:rPr>
              <w:t>Ther</w:t>
            </w:r>
            <w:proofErr w:type="spellEnd"/>
            <w:r w:rsidRPr="001231C9">
              <w:rPr>
                <w:color w:val="000000"/>
                <w:szCs w:val="22"/>
              </w:rPr>
              <w:t>, 10: 2387-99.</w:t>
            </w:r>
          </w:p>
        </w:tc>
      </w:tr>
      <w:tr w:rsidR="006A6A5F" w:rsidRPr="001231C9" w14:paraId="317C90A1" w14:textId="77777777" w:rsidTr="000E3F0E">
        <w:trPr>
          <w:cantSplit/>
        </w:trPr>
        <w:tc>
          <w:tcPr>
            <w:tcW w:w="1413" w:type="dxa"/>
            <w:shd w:val="clear" w:color="auto" w:fill="auto"/>
            <w:noWrap/>
            <w:vAlign w:val="center"/>
            <w:hideMark/>
          </w:tcPr>
          <w:p w14:paraId="04C14F2C" w14:textId="77777777" w:rsidR="006A6A5F" w:rsidRPr="001231C9" w:rsidRDefault="006A6A5F" w:rsidP="000E3F0E">
            <w:pPr>
              <w:jc w:val="center"/>
              <w:rPr>
                <w:color w:val="000000"/>
                <w:szCs w:val="22"/>
              </w:rPr>
            </w:pPr>
            <w:r w:rsidRPr="001231C9">
              <w:rPr>
                <w:color w:val="000000"/>
                <w:szCs w:val="22"/>
              </w:rPr>
              <w:t>81389</w:t>
            </w:r>
          </w:p>
        </w:tc>
        <w:tc>
          <w:tcPr>
            <w:tcW w:w="8080" w:type="dxa"/>
            <w:shd w:val="clear" w:color="auto" w:fill="auto"/>
            <w:vAlign w:val="bottom"/>
            <w:hideMark/>
          </w:tcPr>
          <w:p w14:paraId="0706F89F" w14:textId="77777777" w:rsidR="006A6A5F" w:rsidRPr="001231C9" w:rsidRDefault="006A6A5F" w:rsidP="000E3F0E">
            <w:pPr>
              <w:rPr>
                <w:color w:val="000000"/>
                <w:szCs w:val="22"/>
              </w:rPr>
            </w:pPr>
            <w:proofErr w:type="spellStart"/>
            <w:r w:rsidRPr="001231C9">
              <w:rPr>
                <w:color w:val="000000"/>
                <w:szCs w:val="22"/>
              </w:rPr>
              <w:t>Eick</w:t>
            </w:r>
            <w:proofErr w:type="spellEnd"/>
            <w:r w:rsidRPr="001231C9">
              <w:rPr>
                <w:color w:val="000000"/>
                <w:szCs w:val="22"/>
              </w:rPr>
              <w:t xml:space="preserve">-Cost A, Hu Z, </w:t>
            </w:r>
            <w:proofErr w:type="spellStart"/>
            <w:r w:rsidRPr="001231C9">
              <w:rPr>
                <w:color w:val="000000"/>
                <w:szCs w:val="22"/>
              </w:rPr>
              <w:t>Rohrbeck</w:t>
            </w:r>
            <w:proofErr w:type="spellEnd"/>
            <w:r w:rsidRPr="001231C9">
              <w:rPr>
                <w:color w:val="000000"/>
                <w:szCs w:val="22"/>
              </w:rPr>
              <w:t xml:space="preserve"> P, et al (2017). Neuropsychiatric outcomes after mefloquine exposure among U.S. military service members. Am J Trop Med </w:t>
            </w:r>
            <w:proofErr w:type="spellStart"/>
            <w:r w:rsidRPr="001231C9">
              <w:rPr>
                <w:color w:val="000000"/>
                <w:szCs w:val="22"/>
              </w:rPr>
              <w:t>Hyg</w:t>
            </w:r>
            <w:proofErr w:type="spellEnd"/>
            <w:r w:rsidRPr="001231C9">
              <w:rPr>
                <w:color w:val="000000"/>
                <w:szCs w:val="22"/>
              </w:rPr>
              <w:t>, 96(1): 159-66.</w:t>
            </w:r>
          </w:p>
        </w:tc>
      </w:tr>
      <w:tr w:rsidR="006A6A5F" w:rsidRPr="001231C9" w14:paraId="4229E841" w14:textId="77777777" w:rsidTr="000E3F0E">
        <w:trPr>
          <w:cantSplit/>
        </w:trPr>
        <w:tc>
          <w:tcPr>
            <w:tcW w:w="1413" w:type="dxa"/>
            <w:shd w:val="clear" w:color="auto" w:fill="auto"/>
            <w:noWrap/>
            <w:vAlign w:val="center"/>
            <w:hideMark/>
          </w:tcPr>
          <w:p w14:paraId="12C5320E" w14:textId="77777777" w:rsidR="006A6A5F" w:rsidRPr="001231C9" w:rsidRDefault="006A6A5F" w:rsidP="000E3F0E">
            <w:pPr>
              <w:jc w:val="center"/>
              <w:rPr>
                <w:color w:val="000000"/>
                <w:szCs w:val="22"/>
              </w:rPr>
            </w:pPr>
            <w:r w:rsidRPr="001231C9">
              <w:rPr>
                <w:color w:val="000000"/>
                <w:szCs w:val="22"/>
              </w:rPr>
              <w:t>77976</w:t>
            </w:r>
          </w:p>
        </w:tc>
        <w:tc>
          <w:tcPr>
            <w:tcW w:w="8080" w:type="dxa"/>
            <w:shd w:val="clear" w:color="auto" w:fill="auto"/>
            <w:vAlign w:val="bottom"/>
            <w:hideMark/>
          </w:tcPr>
          <w:p w14:paraId="321DF417" w14:textId="77777777" w:rsidR="006A6A5F" w:rsidRPr="001231C9" w:rsidRDefault="006A6A5F" w:rsidP="000E3F0E">
            <w:pPr>
              <w:rPr>
                <w:color w:val="000000"/>
                <w:szCs w:val="22"/>
              </w:rPr>
            </w:pPr>
            <w:proofErr w:type="spellStart"/>
            <w:r w:rsidRPr="001231C9">
              <w:rPr>
                <w:color w:val="000000"/>
                <w:szCs w:val="22"/>
              </w:rPr>
              <w:t>Elmes</w:t>
            </w:r>
            <w:proofErr w:type="spellEnd"/>
            <w:r w:rsidRPr="001231C9">
              <w:rPr>
                <w:color w:val="000000"/>
                <w:szCs w:val="22"/>
              </w:rPr>
              <w:t xml:space="preserve"> NJ, </w:t>
            </w:r>
            <w:proofErr w:type="spellStart"/>
            <w:r w:rsidRPr="001231C9">
              <w:rPr>
                <w:color w:val="000000"/>
                <w:szCs w:val="22"/>
              </w:rPr>
              <w:t>Nasveld</w:t>
            </w:r>
            <w:proofErr w:type="spellEnd"/>
            <w:r w:rsidRPr="001231C9">
              <w:rPr>
                <w:color w:val="000000"/>
                <w:szCs w:val="22"/>
              </w:rPr>
              <w:t xml:space="preserve"> PE, Kitchener SJ, et al (2008). The efficacy and tolerability of three different regimens of tafenoquine versus primaquine for post-exposure prophylaxis of plasmodium vivax malaria in the Southwest Pacific. Trans R </w:t>
            </w:r>
            <w:proofErr w:type="spellStart"/>
            <w:r w:rsidRPr="001231C9">
              <w:rPr>
                <w:color w:val="000000"/>
                <w:szCs w:val="22"/>
              </w:rPr>
              <w:t>Soc</w:t>
            </w:r>
            <w:proofErr w:type="spellEnd"/>
            <w:r w:rsidRPr="001231C9">
              <w:rPr>
                <w:color w:val="000000"/>
                <w:szCs w:val="22"/>
              </w:rPr>
              <w:t xml:space="preserve"> Trop Med </w:t>
            </w:r>
            <w:proofErr w:type="spellStart"/>
            <w:r w:rsidRPr="001231C9">
              <w:rPr>
                <w:color w:val="000000"/>
                <w:szCs w:val="22"/>
              </w:rPr>
              <w:t>Hyg</w:t>
            </w:r>
            <w:proofErr w:type="spellEnd"/>
            <w:r w:rsidRPr="001231C9">
              <w:rPr>
                <w:color w:val="000000"/>
                <w:szCs w:val="22"/>
              </w:rPr>
              <w:t>, 102(11): 1095-101.</w:t>
            </w:r>
          </w:p>
        </w:tc>
      </w:tr>
      <w:tr w:rsidR="006A6A5F" w:rsidRPr="001231C9" w14:paraId="5842C715" w14:textId="77777777" w:rsidTr="000E3F0E">
        <w:trPr>
          <w:cantSplit/>
        </w:trPr>
        <w:tc>
          <w:tcPr>
            <w:tcW w:w="1413" w:type="dxa"/>
            <w:shd w:val="clear" w:color="auto" w:fill="auto"/>
            <w:noWrap/>
            <w:vAlign w:val="center"/>
            <w:hideMark/>
          </w:tcPr>
          <w:p w14:paraId="5CBFCD8B" w14:textId="77777777" w:rsidR="006A6A5F" w:rsidRPr="001231C9" w:rsidRDefault="006A6A5F" w:rsidP="000E3F0E">
            <w:pPr>
              <w:jc w:val="center"/>
              <w:rPr>
                <w:color w:val="000000"/>
                <w:szCs w:val="22"/>
              </w:rPr>
            </w:pPr>
            <w:r w:rsidRPr="001231C9">
              <w:rPr>
                <w:color w:val="000000"/>
                <w:szCs w:val="22"/>
              </w:rPr>
              <w:t>77979</w:t>
            </w:r>
          </w:p>
        </w:tc>
        <w:tc>
          <w:tcPr>
            <w:tcW w:w="8080" w:type="dxa"/>
            <w:shd w:val="clear" w:color="auto" w:fill="auto"/>
            <w:vAlign w:val="bottom"/>
            <w:hideMark/>
          </w:tcPr>
          <w:p w14:paraId="453D35B9" w14:textId="77777777" w:rsidR="006A6A5F" w:rsidRPr="001231C9" w:rsidRDefault="006A6A5F" w:rsidP="000E3F0E">
            <w:pPr>
              <w:rPr>
                <w:color w:val="000000"/>
                <w:szCs w:val="22"/>
              </w:rPr>
            </w:pPr>
            <w:r w:rsidRPr="001231C9">
              <w:rPr>
                <w:color w:val="000000"/>
                <w:szCs w:val="22"/>
              </w:rPr>
              <w:t>FDA (2013). FDA Drug Safety Communication: FDA approves label changes for antimalarial drug mefloquine hydrochloride due to risk of serious psychiatric and nerve side effects. .  Retrieved 15 April 2016, from http://www.fda.gov/drugs/drugsafety/icm362227.htm</w:t>
            </w:r>
          </w:p>
        </w:tc>
      </w:tr>
      <w:tr w:rsidR="006A6A5F" w:rsidRPr="001231C9" w14:paraId="60768CC1" w14:textId="77777777" w:rsidTr="000E3F0E">
        <w:trPr>
          <w:cantSplit/>
        </w:trPr>
        <w:tc>
          <w:tcPr>
            <w:tcW w:w="1413" w:type="dxa"/>
            <w:shd w:val="clear" w:color="auto" w:fill="auto"/>
            <w:noWrap/>
            <w:vAlign w:val="center"/>
            <w:hideMark/>
          </w:tcPr>
          <w:p w14:paraId="14DC5868" w14:textId="77777777" w:rsidR="006A6A5F" w:rsidRPr="001231C9" w:rsidRDefault="006A6A5F" w:rsidP="000E3F0E">
            <w:pPr>
              <w:jc w:val="center"/>
              <w:rPr>
                <w:color w:val="000000"/>
                <w:szCs w:val="22"/>
              </w:rPr>
            </w:pPr>
            <w:r w:rsidRPr="001231C9">
              <w:rPr>
                <w:color w:val="000000"/>
                <w:szCs w:val="22"/>
              </w:rPr>
              <w:t>81191</w:t>
            </w:r>
          </w:p>
        </w:tc>
        <w:tc>
          <w:tcPr>
            <w:tcW w:w="8080" w:type="dxa"/>
            <w:shd w:val="clear" w:color="auto" w:fill="auto"/>
            <w:vAlign w:val="bottom"/>
            <w:hideMark/>
          </w:tcPr>
          <w:p w14:paraId="64385736" w14:textId="77777777" w:rsidR="006A6A5F" w:rsidRPr="001231C9" w:rsidRDefault="006A6A5F" w:rsidP="000E3F0E">
            <w:pPr>
              <w:rPr>
                <w:color w:val="000000"/>
                <w:szCs w:val="22"/>
              </w:rPr>
            </w:pPr>
            <w:proofErr w:type="spellStart"/>
            <w:r w:rsidRPr="001231C9">
              <w:rPr>
                <w:color w:val="000000"/>
                <w:szCs w:val="22"/>
              </w:rPr>
              <w:t>Fujii</w:t>
            </w:r>
            <w:proofErr w:type="spellEnd"/>
            <w:r w:rsidRPr="001231C9">
              <w:rPr>
                <w:color w:val="000000"/>
                <w:szCs w:val="22"/>
              </w:rPr>
              <w:t xml:space="preserve"> T, </w:t>
            </w:r>
            <w:proofErr w:type="spellStart"/>
            <w:r w:rsidRPr="001231C9">
              <w:rPr>
                <w:color w:val="000000"/>
                <w:szCs w:val="22"/>
              </w:rPr>
              <w:t>Kaku</w:t>
            </w:r>
            <w:proofErr w:type="spellEnd"/>
            <w:r w:rsidRPr="001231C9">
              <w:rPr>
                <w:color w:val="000000"/>
                <w:szCs w:val="22"/>
              </w:rPr>
              <w:t xml:space="preserve"> K, </w:t>
            </w:r>
            <w:proofErr w:type="spellStart"/>
            <w:r w:rsidRPr="001231C9">
              <w:rPr>
                <w:color w:val="000000"/>
                <w:szCs w:val="22"/>
              </w:rPr>
              <w:t>Jelinek</w:t>
            </w:r>
            <w:proofErr w:type="spellEnd"/>
            <w:r w:rsidRPr="001231C9">
              <w:rPr>
                <w:color w:val="000000"/>
                <w:szCs w:val="22"/>
              </w:rPr>
              <w:t xml:space="preserve"> T, et al (2007). Malaria and mefloquine prophylaxis use among Japan ground </w:t>
            </w:r>
            <w:proofErr w:type="spellStart"/>
            <w:r w:rsidRPr="001231C9">
              <w:rPr>
                <w:color w:val="000000"/>
                <w:szCs w:val="22"/>
              </w:rPr>
              <w:t>self-defense</w:t>
            </w:r>
            <w:proofErr w:type="spellEnd"/>
            <w:r w:rsidRPr="001231C9">
              <w:rPr>
                <w:color w:val="000000"/>
                <w:szCs w:val="22"/>
              </w:rPr>
              <w:t xml:space="preserve"> force personnel deployed in East Timor. Journal of Travel Medicine, 14(4): 226-32.</w:t>
            </w:r>
          </w:p>
        </w:tc>
      </w:tr>
      <w:tr w:rsidR="006A6A5F" w:rsidRPr="001231C9" w14:paraId="23D9A2B3" w14:textId="77777777" w:rsidTr="000E3F0E">
        <w:trPr>
          <w:cantSplit/>
        </w:trPr>
        <w:tc>
          <w:tcPr>
            <w:tcW w:w="1413" w:type="dxa"/>
            <w:shd w:val="clear" w:color="auto" w:fill="auto"/>
            <w:noWrap/>
            <w:vAlign w:val="center"/>
            <w:hideMark/>
          </w:tcPr>
          <w:p w14:paraId="3F02B5A9" w14:textId="77777777" w:rsidR="006A6A5F" w:rsidRPr="001231C9" w:rsidRDefault="006A6A5F" w:rsidP="000E3F0E">
            <w:pPr>
              <w:jc w:val="center"/>
              <w:rPr>
                <w:color w:val="000000"/>
                <w:szCs w:val="22"/>
              </w:rPr>
            </w:pPr>
            <w:r w:rsidRPr="001231C9">
              <w:rPr>
                <w:color w:val="000000"/>
                <w:szCs w:val="22"/>
              </w:rPr>
              <w:t>77913</w:t>
            </w:r>
          </w:p>
        </w:tc>
        <w:tc>
          <w:tcPr>
            <w:tcW w:w="8080" w:type="dxa"/>
            <w:shd w:val="clear" w:color="auto" w:fill="auto"/>
            <w:vAlign w:val="bottom"/>
            <w:hideMark/>
          </w:tcPr>
          <w:p w14:paraId="65FFDD4C" w14:textId="77777777" w:rsidR="006A6A5F" w:rsidRPr="001231C9" w:rsidRDefault="006A6A5F" w:rsidP="000E3F0E">
            <w:pPr>
              <w:rPr>
                <w:color w:val="000000"/>
                <w:szCs w:val="22"/>
              </w:rPr>
            </w:pPr>
            <w:proofErr w:type="spellStart"/>
            <w:r w:rsidRPr="001231C9">
              <w:rPr>
                <w:color w:val="000000"/>
                <w:szCs w:val="22"/>
              </w:rPr>
              <w:t>Gogtay</w:t>
            </w:r>
            <w:proofErr w:type="spellEnd"/>
            <w:r w:rsidRPr="001231C9">
              <w:rPr>
                <w:color w:val="000000"/>
                <w:szCs w:val="22"/>
              </w:rPr>
              <w:t xml:space="preserve"> NJ, </w:t>
            </w:r>
            <w:proofErr w:type="spellStart"/>
            <w:r w:rsidRPr="001231C9">
              <w:rPr>
                <w:color w:val="000000"/>
                <w:szCs w:val="22"/>
              </w:rPr>
              <w:t>Ferner</w:t>
            </w:r>
            <w:proofErr w:type="spellEnd"/>
            <w:r w:rsidRPr="001231C9">
              <w:rPr>
                <w:color w:val="000000"/>
                <w:szCs w:val="22"/>
              </w:rPr>
              <w:t xml:space="preserve"> RE (2015). Mefloquine for malarial prophylaxis in military personnel. BMJ, 351: h5797.</w:t>
            </w:r>
          </w:p>
        </w:tc>
      </w:tr>
      <w:tr w:rsidR="006A6A5F" w:rsidRPr="001231C9" w14:paraId="0AA1D071" w14:textId="77777777" w:rsidTr="000E3F0E">
        <w:trPr>
          <w:cantSplit/>
        </w:trPr>
        <w:tc>
          <w:tcPr>
            <w:tcW w:w="1413" w:type="dxa"/>
            <w:shd w:val="clear" w:color="auto" w:fill="auto"/>
            <w:noWrap/>
            <w:vAlign w:val="center"/>
            <w:hideMark/>
          </w:tcPr>
          <w:p w14:paraId="6F436AB1" w14:textId="77777777" w:rsidR="006A6A5F" w:rsidRPr="001231C9" w:rsidRDefault="006A6A5F" w:rsidP="000E3F0E">
            <w:pPr>
              <w:jc w:val="center"/>
              <w:rPr>
                <w:color w:val="000000"/>
                <w:szCs w:val="22"/>
              </w:rPr>
            </w:pPr>
            <w:r w:rsidRPr="001231C9">
              <w:rPr>
                <w:color w:val="000000"/>
                <w:szCs w:val="22"/>
              </w:rPr>
              <w:t>80939</w:t>
            </w:r>
          </w:p>
        </w:tc>
        <w:tc>
          <w:tcPr>
            <w:tcW w:w="8080" w:type="dxa"/>
            <w:shd w:val="clear" w:color="auto" w:fill="auto"/>
            <w:vAlign w:val="bottom"/>
            <w:hideMark/>
          </w:tcPr>
          <w:p w14:paraId="0860F4F3" w14:textId="77777777" w:rsidR="006A6A5F" w:rsidRPr="001231C9" w:rsidRDefault="006A6A5F" w:rsidP="000E3F0E">
            <w:pPr>
              <w:rPr>
                <w:color w:val="000000"/>
                <w:szCs w:val="22"/>
              </w:rPr>
            </w:pPr>
            <w:r w:rsidRPr="001231C9">
              <w:rPr>
                <w:color w:val="000000"/>
                <w:szCs w:val="22"/>
              </w:rPr>
              <w:t xml:space="preserve">Gonzalez R, </w:t>
            </w:r>
            <w:proofErr w:type="spellStart"/>
            <w:r w:rsidRPr="001231C9">
              <w:rPr>
                <w:color w:val="000000"/>
                <w:szCs w:val="22"/>
              </w:rPr>
              <w:t>Hellgren</w:t>
            </w:r>
            <w:proofErr w:type="spellEnd"/>
            <w:r w:rsidRPr="001231C9">
              <w:rPr>
                <w:color w:val="000000"/>
                <w:szCs w:val="22"/>
              </w:rPr>
              <w:t xml:space="preserve"> U, Greenwood B, et al (2014). Mefloquine safety and tolerability in pregnancy: a systematic literature review. Malar J, 13: 75.</w:t>
            </w:r>
          </w:p>
        </w:tc>
      </w:tr>
      <w:tr w:rsidR="006A6A5F" w:rsidRPr="001231C9" w14:paraId="2F353430" w14:textId="77777777" w:rsidTr="000E3F0E">
        <w:trPr>
          <w:cantSplit/>
        </w:trPr>
        <w:tc>
          <w:tcPr>
            <w:tcW w:w="1413" w:type="dxa"/>
            <w:shd w:val="clear" w:color="auto" w:fill="auto"/>
            <w:noWrap/>
            <w:vAlign w:val="center"/>
            <w:hideMark/>
          </w:tcPr>
          <w:p w14:paraId="7CC6416F" w14:textId="77777777" w:rsidR="006A6A5F" w:rsidRPr="001231C9" w:rsidRDefault="006A6A5F" w:rsidP="000E3F0E">
            <w:pPr>
              <w:jc w:val="center"/>
              <w:rPr>
                <w:color w:val="000000"/>
                <w:szCs w:val="22"/>
              </w:rPr>
            </w:pPr>
            <w:r w:rsidRPr="001231C9">
              <w:rPr>
                <w:color w:val="000000"/>
                <w:szCs w:val="22"/>
              </w:rPr>
              <w:t>80938</w:t>
            </w:r>
          </w:p>
        </w:tc>
        <w:tc>
          <w:tcPr>
            <w:tcW w:w="8080" w:type="dxa"/>
            <w:shd w:val="clear" w:color="auto" w:fill="auto"/>
            <w:vAlign w:val="bottom"/>
            <w:hideMark/>
          </w:tcPr>
          <w:p w14:paraId="5CC93CFA" w14:textId="77777777" w:rsidR="006A6A5F" w:rsidRPr="001231C9" w:rsidRDefault="006A6A5F" w:rsidP="000E3F0E">
            <w:pPr>
              <w:rPr>
                <w:color w:val="000000"/>
                <w:szCs w:val="22"/>
              </w:rPr>
            </w:pPr>
            <w:r w:rsidRPr="001231C9">
              <w:rPr>
                <w:color w:val="000000"/>
                <w:szCs w:val="22"/>
              </w:rPr>
              <w:t xml:space="preserve">Gonzalez R, </w:t>
            </w:r>
            <w:proofErr w:type="spellStart"/>
            <w:r w:rsidRPr="001231C9">
              <w:rPr>
                <w:color w:val="000000"/>
                <w:szCs w:val="22"/>
              </w:rPr>
              <w:t>Mombo-Ngoma</w:t>
            </w:r>
            <w:proofErr w:type="spellEnd"/>
            <w:r w:rsidRPr="001231C9">
              <w:rPr>
                <w:color w:val="000000"/>
                <w:szCs w:val="22"/>
              </w:rPr>
              <w:t xml:space="preserve"> G, </w:t>
            </w:r>
            <w:proofErr w:type="spellStart"/>
            <w:r w:rsidRPr="001231C9">
              <w:rPr>
                <w:color w:val="000000"/>
                <w:szCs w:val="22"/>
              </w:rPr>
              <w:t>Ouegraogo</w:t>
            </w:r>
            <w:proofErr w:type="spellEnd"/>
            <w:r w:rsidRPr="001231C9">
              <w:rPr>
                <w:color w:val="000000"/>
                <w:szCs w:val="22"/>
              </w:rPr>
              <w:t xml:space="preserve"> S, et al (2014). Intermittent preventive treatment of malaria in pregnancy with mefloquine in HIV-negative women: a multicentre randomized controlled trial. </w:t>
            </w:r>
            <w:proofErr w:type="spellStart"/>
            <w:r w:rsidRPr="001231C9">
              <w:rPr>
                <w:color w:val="000000"/>
                <w:szCs w:val="22"/>
              </w:rPr>
              <w:t>PLoS</w:t>
            </w:r>
            <w:proofErr w:type="spellEnd"/>
            <w:r w:rsidRPr="001231C9">
              <w:rPr>
                <w:color w:val="000000"/>
                <w:szCs w:val="22"/>
              </w:rPr>
              <w:t xml:space="preserve"> Med, 11(9): e1001733.</w:t>
            </w:r>
          </w:p>
        </w:tc>
      </w:tr>
      <w:tr w:rsidR="006A6A5F" w:rsidRPr="001231C9" w14:paraId="57803292" w14:textId="77777777" w:rsidTr="000E3F0E">
        <w:trPr>
          <w:cantSplit/>
        </w:trPr>
        <w:tc>
          <w:tcPr>
            <w:tcW w:w="1413" w:type="dxa"/>
            <w:shd w:val="clear" w:color="auto" w:fill="auto"/>
            <w:noWrap/>
            <w:vAlign w:val="center"/>
            <w:hideMark/>
          </w:tcPr>
          <w:p w14:paraId="271FE876" w14:textId="77777777" w:rsidR="006A6A5F" w:rsidRPr="001231C9" w:rsidRDefault="006A6A5F" w:rsidP="000E3F0E">
            <w:pPr>
              <w:jc w:val="center"/>
              <w:rPr>
                <w:color w:val="000000"/>
                <w:szCs w:val="22"/>
              </w:rPr>
            </w:pPr>
            <w:r w:rsidRPr="001231C9">
              <w:rPr>
                <w:color w:val="000000"/>
                <w:szCs w:val="22"/>
              </w:rPr>
              <w:t>78013</w:t>
            </w:r>
          </w:p>
        </w:tc>
        <w:tc>
          <w:tcPr>
            <w:tcW w:w="8080" w:type="dxa"/>
            <w:shd w:val="clear" w:color="auto" w:fill="auto"/>
            <w:vAlign w:val="bottom"/>
            <w:hideMark/>
          </w:tcPr>
          <w:p w14:paraId="0E25B43D" w14:textId="77777777" w:rsidR="006A6A5F" w:rsidRPr="001231C9" w:rsidRDefault="006A6A5F" w:rsidP="000E3F0E">
            <w:pPr>
              <w:rPr>
                <w:color w:val="000000"/>
                <w:szCs w:val="22"/>
              </w:rPr>
            </w:pPr>
            <w:r w:rsidRPr="001231C9">
              <w:rPr>
                <w:color w:val="000000"/>
                <w:szCs w:val="22"/>
              </w:rPr>
              <w:t xml:space="preserve">Green JA, Patel AK, Patel BR, et al (2014). Tafenoquine at therapeutic concentrations does not prolong </w:t>
            </w:r>
            <w:proofErr w:type="spellStart"/>
            <w:r w:rsidRPr="001231C9">
              <w:rPr>
                <w:color w:val="000000"/>
                <w:szCs w:val="22"/>
              </w:rPr>
              <w:t>fridericia</w:t>
            </w:r>
            <w:proofErr w:type="spellEnd"/>
            <w:r w:rsidRPr="001231C9">
              <w:rPr>
                <w:color w:val="000000"/>
                <w:szCs w:val="22"/>
              </w:rPr>
              <w:t xml:space="preserve">-corrected QT interval in healthy subjects. J </w:t>
            </w:r>
            <w:proofErr w:type="spellStart"/>
            <w:r w:rsidRPr="001231C9">
              <w:rPr>
                <w:color w:val="000000"/>
                <w:szCs w:val="22"/>
              </w:rPr>
              <w:t>Clin</w:t>
            </w:r>
            <w:proofErr w:type="spellEnd"/>
            <w:r w:rsidRPr="001231C9">
              <w:rPr>
                <w:color w:val="000000"/>
                <w:szCs w:val="22"/>
              </w:rPr>
              <w:t xml:space="preserve"> </w:t>
            </w:r>
            <w:proofErr w:type="spellStart"/>
            <w:r w:rsidRPr="001231C9">
              <w:rPr>
                <w:color w:val="000000"/>
                <w:szCs w:val="22"/>
              </w:rPr>
              <w:t>Pharmacol</w:t>
            </w:r>
            <w:proofErr w:type="spellEnd"/>
            <w:r w:rsidRPr="001231C9">
              <w:rPr>
                <w:color w:val="000000"/>
                <w:szCs w:val="22"/>
              </w:rPr>
              <w:t>, 54(9): 995-1005.</w:t>
            </w:r>
          </w:p>
        </w:tc>
      </w:tr>
      <w:tr w:rsidR="006A6A5F" w:rsidRPr="001231C9" w14:paraId="768CD53F" w14:textId="77777777" w:rsidTr="000E3F0E">
        <w:trPr>
          <w:cantSplit/>
        </w:trPr>
        <w:tc>
          <w:tcPr>
            <w:tcW w:w="1413" w:type="dxa"/>
            <w:shd w:val="clear" w:color="auto" w:fill="auto"/>
            <w:noWrap/>
            <w:vAlign w:val="center"/>
            <w:hideMark/>
          </w:tcPr>
          <w:p w14:paraId="6C20DD88" w14:textId="77777777" w:rsidR="006A6A5F" w:rsidRPr="001231C9" w:rsidRDefault="006A6A5F" w:rsidP="000E3F0E">
            <w:pPr>
              <w:jc w:val="center"/>
              <w:rPr>
                <w:color w:val="000000"/>
                <w:szCs w:val="22"/>
              </w:rPr>
            </w:pPr>
            <w:r w:rsidRPr="001231C9">
              <w:rPr>
                <w:color w:val="000000"/>
                <w:szCs w:val="22"/>
              </w:rPr>
              <w:t>78021</w:t>
            </w:r>
          </w:p>
        </w:tc>
        <w:tc>
          <w:tcPr>
            <w:tcW w:w="8080" w:type="dxa"/>
            <w:shd w:val="clear" w:color="auto" w:fill="auto"/>
            <w:vAlign w:val="bottom"/>
            <w:hideMark/>
          </w:tcPr>
          <w:p w14:paraId="43DFAA16" w14:textId="77777777" w:rsidR="006A6A5F" w:rsidRPr="001231C9" w:rsidRDefault="006A6A5F" w:rsidP="000E3F0E">
            <w:pPr>
              <w:rPr>
                <w:color w:val="000000"/>
                <w:szCs w:val="22"/>
              </w:rPr>
            </w:pPr>
            <w:r w:rsidRPr="001231C9">
              <w:rPr>
                <w:color w:val="000000"/>
                <w:szCs w:val="22"/>
              </w:rPr>
              <w:t xml:space="preserve">Hale BR, </w:t>
            </w:r>
            <w:proofErr w:type="spellStart"/>
            <w:r w:rsidRPr="001231C9">
              <w:rPr>
                <w:color w:val="000000"/>
                <w:szCs w:val="22"/>
              </w:rPr>
              <w:t>Owusu-Agyei</w:t>
            </w:r>
            <w:proofErr w:type="spellEnd"/>
            <w:r w:rsidRPr="001231C9">
              <w:rPr>
                <w:color w:val="000000"/>
                <w:szCs w:val="22"/>
              </w:rPr>
              <w:t xml:space="preserve"> S, </w:t>
            </w:r>
            <w:proofErr w:type="spellStart"/>
            <w:r w:rsidRPr="001231C9">
              <w:rPr>
                <w:color w:val="000000"/>
                <w:szCs w:val="22"/>
              </w:rPr>
              <w:t>Fryauff</w:t>
            </w:r>
            <w:proofErr w:type="spellEnd"/>
            <w:r w:rsidRPr="001231C9">
              <w:rPr>
                <w:color w:val="000000"/>
                <w:szCs w:val="22"/>
              </w:rPr>
              <w:t xml:space="preserve"> DJ, et al (2003). A randomized, double-blind, placebo-controlled, dose-ranging trial of tafenoquine for weekly prophylaxis against plasmodium falciparum. </w:t>
            </w:r>
            <w:proofErr w:type="spellStart"/>
            <w:r w:rsidRPr="001231C9">
              <w:rPr>
                <w:color w:val="000000"/>
                <w:szCs w:val="22"/>
              </w:rPr>
              <w:t>Clin</w:t>
            </w:r>
            <w:proofErr w:type="spellEnd"/>
            <w:r w:rsidRPr="001231C9">
              <w:rPr>
                <w:color w:val="000000"/>
                <w:szCs w:val="22"/>
              </w:rPr>
              <w:t xml:space="preserve"> Infect Dis, 36(5): 541-9.</w:t>
            </w:r>
          </w:p>
        </w:tc>
      </w:tr>
      <w:tr w:rsidR="006A6A5F" w:rsidRPr="001231C9" w14:paraId="1AB33838" w14:textId="77777777" w:rsidTr="000E3F0E">
        <w:trPr>
          <w:cantSplit/>
        </w:trPr>
        <w:tc>
          <w:tcPr>
            <w:tcW w:w="1413" w:type="dxa"/>
            <w:shd w:val="clear" w:color="auto" w:fill="auto"/>
            <w:noWrap/>
            <w:vAlign w:val="center"/>
            <w:hideMark/>
          </w:tcPr>
          <w:p w14:paraId="13DDC820" w14:textId="77777777" w:rsidR="006A6A5F" w:rsidRPr="001231C9" w:rsidRDefault="006A6A5F" w:rsidP="000E3F0E">
            <w:pPr>
              <w:jc w:val="center"/>
              <w:rPr>
                <w:color w:val="000000"/>
                <w:szCs w:val="22"/>
              </w:rPr>
            </w:pPr>
            <w:r w:rsidRPr="001231C9">
              <w:rPr>
                <w:color w:val="000000"/>
                <w:szCs w:val="22"/>
              </w:rPr>
              <w:t>81432</w:t>
            </w:r>
          </w:p>
        </w:tc>
        <w:tc>
          <w:tcPr>
            <w:tcW w:w="8080" w:type="dxa"/>
            <w:shd w:val="clear" w:color="auto" w:fill="auto"/>
            <w:vAlign w:val="bottom"/>
            <w:hideMark/>
          </w:tcPr>
          <w:p w14:paraId="3E533F61" w14:textId="77777777" w:rsidR="006A6A5F" w:rsidRPr="001231C9" w:rsidRDefault="006A6A5F" w:rsidP="000E3F0E">
            <w:pPr>
              <w:rPr>
                <w:color w:val="000000"/>
                <w:szCs w:val="22"/>
              </w:rPr>
            </w:pPr>
            <w:r w:rsidRPr="001231C9">
              <w:rPr>
                <w:color w:val="000000"/>
                <w:szCs w:val="22"/>
              </w:rPr>
              <w:t xml:space="preserve">Hill DR, Baird JK, Parise ME, et al (2006). Primaquine: report from CDC expert meeting on malaria chemoprophylaxis I. Am J Trop Med </w:t>
            </w:r>
            <w:proofErr w:type="spellStart"/>
            <w:r w:rsidRPr="001231C9">
              <w:rPr>
                <w:color w:val="000000"/>
                <w:szCs w:val="22"/>
              </w:rPr>
              <w:t>Hyg</w:t>
            </w:r>
            <w:proofErr w:type="spellEnd"/>
            <w:r w:rsidRPr="001231C9">
              <w:rPr>
                <w:color w:val="000000"/>
                <w:szCs w:val="22"/>
              </w:rPr>
              <w:t>, 75(3): 402-15.</w:t>
            </w:r>
          </w:p>
        </w:tc>
      </w:tr>
      <w:tr w:rsidR="006A6A5F" w:rsidRPr="001231C9" w14:paraId="3AC3447B" w14:textId="77777777" w:rsidTr="000E3F0E">
        <w:trPr>
          <w:cantSplit/>
        </w:trPr>
        <w:tc>
          <w:tcPr>
            <w:tcW w:w="1413" w:type="dxa"/>
            <w:shd w:val="clear" w:color="auto" w:fill="auto"/>
            <w:noWrap/>
            <w:vAlign w:val="center"/>
            <w:hideMark/>
          </w:tcPr>
          <w:p w14:paraId="688076DC" w14:textId="77777777" w:rsidR="006A6A5F" w:rsidRPr="001231C9" w:rsidRDefault="006A6A5F" w:rsidP="000E3F0E">
            <w:pPr>
              <w:jc w:val="center"/>
              <w:rPr>
                <w:color w:val="000000"/>
                <w:szCs w:val="22"/>
              </w:rPr>
            </w:pPr>
            <w:r w:rsidRPr="001231C9">
              <w:rPr>
                <w:color w:val="000000"/>
                <w:szCs w:val="22"/>
              </w:rPr>
              <w:lastRenderedPageBreak/>
              <w:t>80813</w:t>
            </w:r>
          </w:p>
        </w:tc>
        <w:tc>
          <w:tcPr>
            <w:tcW w:w="8080" w:type="dxa"/>
            <w:shd w:val="clear" w:color="auto" w:fill="auto"/>
            <w:vAlign w:val="bottom"/>
            <w:hideMark/>
          </w:tcPr>
          <w:p w14:paraId="235CD0CE" w14:textId="77777777" w:rsidR="006A6A5F" w:rsidRPr="001231C9" w:rsidRDefault="006A6A5F" w:rsidP="000E3F0E">
            <w:pPr>
              <w:rPr>
                <w:color w:val="000000"/>
                <w:szCs w:val="22"/>
              </w:rPr>
            </w:pPr>
            <w:r w:rsidRPr="001231C9">
              <w:rPr>
                <w:color w:val="000000"/>
                <w:szCs w:val="22"/>
              </w:rPr>
              <w:t xml:space="preserve">Hood JE, Jenkins JW, </w:t>
            </w:r>
            <w:proofErr w:type="spellStart"/>
            <w:r w:rsidRPr="001231C9">
              <w:rPr>
                <w:color w:val="000000"/>
                <w:szCs w:val="22"/>
              </w:rPr>
              <w:t>Milatovic</w:t>
            </w:r>
            <w:proofErr w:type="spellEnd"/>
            <w:r w:rsidRPr="001231C9">
              <w:rPr>
                <w:color w:val="000000"/>
                <w:szCs w:val="22"/>
              </w:rPr>
              <w:t xml:space="preserve"> D, et al (2010). Mefloquine induces oxidative stress and neurodegeneration in primary rat cortical neurons. </w:t>
            </w:r>
            <w:proofErr w:type="spellStart"/>
            <w:r w:rsidRPr="001231C9">
              <w:rPr>
                <w:color w:val="000000"/>
                <w:szCs w:val="22"/>
              </w:rPr>
              <w:t>Neurotoxicology</w:t>
            </w:r>
            <w:proofErr w:type="spellEnd"/>
            <w:r w:rsidRPr="001231C9">
              <w:rPr>
                <w:color w:val="000000"/>
                <w:szCs w:val="22"/>
              </w:rPr>
              <w:t>, 31(5): 518-23.</w:t>
            </w:r>
          </w:p>
        </w:tc>
      </w:tr>
      <w:tr w:rsidR="006A6A5F" w:rsidRPr="001231C9" w14:paraId="56AA43B3" w14:textId="77777777" w:rsidTr="000E3F0E">
        <w:trPr>
          <w:cantSplit/>
        </w:trPr>
        <w:tc>
          <w:tcPr>
            <w:tcW w:w="1413" w:type="dxa"/>
            <w:shd w:val="clear" w:color="auto" w:fill="auto"/>
            <w:noWrap/>
            <w:vAlign w:val="center"/>
            <w:hideMark/>
          </w:tcPr>
          <w:p w14:paraId="7026EDC2" w14:textId="77777777" w:rsidR="006A6A5F" w:rsidRPr="001231C9" w:rsidRDefault="006A6A5F" w:rsidP="000E3F0E">
            <w:pPr>
              <w:jc w:val="center"/>
              <w:rPr>
                <w:color w:val="000000"/>
                <w:szCs w:val="22"/>
              </w:rPr>
            </w:pPr>
            <w:r w:rsidRPr="001231C9">
              <w:rPr>
                <w:color w:val="000000"/>
                <w:szCs w:val="22"/>
              </w:rPr>
              <w:t>69402</w:t>
            </w:r>
          </w:p>
        </w:tc>
        <w:tc>
          <w:tcPr>
            <w:tcW w:w="8080" w:type="dxa"/>
            <w:shd w:val="clear" w:color="auto" w:fill="auto"/>
            <w:vAlign w:val="bottom"/>
            <w:hideMark/>
          </w:tcPr>
          <w:p w14:paraId="207C2BD5" w14:textId="77777777" w:rsidR="006A6A5F" w:rsidRPr="001231C9" w:rsidRDefault="006A6A5F" w:rsidP="000E3F0E">
            <w:pPr>
              <w:rPr>
                <w:color w:val="000000"/>
                <w:szCs w:val="22"/>
              </w:rPr>
            </w:pPr>
            <w:r w:rsidRPr="001231C9">
              <w:rPr>
                <w:color w:val="000000"/>
                <w:szCs w:val="22"/>
              </w:rPr>
              <w:t>Institute of Medicine (IOM) (2013). Gulf War and Health: Volume 9. Treatment for chronic multisymptom illness. The National Academies Press. Washington D.C.</w:t>
            </w:r>
          </w:p>
        </w:tc>
      </w:tr>
      <w:tr w:rsidR="006A6A5F" w:rsidRPr="001231C9" w14:paraId="4894F8B1" w14:textId="77777777" w:rsidTr="000E3F0E">
        <w:trPr>
          <w:cantSplit/>
        </w:trPr>
        <w:tc>
          <w:tcPr>
            <w:tcW w:w="1413" w:type="dxa"/>
            <w:shd w:val="clear" w:color="auto" w:fill="auto"/>
            <w:noWrap/>
            <w:vAlign w:val="center"/>
            <w:hideMark/>
          </w:tcPr>
          <w:p w14:paraId="5CF40224" w14:textId="77777777" w:rsidR="006A6A5F" w:rsidRPr="001231C9" w:rsidRDefault="006A6A5F" w:rsidP="000E3F0E">
            <w:pPr>
              <w:jc w:val="center"/>
              <w:rPr>
                <w:color w:val="000000"/>
                <w:szCs w:val="22"/>
              </w:rPr>
            </w:pPr>
            <w:r w:rsidRPr="001231C9">
              <w:rPr>
                <w:color w:val="000000"/>
                <w:szCs w:val="22"/>
              </w:rPr>
              <w:t>81265</w:t>
            </w:r>
          </w:p>
        </w:tc>
        <w:tc>
          <w:tcPr>
            <w:tcW w:w="8080" w:type="dxa"/>
            <w:shd w:val="clear" w:color="auto" w:fill="auto"/>
            <w:vAlign w:val="bottom"/>
            <w:hideMark/>
          </w:tcPr>
          <w:p w14:paraId="1803104C" w14:textId="77777777" w:rsidR="006A6A5F" w:rsidRPr="001231C9" w:rsidRDefault="006A6A5F" w:rsidP="000E3F0E">
            <w:pPr>
              <w:rPr>
                <w:color w:val="000000"/>
                <w:szCs w:val="22"/>
              </w:rPr>
            </w:pPr>
            <w:proofErr w:type="spellStart"/>
            <w:r w:rsidRPr="001231C9">
              <w:rPr>
                <w:color w:val="000000"/>
                <w:szCs w:val="22"/>
              </w:rPr>
              <w:t>Jacquerioz</w:t>
            </w:r>
            <w:proofErr w:type="spellEnd"/>
            <w:r w:rsidRPr="001231C9">
              <w:rPr>
                <w:color w:val="000000"/>
                <w:szCs w:val="22"/>
              </w:rPr>
              <w:t xml:space="preserve"> FA, Croft AM (2009). Drugs for preventing malaria in travellers. Cochrane Database of Systematic Reviews, 7(4): CD006491.</w:t>
            </w:r>
          </w:p>
        </w:tc>
      </w:tr>
      <w:tr w:rsidR="006A6A5F" w:rsidRPr="001231C9" w14:paraId="1BCE8EAF" w14:textId="77777777" w:rsidTr="000E3F0E">
        <w:trPr>
          <w:cantSplit/>
        </w:trPr>
        <w:tc>
          <w:tcPr>
            <w:tcW w:w="1413" w:type="dxa"/>
            <w:shd w:val="clear" w:color="auto" w:fill="auto"/>
            <w:noWrap/>
            <w:vAlign w:val="center"/>
            <w:hideMark/>
          </w:tcPr>
          <w:p w14:paraId="16158A46" w14:textId="77777777" w:rsidR="006A6A5F" w:rsidRPr="001231C9" w:rsidRDefault="006A6A5F" w:rsidP="000E3F0E">
            <w:pPr>
              <w:jc w:val="center"/>
              <w:rPr>
                <w:color w:val="000000"/>
                <w:szCs w:val="22"/>
              </w:rPr>
            </w:pPr>
            <w:r w:rsidRPr="001231C9">
              <w:rPr>
                <w:color w:val="000000"/>
                <w:szCs w:val="22"/>
              </w:rPr>
              <w:t>77981</w:t>
            </w:r>
          </w:p>
        </w:tc>
        <w:tc>
          <w:tcPr>
            <w:tcW w:w="8080" w:type="dxa"/>
            <w:shd w:val="clear" w:color="auto" w:fill="auto"/>
            <w:vAlign w:val="bottom"/>
            <w:hideMark/>
          </w:tcPr>
          <w:p w14:paraId="53666F74" w14:textId="77777777" w:rsidR="006A6A5F" w:rsidRPr="001231C9" w:rsidRDefault="006A6A5F" w:rsidP="000E3F0E">
            <w:pPr>
              <w:rPr>
                <w:color w:val="000000"/>
                <w:szCs w:val="22"/>
              </w:rPr>
            </w:pPr>
            <w:proofErr w:type="spellStart"/>
            <w:r w:rsidRPr="001231C9">
              <w:rPr>
                <w:color w:val="000000"/>
                <w:szCs w:val="22"/>
              </w:rPr>
              <w:t>Jacquerioz</w:t>
            </w:r>
            <w:proofErr w:type="spellEnd"/>
            <w:r w:rsidRPr="001231C9">
              <w:rPr>
                <w:color w:val="000000"/>
                <w:szCs w:val="22"/>
              </w:rPr>
              <w:t xml:space="preserve"> FA, Croft AM (2015). Drugs for preventing malaria in travellers (Review). Cochrane Database of Systematic Reviews, (10): CD006491.</w:t>
            </w:r>
          </w:p>
        </w:tc>
      </w:tr>
      <w:tr w:rsidR="006A6A5F" w:rsidRPr="001231C9" w14:paraId="5099DDB1" w14:textId="77777777" w:rsidTr="000E3F0E">
        <w:trPr>
          <w:cantSplit/>
        </w:trPr>
        <w:tc>
          <w:tcPr>
            <w:tcW w:w="1413" w:type="dxa"/>
            <w:shd w:val="clear" w:color="auto" w:fill="auto"/>
            <w:noWrap/>
            <w:vAlign w:val="center"/>
            <w:hideMark/>
          </w:tcPr>
          <w:p w14:paraId="5E44855F" w14:textId="77777777" w:rsidR="006A6A5F" w:rsidRPr="001231C9" w:rsidRDefault="006A6A5F" w:rsidP="000E3F0E">
            <w:pPr>
              <w:jc w:val="center"/>
              <w:rPr>
                <w:color w:val="000000"/>
                <w:szCs w:val="22"/>
              </w:rPr>
            </w:pPr>
            <w:r w:rsidRPr="001231C9">
              <w:rPr>
                <w:color w:val="000000"/>
                <w:szCs w:val="22"/>
              </w:rPr>
              <w:t>80803</w:t>
            </w:r>
          </w:p>
        </w:tc>
        <w:tc>
          <w:tcPr>
            <w:tcW w:w="8080" w:type="dxa"/>
            <w:shd w:val="clear" w:color="auto" w:fill="auto"/>
            <w:vAlign w:val="bottom"/>
            <w:hideMark/>
          </w:tcPr>
          <w:p w14:paraId="05BD7764" w14:textId="77777777" w:rsidR="006A6A5F" w:rsidRPr="001231C9" w:rsidRDefault="006A6A5F" w:rsidP="000E3F0E">
            <w:pPr>
              <w:rPr>
                <w:color w:val="000000"/>
                <w:szCs w:val="22"/>
              </w:rPr>
            </w:pPr>
            <w:r w:rsidRPr="001231C9">
              <w:rPr>
                <w:color w:val="000000"/>
                <w:szCs w:val="22"/>
              </w:rPr>
              <w:t xml:space="preserve">Jain M, Nevin RL, Ahmed I (2016). Mefloquine-associated dizziness, diplopia, and central serous </w:t>
            </w:r>
            <w:proofErr w:type="spellStart"/>
            <w:r w:rsidRPr="001231C9">
              <w:rPr>
                <w:color w:val="000000"/>
                <w:szCs w:val="22"/>
              </w:rPr>
              <w:t>chorioretinopathy</w:t>
            </w:r>
            <w:proofErr w:type="spellEnd"/>
            <w:r w:rsidRPr="001231C9">
              <w:rPr>
                <w:color w:val="000000"/>
                <w:szCs w:val="22"/>
              </w:rPr>
              <w:t>: a case report. Journal of Medical Case Reports, 10(1): 305.</w:t>
            </w:r>
          </w:p>
        </w:tc>
      </w:tr>
      <w:tr w:rsidR="006A6A5F" w:rsidRPr="001231C9" w14:paraId="173EEE24" w14:textId="77777777" w:rsidTr="000E3F0E">
        <w:trPr>
          <w:cantSplit/>
        </w:trPr>
        <w:tc>
          <w:tcPr>
            <w:tcW w:w="1413" w:type="dxa"/>
            <w:shd w:val="clear" w:color="auto" w:fill="auto"/>
            <w:noWrap/>
            <w:vAlign w:val="center"/>
            <w:hideMark/>
          </w:tcPr>
          <w:p w14:paraId="39DAA924" w14:textId="77777777" w:rsidR="006A6A5F" w:rsidRPr="001231C9" w:rsidRDefault="006A6A5F" w:rsidP="000E3F0E">
            <w:pPr>
              <w:jc w:val="center"/>
              <w:rPr>
                <w:color w:val="000000"/>
                <w:szCs w:val="22"/>
              </w:rPr>
            </w:pPr>
            <w:r w:rsidRPr="001231C9">
              <w:rPr>
                <w:color w:val="000000"/>
                <w:szCs w:val="22"/>
              </w:rPr>
              <w:t>81502</w:t>
            </w:r>
          </w:p>
        </w:tc>
        <w:tc>
          <w:tcPr>
            <w:tcW w:w="8080" w:type="dxa"/>
            <w:shd w:val="clear" w:color="auto" w:fill="auto"/>
            <w:vAlign w:val="bottom"/>
            <w:hideMark/>
          </w:tcPr>
          <w:p w14:paraId="14979BC1" w14:textId="77777777" w:rsidR="006A6A5F" w:rsidRPr="001231C9" w:rsidRDefault="006A6A5F" w:rsidP="000E3F0E">
            <w:pPr>
              <w:rPr>
                <w:color w:val="000000"/>
                <w:szCs w:val="22"/>
              </w:rPr>
            </w:pPr>
            <w:r w:rsidRPr="001231C9">
              <w:rPr>
                <w:color w:val="000000"/>
                <w:szCs w:val="22"/>
              </w:rPr>
              <w:t xml:space="preserve">Jaspers CA, </w:t>
            </w:r>
            <w:proofErr w:type="spellStart"/>
            <w:r w:rsidRPr="001231C9">
              <w:rPr>
                <w:color w:val="000000"/>
                <w:szCs w:val="22"/>
              </w:rPr>
              <w:t>Hopperus</w:t>
            </w:r>
            <w:proofErr w:type="spellEnd"/>
            <w:r w:rsidRPr="001231C9">
              <w:rPr>
                <w:color w:val="000000"/>
                <w:szCs w:val="22"/>
              </w:rPr>
              <w:t xml:space="preserve"> </w:t>
            </w:r>
            <w:proofErr w:type="spellStart"/>
            <w:r w:rsidRPr="001231C9">
              <w:rPr>
                <w:color w:val="000000"/>
                <w:szCs w:val="22"/>
              </w:rPr>
              <w:t>Buma</w:t>
            </w:r>
            <w:proofErr w:type="spellEnd"/>
            <w:r w:rsidRPr="001231C9">
              <w:rPr>
                <w:color w:val="000000"/>
                <w:szCs w:val="22"/>
              </w:rPr>
              <w:t xml:space="preserve"> AP, van </w:t>
            </w:r>
            <w:proofErr w:type="spellStart"/>
            <w:r w:rsidRPr="001231C9">
              <w:rPr>
                <w:color w:val="000000"/>
                <w:szCs w:val="22"/>
              </w:rPr>
              <w:t>Thiel</w:t>
            </w:r>
            <w:proofErr w:type="spellEnd"/>
            <w:r w:rsidRPr="001231C9">
              <w:rPr>
                <w:color w:val="000000"/>
                <w:szCs w:val="22"/>
              </w:rPr>
              <w:t xml:space="preserve"> PP, et al (1996). Tolerance of mefloquine chemoprophylaxis in Dutch military personnel. Am J Trop Med </w:t>
            </w:r>
            <w:proofErr w:type="spellStart"/>
            <w:r w:rsidRPr="001231C9">
              <w:rPr>
                <w:color w:val="000000"/>
                <w:szCs w:val="22"/>
              </w:rPr>
              <w:t>Hyg</w:t>
            </w:r>
            <w:proofErr w:type="spellEnd"/>
            <w:r w:rsidRPr="001231C9">
              <w:rPr>
                <w:color w:val="000000"/>
                <w:szCs w:val="22"/>
              </w:rPr>
              <w:t>, 55: 230-4.</w:t>
            </w:r>
          </w:p>
        </w:tc>
      </w:tr>
      <w:tr w:rsidR="006A6A5F" w:rsidRPr="001231C9" w14:paraId="1B78FB56" w14:textId="77777777" w:rsidTr="000E3F0E">
        <w:trPr>
          <w:cantSplit/>
        </w:trPr>
        <w:tc>
          <w:tcPr>
            <w:tcW w:w="1413" w:type="dxa"/>
            <w:shd w:val="clear" w:color="auto" w:fill="auto"/>
            <w:noWrap/>
            <w:vAlign w:val="center"/>
            <w:hideMark/>
          </w:tcPr>
          <w:p w14:paraId="6442A94D" w14:textId="77777777" w:rsidR="006A6A5F" w:rsidRPr="001231C9" w:rsidRDefault="006A6A5F" w:rsidP="000E3F0E">
            <w:pPr>
              <w:jc w:val="center"/>
              <w:rPr>
                <w:color w:val="000000"/>
                <w:szCs w:val="22"/>
              </w:rPr>
            </w:pPr>
            <w:r w:rsidRPr="001231C9">
              <w:rPr>
                <w:color w:val="000000"/>
                <w:szCs w:val="22"/>
              </w:rPr>
              <w:t>78019</w:t>
            </w:r>
          </w:p>
        </w:tc>
        <w:tc>
          <w:tcPr>
            <w:tcW w:w="8080" w:type="dxa"/>
            <w:shd w:val="clear" w:color="auto" w:fill="auto"/>
            <w:vAlign w:val="bottom"/>
            <w:hideMark/>
          </w:tcPr>
          <w:p w14:paraId="6C65E116" w14:textId="77777777" w:rsidR="006A6A5F" w:rsidRPr="001231C9" w:rsidRDefault="006A6A5F" w:rsidP="000E3F0E">
            <w:pPr>
              <w:rPr>
                <w:color w:val="000000"/>
                <w:szCs w:val="22"/>
              </w:rPr>
            </w:pPr>
            <w:r w:rsidRPr="001231C9">
              <w:rPr>
                <w:color w:val="000000"/>
                <w:szCs w:val="22"/>
              </w:rPr>
              <w:t xml:space="preserve">Kitchener S, </w:t>
            </w:r>
            <w:proofErr w:type="spellStart"/>
            <w:r w:rsidRPr="001231C9">
              <w:rPr>
                <w:color w:val="000000"/>
                <w:szCs w:val="22"/>
              </w:rPr>
              <w:t>Nasveld</w:t>
            </w:r>
            <w:proofErr w:type="spellEnd"/>
            <w:r w:rsidRPr="001231C9">
              <w:rPr>
                <w:color w:val="000000"/>
                <w:szCs w:val="22"/>
              </w:rPr>
              <w:t xml:space="preserve"> P, </w:t>
            </w:r>
            <w:proofErr w:type="spellStart"/>
            <w:r w:rsidRPr="001231C9">
              <w:rPr>
                <w:color w:val="000000"/>
                <w:szCs w:val="22"/>
              </w:rPr>
              <w:t>Edstein</w:t>
            </w:r>
            <w:proofErr w:type="spellEnd"/>
            <w:r w:rsidRPr="001231C9">
              <w:rPr>
                <w:color w:val="000000"/>
                <w:szCs w:val="22"/>
              </w:rPr>
              <w:t xml:space="preserve"> MD (2007). Short report: tafenoquine for the treatment of recurrent plasmodium vivax malaria. Am J Trop Med </w:t>
            </w:r>
            <w:proofErr w:type="spellStart"/>
            <w:r w:rsidRPr="001231C9">
              <w:rPr>
                <w:color w:val="000000"/>
                <w:szCs w:val="22"/>
              </w:rPr>
              <w:t>Hyg</w:t>
            </w:r>
            <w:proofErr w:type="spellEnd"/>
            <w:r w:rsidRPr="001231C9">
              <w:rPr>
                <w:color w:val="000000"/>
                <w:szCs w:val="22"/>
              </w:rPr>
              <w:t>, 76(3): 494-6.</w:t>
            </w:r>
          </w:p>
        </w:tc>
      </w:tr>
      <w:tr w:rsidR="006A6A5F" w:rsidRPr="001231C9" w14:paraId="555657D8" w14:textId="77777777" w:rsidTr="000E3F0E">
        <w:trPr>
          <w:cantSplit/>
        </w:trPr>
        <w:tc>
          <w:tcPr>
            <w:tcW w:w="1413" w:type="dxa"/>
            <w:shd w:val="clear" w:color="auto" w:fill="auto"/>
            <w:noWrap/>
            <w:vAlign w:val="center"/>
            <w:hideMark/>
          </w:tcPr>
          <w:p w14:paraId="0B4ECCEA" w14:textId="77777777" w:rsidR="006A6A5F" w:rsidRPr="001231C9" w:rsidRDefault="006A6A5F" w:rsidP="000E3F0E">
            <w:pPr>
              <w:jc w:val="center"/>
              <w:rPr>
                <w:color w:val="000000"/>
                <w:szCs w:val="22"/>
              </w:rPr>
            </w:pPr>
            <w:r w:rsidRPr="001231C9">
              <w:rPr>
                <w:color w:val="000000"/>
                <w:szCs w:val="22"/>
              </w:rPr>
              <w:t>77980</w:t>
            </w:r>
          </w:p>
        </w:tc>
        <w:tc>
          <w:tcPr>
            <w:tcW w:w="8080" w:type="dxa"/>
            <w:shd w:val="clear" w:color="auto" w:fill="auto"/>
            <w:vAlign w:val="bottom"/>
            <w:hideMark/>
          </w:tcPr>
          <w:p w14:paraId="6917E919" w14:textId="77777777" w:rsidR="006A6A5F" w:rsidRPr="001231C9" w:rsidRDefault="006A6A5F" w:rsidP="000E3F0E">
            <w:pPr>
              <w:rPr>
                <w:color w:val="000000"/>
                <w:szCs w:val="22"/>
              </w:rPr>
            </w:pPr>
            <w:r w:rsidRPr="001231C9">
              <w:rPr>
                <w:color w:val="000000"/>
                <w:szCs w:val="22"/>
              </w:rPr>
              <w:t>Kitchener SJ, Nasveld PE, Gregory RM, et al (2005). Mefloquine and doxycycline malaria prophylaxis in Australian soldiers in East Timor. MJA, 182(4): 168-71.</w:t>
            </w:r>
          </w:p>
        </w:tc>
      </w:tr>
      <w:tr w:rsidR="006A6A5F" w:rsidRPr="001231C9" w14:paraId="6FE53770" w14:textId="77777777" w:rsidTr="000E3F0E">
        <w:trPr>
          <w:cantSplit/>
        </w:trPr>
        <w:tc>
          <w:tcPr>
            <w:tcW w:w="1413" w:type="dxa"/>
            <w:shd w:val="clear" w:color="auto" w:fill="auto"/>
            <w:noWrap/>
            <w:vAlign w:val="center"/>
            <w:hideMark/>
          </w:tcPr>
          <w:p w14:paraId="6C74EBA8" w14:textId="77777777" w:rsidR="006A6A5F" w:rsidRPr="001231C9" w:rsidRDefault="006A6A5F" w:rsidP="000E3F0E">
            <w:pPr>
              <w:jc w:val="center"/>
              <w:rPr>
                <w:color w:val="000000"/>
                <w:szCs w:val="22"/>
              </w:rPr>
            </w:pPr>
            <w:r w:rsidRPr="001231C9">
              <w:rPr>
                <w:color w:val="000000"/>
                <w:szCs w:val="22"/>
              </w:rPr>
              <w:t>81456</w:t>
            </w:r>
          </w:p>
        </w:tc>
        <w:tc>
          <w:tcPr>
            <w:tcW w:w="8080" w:type="dxa"/>
            <w:shd w:val="clear" w:color="auto" w:fill="auto"/>
            <w:vAlign w:val="bottom"/>
            <w:hideMark/>
          </w:tcPr>
          <w:p w14:paraId="5C818557" w14:textId="77777777" w:rsidR="006A6A5F" w:rsidRPr="001231C9" w:rsidRDefault="006A6A5F" w:rsidP="000E3F0E">
            <w:pPr>
              <w:rPr>
                <w:color w:val="000000"/>
                <w:szCs w:val="22"/>
              </w:rPr>
            </w:pPr>
            <w:proofErr w:type="spellStart"/>
            <w:r w:rsidRPr="001231C9">
              <w:rPr>
                <w:color w:val="000000"/>
                <w:szCs w:val="22"/>
              </w:rPr>
              <w:t>Kolifarhood</w:t>
            </w:r>
            <w:proofErr w:type="spellEnd"/>
            <w:r w:rsidRPr="001231C9">
              <w:rPr>
                <w:color w:val="000000"/>
                <w:szCs w:val="22"/>
              </w:rPr>
              <w:t xml:space="preserve"> G, </w:t>
            </w:r>
            <w:proofErr w:type="spellStart"/>
            <w:r w:rsidRPr="001231C9">
              <w:rPr>
                <w:color w:val="000000"/>
                <w:szCs w:val="22"/>
              </w:rPr>
              <w:t>Raeisi</w:t>
            </w:r>
            <w:proofErr w:type="spellEnd"/>
            <w:r w:rsidRPr="001231C9">
              <w:rPr>
                <w:color w:val="000000"/>
                <w:szCs w:val="22"/>
              </w:rPr>
              <w:t xml:space="preserve"> A, </w:t>
            </w:r>
            <w:proofErr w:type="spellStart"/>
            <w:r w:rsidRPr="001231C9">
              <w:rPr>
                <w:color w:val="000000"/>
                <w:szCs w:val="22"/>
              </w:rPr>
              <w:t>Ranjbar</w:t>
            </w:r>
            <w:proofErr w:type="spellEnd"/>
            <w:r w:rsidRPr="001231C9">
              <w:rPr>
                <w:color w:val="000000"/>
                <w:szCs w:val="22"/>
              </w:rPr>
              <w:t xml:space="preserve"> M, et al (2017). Prophylactic efficacy of primaquine for preventing plasmodium falciparum and plasmodium vivax </w:t>
            </w:r>
            <w:proofErr w:type="spellStart"/>
            <w:r w:rsidRPr="001231C9">
              <w:rPr>
                <w:color w:val="000000"/>
                <w:szCs w:val="22"/>
              </w:rPr>
              <w:t>parasitaemia</w:t>
            </w:r>
            <w:proofErr w:type="spellEnd"/>
            <w:r w:rsidRPr="001231C9">
              <w:rPr>
                <w:color w:val="000000"/>
                <w:szCs w:val="22"/>
              </w:rPr>
              <w:t xml:space="preserve"> in </w:t>
            </w:r>
            <w:proofErr w:type="spellStart"/>
            <w:r w:rsidRPr="001231C9">
              <w:rPr>
                <w:color w:val="000000"/>
                <w:szCs w:val="22"/>
              </w:rPr>
              <w:t>travelers</w:t>
            </w:r>
            <w:proofErr w:type="spellEnd"/>
            <w:r w:rsidRPr="001231C9">
              <w:rPr>
                <w:color w:val="000000"/>
                <w:szCs w:val="22"/>
              </w:rPr>
              <w:t>: A meta-analysis and systematic review. Travel Medicine and Infectious Disease, : [</w:t>
            </w:r>
            <w:proofErr w:type="spellStart"/>
            <w:r w:rsidRPr="001231C9">
              <w:rPr>
                <w:color w:val="000000"/>
                <w:szCs w:val="22"/>
              </w:rPr>
              <w:t>Epub</w:t>
            </w:r>
            <w:proofErr w:type="spellEnd"/>
            <w:r w:rsidRPr="001231C9">
              <w:rPr>
                <w:color w:val="000000"/>
                <w:szCs w:val="22"/>
              </w:rPr>
              <w:t xml:space="preserve"> ahead of print].</w:t>
            </w:r>
          </w:p>
        </w:tc>
      </w:tr>
      <w:tr w:rsidR="006A6A5F" w:rsidRPr="001231C9" w14:paraId="2C8899AE" w14:textId="77777777" w:rsidTr="000E3F0E">
        <w:trPr>
          <w:cantSplit/>
        </w:trPr>
        <w:tc>
          <w:tcPr>
            <w:tcW w:w="1413" w:type="dxa"/>
            <w:shd w:val="clear" w:color="auto" w:fill="auto"/>
            <w:noWrap/>
            <w:vAlign w:val="center"/>
            <w:hideMark/>
          </w:tcPr>
          <w:p w14:paraId="478CC5EA" w14:textId="77777777" w:rsidR="006A6A5F" w:rsidRPr="001231C9" w:rsidRDefault="006A6A5F" w:rsidP="000E3F0E">
            <w:pPr>
              <w:jc w:val="center"/>
              <w:rPr>
                <w:color w:val="000000"/>
                <w:szCs w:val="22"/>
              </w:rPr>
            </w:pPr>
            <w:r w:rsidRPr="001231C9">
              <w:rPr>
                <w:color w:val="000000"/>
                <w:szCs w:val="22"/>
              </w:rPr>
              <w:t>78017</w:t>
            </w:r>
          </w:p>
        </w:tc>
        <w:tc>
          <w:tcPr>
            <w:tcW w:w="8080" w:type="dxa"/>
            <w:shd w:val="clear" w:color="auto" w:fill="auto"/>
            <w:vAlign w:val="bottom"/>
            <w:hideMark/>
          </w:tcPr>
          <w:p w14:paraId="7E917028" w14:textId="77777777" w:rsidR="006A6A5F" w:rsidRPr="001231C9" w:rsidRDefault="006A6A5F" w:rsidP="000E3F0E">
            <w:pPr>
              <w:rPr>
                <w:color w:val="000000"/>
                <w:szCs w:val="22"/>
              </w:rPr>
            </w:pPr>
            <w:r w:rsidRPr="001231C9">
              <w:rPr>
                <w:color w:val="000000"/>
                <w:szCs w:val="22"/>
              </w:rPr>
              <w:t xml:space="preserve">Leary KJ, Riel MA, Roy MJ, et al (2009). A randomized, double-blind, safety and tolerability study to assess the ophthalmic and renal effects of tafenoquine 200 mg weekly versus placebo for 6 months in healthy volunteers. Am J Trop Med </w:t>
            </w:r>
            <w:proofErr w:type="spellStart"/>
            <w:r w:rsidRPr="001231C9">
              <w:rPr>
                <w:color w:val="000000"/>
                <w:szCs w:val="22"/>
              </w:rPr>
              <w:t>Hyg</w:t>
            </w:r>
            <w:proofErr w:type="spellEnd"/>
            <w:r w:rsidRPr="001231C9">
              <w:rPr>
                <w:color w:val="000000"/>
                <w:szCs w:val="22"/>
              </w:rPr>
              <w:t>, 81(2): 356-62.</w:t>
            </w:r>
          </w:p>
        </w:tc>
      </w:tr>
      <w:tr w:rsidR="006A6A5F" w:rsidRPr="001231C9" w14:paraId="10185014" w14:textId="77777777" w:rsidTr="000E3F0E">
        <w:trPr>
          <w:cantSplit/>
        </w:trPr>
        <w:tc>
          <w:tcPr>
            <w:tcW w:w="1413" w:type="dxa"/>
            <w:shd w:val="clear" w:color="auto" w:fill="auto"/>
            <w:noWrap/>
            <w:vAlign w:val="center"/>
            <w:hideMark/>
          </w:tcPr>
          <w:p w14:paraId="0F7C7876" w14:textId="77777777" w:rsidR="006A6A5F" w:rsidRPr="001231C9" w:rsidRDefault="006A6A5F" w:rsidP="000E3F0E">
            <w:pPr>
              <w:jc w:val="center"/>
              <w:rPr>
                <w:color w:val="000000"/>
                <w:szCs w:val="22"/>
              </w:rPr>
            </w:pPr>
            <w:r w:rsidRPr="001231C9">
              <w:rPr>
                <w:color w:val="000000"/>
                <w:szCs w:val="22"/>
              </w:rPr>
              <w:t>80931</w:t>
            </w:r>
          </w:p>
        </w:tc>
        <w:tc>
          <w:tcPr>
            <w:tcW w:w="8080" w:type="dxa"/>
            <w:shd w:val="clear" w:color="auto" w:fill="auto"/>
            <w:vAlign w:val="bottom"/>
            <w:hideMark/>
          </w:tcPr>
          <w:p w14:paraId="35260EF3" w14:textId="77777777" w:rsidR="006A6A5F" w:rsidRPr="001231C9" w:rsidRDefault="006A6A5F" w:rsidP="000E3F0E">
            <w:pPr>
              <w:rPr>
                <w:color w:val="000000"/>
                <w:szCs w:val="22"/>
              </w:rPr>
            </w:pPr>
            <w:r w:rsidRPr="001231C9">
              <w:rPr>
                <w:color w:val="000000"/>
                <w:szCs w:val="22"/>
              </w:rPr>
              <w:t>Lee EQ (2017). Overview of neurologic complications of platinum based chemotherapy. .  Retrieved 6 March 2017, from https://www.uptodate.com/contents/overview-of-neurologic-complications-of-platinum-based-chemotherapy</w:t>
            </w:r>
          </w:p>
        </w:tc>
      </w:tr>
      <w:tr w:rsidR="006A6A5F" w:rsidRPr="001231C9" w14:paraId="21D67304" w14:textId="77777777" w:rsidTr="000E3F0E">
        <w:trPr>
          <w:cantSplit/>
        </w:trPr>
        <w:tc>
          <w:tcPr>
            <w:tcW w:w="1413" w:type="dxa"/>
            <w:shd w:val="clear" w:color="auto" w:fill="auto"/>
            <w:noWrap/>
            <w:vAlign w:val="center"/>
            <w:hideMark/>
          </w:tcPr>
          <w:p w14:paraId="0FC4D3E7" w14:textId="77777777" w:rsidR="006A6A5F" w:rsidRPr="001231C9" w:rsidRDefault="006A6A5F" w:rsidP="000E3F0E">
            <w:pPr>
              <w:jc w:val="center"/>
              <w:rPr>
                <w:color w:val="000000"/>
                <w:szCs w:val="22"/>
              </w:rPr>
            </w:pPr>
            <w:r w:rsidRPr="001231C9">
              <w:rPr>
                <w:color w:val="000000"/>
                <w:szCs w:val="22"/>
              </w:rPr>
              <w:t>80930</w:t>
            </w:r>
          </w:p>
        </w:tc>
        <w:tc>
          <w:tcPr>
            <w:tcW w:w="8080" w:type="dxa"/>
            <w:shd w:val="clear" w:color="auto" w:fill="auto"/>
            <w:vAlign w:val="bottom"/>
            <w:hideMark/>
          </w:tcPr>
          <w:p w14:paraId="0D020715" w14:textId="77777777" w:rsidR="006A6A5F" w:rsidRPr="001231C9" w:rsidRDefault="006A6A5F" w:rsidP="000E3F0E">
            <w:pPr>
              <w:rPr>
                <w:color w:val="000000"/>
                <w:szCs w:val="22"/>
              </w:rPr>
            </w:pPr>
            <w:r w:rsidRPr="001231C9">
              <w:rPr>
                <w:color w:val="000000"/>
                <w:szCs w:val="22"/>
              </w:rPr>
              <w:t>Lee EQ (2017). Overview of neurologic complications of non-platinum cancer chemotherapy. .  Retrieved 6 March 2017, from https://www.uptodate.com/contents/overview-of-neurologic-complications-of-non-platinum-cancer-chemotherapy</w:t>
            </w:r>
          </w:p>
        </w:tc>
      </w:tr>
      <w:tr w:rsidR="006A6A5F" w:rsidRPr="001231C9" w14:paraId="5425A07A" w14:textId="77777777" w:rsidTr="000E3F0E">
        <w:trPr>
          <w:cantSplit/>
        </w:trPr>
        <w:tc>
          <w:tcPr>
            <w:tcW w:w="1413" w:type="dxa"/>
            <w:shd w:val="clear" w:color="auto" w:fill="auto"/>
            <w:noWrap/>
            <w:vAlign w:val="center"/>
            <w:hideMark/>
          </w:tcPr>
          <w:p w14:paraId="3B0737BF" w14:textId="77777777" w:rsidR="006A6A5F" w:rsidRPr="001231C9" w:rsidRDefault="006A6A5F" w:rsidP="000E3F0E">
            <w:pPr>
              <w:jc w:val="center"/>
              <w:rPr>
                <w:color w:val="000000"/>
                <w:szCs w:val="22"/>
              </w:rPr>
            </w:pPr>
            <w:r w:rsidRPr="001231C9">
              <w:rPr>
                <w:color w:val="000000"/>
                <w:szCs w:val="22"/>
              </w:rPr>
              <w:t>81215</w:t>
            </w:r>
          </w:p>
        </w:tc>
        <w:tc>
          <w:tcPr>
            <w:tcW w:w="8080" w:type="dxa"/>
            <w:shd w:val="clear" w:color="auto" w:fill="auto"/>
            <w:vAlign w:val="bottom"/>
            <w:hideMark/>
          </w:tcPr>
          <w:p w14:paraId="1EF26551" w14:textId="77777777" w:rsidR="006A6A5F" w:rsidRPr="001231C9" w:rsidRDefault="006A6A5F" w:rsidP="000E3F0E">
            <w:pPr>
              <w:rPr>
                <w:color w:val="000000"/>
                <w:szCs w:val="22"/>
              </w:rPr>
            </w:pPr>
            <w:r w:rsidRPr="001231C9">
              <w:rPr>
                <w:color w:val="000000"/>
                <w:szCs w:val="22"/>
              </w:rPr>
              <w:t xml:space="preserve">Lee SJ, </w:t>
            </w:r>
            <w:proofErr w:type="spellStart"/>
            <w:r w:rsidRPr="001231C9">
              <w:rPr>
                <w:color w:val="000000"/>
                <w:szCs w:val="22"/>
              </w:rPr>
              <w:t>Ter</w:t>
            </w:r>
            <w:proofErr w:type="spellEnd"/>
            <w:r w:rsidRPr="001231C9">
              <w:rPr>
                <w:color w:val="000000"/>
                <w:szCs w:val="22"/>
              </w:rPr>
              <w:t xml:space="preserve"> </w:t>
            </w:r>
            <w:proofErr w:type="spellStart"/>
            <w:r w:rsidRPr="001231C9">
              <w:rPr>
                <w:color w:val="000000"/>
                <w:szCs w:val="22"/>
              </w:rPr>
              <w:t>Kuile</w:t>
            </w:r>
            <w:proofErr w:type="spellEnd"/>
            <w:r w:rsidRPr="001231C9">
              <w:rPr>
                <w:color w:val="000000"/>
                <w:szCs w:val="22"/>
              </w:rPr>
              <w:t xml:space="preserve"> FO, Price RN, et al (2017). Adverse effects of mefloquine for the treatment of uncomplicated malaria in Thailand: A pooled analysis of 19, 850 individual patients. </w:t>
            </w:r>
            <w:proofErr w:type="spellStart"/>
            <w:r w:rsidRPr="001231C9">
              <w:rPr>
                <w:color w:val="000000"/>
                <w:szCs w:val="22"/>
              </w:rPr>
              <w:t>PLoS</w:t>
            </w:r>
            <w:proofErr w:type="spellEnd"/>
            <w:r w:rsidRPr="001231C9">
              <w:rPr>
                <w:color w:val="000000"/>
                <w:szCs w:val="22"/>
              </w:rPr>
              <w:t xml:space="preserve"> One, 12(2): e0168780.</w:t>
            </w:r>
          </w:p>
        </w:tc>
      </w:tr>
      <w:tr w:rsidR="006A6A5F" w:rsidRPr="001231C9" w14:paraId="5E411D9E" w14:textId="77777777" w:rsidTr="000E3F0E">
        <w:trPr>
          <w:cantSplit/>
        </w:trPr>
        <w:tc>
          <w:tcPr>
            <w:tcW w:w="1413" w:type="dxa"/>
            <w:shd w:val="clear" w:color="auto" w:fill="auto"/>
            <w:noWrap/>
            <w:vAlign w:val="center"/>
            <w:hideMark/>
          </w:tcPr>
          <w:p w14:paraId="428A502C" w14:textId="77777777" w:rsidR="006A6A5F" w:rsidRPr="001231C9" w:rsidRDefault="006A6A5F" w:rsidP="000E3F0E">
            <w:pPr>
              <w:jc w:val="center"/>
              <w:rPr>
                <w:color w:val="000000"/>
                <w:szCs w:val="22"/>
              </w:rPr>
            </w:pPr>
            <w:r w:rsidRPr="001231C9">
              <w:rPr>
                <w:color w:val="000000"/>
                <w:szCs w:val="22"/>
              </w:rPr>
              <w:t>78022</w:t>
            </w:r>
          </w:p>
        </w:tc>
        <w:tc>
          <w:tcPr>
            <w:tcW w:w="8080" w:type="dxa"/>
            <w:shd w:val="clear" w:color="auto" w:fill="auto"/>
            <w:vAlign w:val="bottom"/>
            <w:hideMark/>
          </w:tcPr>
          <w:p w14:paraId="4F327862" w14:textId="77777777" w:rsidR="006A6A5F" w:rsidRPr="001231C9" w:rsidRDefault="006A6A5F" w:rsidP="000E3F0E">
            <w:pPr>
              <w:rPr>
                <w:color w:val="000000"/>
                <w:szCs w:val="22"/>
              </w:rPr>
            </w:pPr>
            <w:proofErr w:type="spellStart"/>
            <w:r w:rsidRPr="001231C9">
              <w:rPr>
                <w:color w:val="000000"/>
                <w:szCs w:val="22"/>
              </w:rPr>
              <w:t>Lell</w:t>
            </w:r>
            <w:proofErr w:type="spellEnd"/>
            <w:r w:rsidRPr="001231C9">
              <w:rPr>
                <w:color w:val="000000"/>
                <w:szCs w:val="22"/>
              </w:rPr>
              <w:t xml:space="preserve"> B, </w:t>
            </w:r>
            <w:proofErr w:type="spellStart"/>
            <w:r w:rsidRPr="001231C9">
              <w:rPr>
                <w:color w:val="000000"/>
                <w:szCs w:val="22"/>
              </w:rPr>
              <w:t>Faucher</w:t>
            </w:r>
            <w:proofErr w:type="spellEnd"/>
            <w:r w:rsidRPr="001231C9">
              <w:rPr>
                <w:color w:val="000000"/>
                <w:szCs w:val="22"/>
              </w:rPr>
              <w:t xml:space="preserve"> J-F, </w:t>
            </w:r>
            <w:proofErr w:type="spellStart"/>
            <w:r w:rsidRPr="001231C9">
              <w:rPr>
                <w:color w:val="000000"/>
                <w:szCs w:val="22"/>
              </w:rPr>
              <w:t>Missinou</w:t>
            </w:r>
            <w:proofErr w:type="spellEnd"/>
            <w:r w:rsidRPr="001231C9">
              <w:rPr>
                <w:color w:val="000000"/>
                <w:szCs w:val="22"/>
              </w:rPr>
              <w:t xml:space="preserve"> MA, et al (2000). Malaria chemoprophylaxis with tafenoquine: a randomised study. Lancet, 355(9220): 2041-5.</w:t>
            </w:r>
          </w:p>
        </w:tc>
      </w:tr>
      <w:tr w:rsidR="006A6A5F" w:rsidRPr="001231C9" w14:paraId="43823078" w14:textId="77777777" w:rsidTr="000E3F0E">
        <w:trPr>
          <w:cantSplit/>
        </w:trPr>
        <w:tc>
          <w:tcPr>
            <w:tcW w:w="1413" w:type="dxa"/>
            <w:shd w:val="clear" w:color="auto" w:fill="auto"/>
            <w:noWrap/>
            <w:vAlign w:val="center"/>
            <w:hideMark/>
          </w:tcPr>
          <w:p w14:paraId="031A2453" w14:textId="77777777" w:rsidR="006A6A5F" w:rsidRPr="001231C9" w:rsidRDefault="006A6A5F" w:rsidP="000E3F0E">
            <w:pPr>
              <w:jc w:val="center"/>
              <w:rPr>
                <w:color w:val="000000"/>
                <w:szCs w:val="22"/>
              </w:rPr>
            </w:pPr>
            <w:r w:rsidRPr="001231C9">
              <w:rPr>
                <w:color w:val="000000"/>
                <w:szCs w:val="22"/>
              </w:rPr>
              <w:t>77905</w:t>
            </w:r>
          </w:p>
        </w:tc>
        <w:tc>
          <w:tcPr>
            <w:tcW w:w="8080" w:type="dxa"/>
            <w:shd w:val="clear" w:color="auto" w:fill="auto"/>
            <w:vAlign w:val="bottom"/>
            <w:hideMark/>
          </w:tcPr>
          <w:p w14:paraId="1CF0232D" w14:textId="77777777" w:rsidR="006A6A5F" w:rsidRPr="001231C9" w:rsidRDefault="006A6A5F" w:rsidP="000E3F0E">
            <w:pPr>
              <w:rPr>
                <w:color w:val="000000"/>
                <w:szCs w:val="22"/>
              </w:rPr>
            </w:pPr>
            <w:r w:rsidRPr="001231C9">
              <w:rPr>
                <w:color w:val="000000"/>
                <w:szCs w:val="22"/>
              </w:rPr>
              <w:t xml:space="preserve">Levin A (2013). FDA warning highlights </w:t>
            </w:r>
            <w:proofErr w:type="spellStart"/>
            <w:r w:rsidRPr="001231C9">
              <w:rPr>
                <w:color w:val="000000"/>
                <w:szCs w:val="22"/>
              </w:rPr>
              <w:t>mefloquine's</w:t>
            </w:r>
            <w:proofErr w:type="spellEnd"/>
            <w:r w:rsidRPr="001231C9">
              <w:rPr>
                <w:color w:val="000000"/>
                <w:szCs w:val="22"/>
              </w:rPr>
              <w:t xml:space="preserve"> mental health risks. </w:t>
            </w:r>
            <w:proofErr w:type="spellStart"/>
            <w:r w:rsidRPr="001231C9">
              <w:rPr>
                <w:color w:val="000000"/>
                <w:szCs w:val="22"/>
              </w:rPr>
              <w:t>Psychiatr</w:t>
            </w:r>
            <w:proofErr w:type="spellEnd"/>
            <w:r w:rsidRPr="001231C9">
              <w:rPr>
                <w:color w:val="000000"/>
                <w:szCs w:val="22"/>
              </w:rPr>
              <w:t xml:space="preserve"> News, 48(18): 1.</w:t>
            </w:r>
          </w:p>
        </w:tc>
      </w:tr>
      <w:tr w:rsidR="006A6A5F" w:rsidRPr="001231C9" w14:paraId="705ED0FC" w14:textId="77777777" w:rsidTr="000E3F0E">
        <w:trPr>
          <w:cantSplit/>
        </w:trPr>
        <w:tc>
          <w:tcPr>
            <w:tcW w:w="1413" w:type="dxa"/>
            <w:shd w:val="clear" w:color="auto" w:fill="auto"/>
            <w:noWrap/>
            <w:vAlign w:val="center"/>
            <w:hideMark/>
          </w:tcPr>
          <w:p w14:paraId="748A4222" w14:textId="77777777" w:rsidR="006A6A5F" w:rsidRPr="001231C9" w:rsidRDefault="006A6A5F" w:rsidP="000E3F0E">
            <w:pPr>
              <w:jc w:val="center"/>
              <w:rPr>
                <w:color w:val="000000"/>
                <w:szCs w:val="22"/>
              </w:rPr>
            </w:pPr>
            <w:r w:rsidRPr="001231C9">
              <w:rPr>
                <w:color w:val="000000"/>
                <w:szCs w:val="22"/>
              </w:rPr>
              <w:t>80812</w:t>
            </w:r>
          </w:p>
        </w:tc>
        <w:tc>
          <w:tcPr>
            <w:tcW w:w="8080" w:type="dxa"/>
            <w:shd w:val="clear" w:color="auto" w:fill="auto"/>
            <w:vAlign w:val="bottom"/>
            <w:hideMark/>
          </w:tcPr>
          <w:p w14:paraId="77180AAF" w14:textId="77777777" w:rsidR="006A6A5F" w:rsidRPr="001231C9" w:rsidRDefault="006A6A5F" w:rsidP="000E3F0E">
            <w:pPr>
              <w:rPr>
                <w:color w:val="000000"/>
                <w:szCs w:val="22"/>
              </w:rPr>
            </w:pPr>
            <w:r w:rsidRPr="001231C9">
              <w:rPr>
                <w:color w:val="000000"/>
                <w:szCs w:val="22"/>
              </w:rPr>
              <w:t xml:space="preserve">Livezey J, Oliver T, Cantilena L (2016). Prolonged neuropsychiatric symptoms in a military service member exposed to mefloquine. Drug </w:t>
            </w:r>
            <w:proofErr w:type="spellStart"/>
            <w:r w:rsidRPr="001231C9">
              <w:rPr>
                <w:color w:val="000000"/>
                <w:szCs w:val="22"/>
              </w:rPr>
              <w:t>Saf</w:t>
            </w:r>
            <w:proofErr w:type="spellEnd"/>
            <w:r w:rsidRPr="001231C9">
              <w:rPr>
                <w:color w:val="000000"/>
                <w:szCs w:val="22"/>
              </w:rPr>
              <w:t xml:space="preserve"> - Case Rep, 3(1): 7.</w:t>
            </w:r>
          </w:p>
        </w:tc>
      </w:tr>
      <w:tr w:rsidR="006A6A5F" w:rsidRPr="001231C9" w14:paraId="301C2B0D" w14:textId="77777777" w:rsidTr="000E3F0E">
        <w:trPr>
          <w:cantSplit/>
        </w:trPr>
        <w:tc>
          <w:tcPr>
            <w:tcW w:w="1413" w:type="dxa"/>
            <w:shd w:val="clear" w:color="auto" w:fill="auto"/>
            <w:noWrap/>
            <w:vAlign w:val="center"/>
            <w:hideMark/>
          </w:tcPr>
          <w:p w14:paraId="008445AB" w14:textId="77777777" w:rsidR="006A6A5F" w:rsidRPr="001231C9" w:rsidRDefault="006A6A5F" w:rsidP="000E3F0E">
            <w:pPr>
              <w:jc w:val="center"/>
              <w:rPr>
                <w:color w:val="000000"/>
                <w:szCs w:val="22"/>
              </w:rPr>
            </w:pPr>
            <w:r w:rsidRPr="001231C9">
              <w:rPr>
                <w:color w:val="000000"/>
                <w:szCs w:val="22"/>
              </w:rPr>
              <w:t>78014</w:t>
            </w:r>
          </w:p>
        </w:tc>
        <w:tc>
          <w:tcPr>
            <w:tcW w:w="8080" w:type="dxa"/>
            <w:shd w:val="clear" w:color="auto" w:fill="auto"/>
            <w:vAlign w:val="bottom"/>
            <w:hideMark/>
          </w:tcPr>
          <w:p w14:paraId="6D7156CF" w14:textId="77777777" w:rsidR="006A6A5F" w:rsidRPr="001231C9" w:rsidRDefault="006A6A5F" w:rsidP="000E3F0E">
            <w:pPr>
              <w:rPr>
                <w:color w:val="000000"/>
                <w:szCs w:val="22"/>
              </w:rPr>
            </w:pPr>
            <w:r w:rsidRPr="001231C9">
              <w:rPr>
                <w:color w:val="000000"/>
                <w:szCs w:val="22"/>
              </w:rPr>
              <w:t>Llanos-</w:t>
            </w:r>
            <w:proofErr w:type="spellStart"/>
            <w:r w:rsidRPr="001231C9">
              <w:rPr>
                <w:color w:val="000000"/>
                <w:szCs w:val="22"/>
              </w:rPr>
              <w:t>Cuentas</w:t>
            </w:r>
            <w:proofErr w:type="spellEnd"/>
            <w:r w:rsidRPr="001231C9">
              <w:rPr>
                <w:color w:val="000000"/>
                <w:szCs w:val="22"/>
              </w:rPr>
              <w:t xml:space="preserve"> A, </w:t>
            </w:r>
            <w:proofErr w:type="spellStart"/>
            <w:r w:rsidRPr="001231C9">
              <w:rPr>
                <w:color w:val="000000"/>
                <w:szCs w:val="22"/>
              </w:rPr>
              <w:t>Lacerda</w:t>
            </w:r>
            <w:proofErr w:type="spellEnd"/>
            <w:r w:rsidRPr="001231C9">
              <w:rPr>
                <w:color w:val="000000"/>
                <w:szCs w:val="22"/>
              </w:rPr>
              <w:t xml:space="preserve"> MV, </w:t>
            </w:r>
            <w:proofErr w:type="spellStart"/>
            <w:r w:rsidRPr="001231C9">
              <w:rPr>
                <w:color w:val="000000"/>
                <w:szCs w:val="22"/>
              </w:rPr>
              <w:t>Rueangweerayut</w:t>
            </w:r>
            <w:proofErr w:type="spellEnd"/>
            <w:r w:rsidRPr="001231C9">
              <w:rPr>
                <w:color w:val="000000"/>
                <w:szCs w:val="22"/>
              </w:rPr>
              <w:t xml:space="preserve"> R, et al (2014). Tafenoquine plus chloroquine for the treatment and relapse prevention of plasmodium vivax malaria (DETECTIVE): a multicentre, double-blind, randomised, phase 2b dose-selection study. Lancet, 383(9922): 1049-58.</w:t>
            </w:r>
          </w:p>
        </w:tc>
      </w:tr>
      <w:tr w:rsidR="006A6A5F" w:rsidRPr="001231C9" w14:paraId="63C1E5DF" w14:textId="77777777" w:rsidTr="000E3F0E">
        <w:trPr>
          <w:cantSplit/>
        </w:trPr>
        <w:tc>
          <w:tcPr>
            <w:tcW w:w="1413" w:type="dxa"/>
            <w:shd w:val="clear" w:color="auto" w:fill="auto"/>
            <w:noWrap/>
            <w:vAlign w:val="center"/>
            <w:hideMark/>
          </w:tcPr>
          <w:p w14:paraId="43AC6DA9" w14:textId="77777777" w:rsidR="006A6A5F" w:rsidRPr="001231C9" w:rsidRDefault="006A6A5F" w:rsidP="000E3F0E">
            <w:pPr>
              <w:jc w:val="center"/>
              <w:rPr>
                <w:color w:val="000000"/>
                <w:szCs w:val="22"/>
              </w:rPr>
            </w:pPr>
            <w:r w:rsidRPr="001231C9">
              <w:rPr>
                <w:color w:val="000000"/>
                <w:szCs w:val="22"/>
              </w:rPr>
              <w:lastRenderedPageBreak/>
              <w:t>76985</w:t>
            </w:r>
          </w:p>
        </w:tc>
        <w:tc>
          <w:tcPr>
            <w:tcW w:w="8080" w:type="dxa"/>
            <w:shd w:val="clear" w:color="auto" w:fill="auto"/>
            <w:vAlign w:val="bottom"/>
            <w:hideMark/>
          </w:tcPr>
          <w:p w14:paraId="48F7C15D" w14:textId="77777777" w:rsidR="006A6A5F" w:rsidRPr="001231C9" w:rsidRDefault="006A6A5F" w:rsidP="000E3F0E">
            <w:pPr>
              <w:rPr>
                <w:color w:val="000000"/>
                <w:szCs w:val="22"/>
              </w:rPr>
            </w:pPr>
            <w:proofErr w:type="spellStart"/>
            <w:r w:rsidRPr="001231C9">
              <w:rPr>
                <w:color w:val="000000"/>
                <w:szCs w:val="22"/>
              </w:rPr>
              <w:t>Lobel</w:t>
            </w:r>
            <w:proofErr w:type="spellEnd"/>
            <w:r w:rsidRPr="001231C9">
              <w:rPr>
                <w:color w:val="000000"/>
                <w:szCs w:val="22"/>
              </w:rPr>
              <w:t xml:space="preserve"> HO, Coyne PE, Rosenthal PJ (1998). Drug overdoses with antimalarial agents: prescribing and dispensing errors. JAMA, 280(17): 1483.</w:t>
            </w:r>
          </w:p>
        </w:tc>
      </w:tr>
      <w:tr w:rsidR="006A6A5F" w:rsidRPr="001231C9" w14:paraId="3A089AB3" w14:textId="77777777" w:rsidTr="000E3F0E">
        <w:trPr>
          <w:cantSplit/>
        </w:trPr>
        <w:tc>
          <w:tcPr>
            <w:tcW w:w="1413" w:type="dxa"/>
            <w:shd w:val="clear" w:color="auto" w:fill="auto"/>
            <w:noWrap/>
            <w:vAlign w:val="center"/>
            <w:hideMark/>
          </w:tcPr>
          <w:p w14:paraId="209C9B18" w14:textId="77777777" w:rsidR="006A6A5F" w:rsidRPr="001231C9" w:rsidRDefault="006A6A5F" w:rsidP="000E3F0E">
            <w:pPr>
              <w:jc w:val="center"/>
              <w:rPr>
                <w:color w:val="000000"/>
                <w:szCs w:val="22"/>
              </w:rPr>
            </w:pPr>
            <w:r w:rsidRPr="001231C9">
              <w:rPr>
                <w:color w:val="000000"/>
                <w:szCs w:val="22"/>
              </w:rPr>
              <w:t>81442</w:t>
            </w:r>
          </w:p>
        </w:tc>
        <w:tc>
          <w:tcPr>
            <w:tcW w:w="8080" w:type="dxa"/>
            <w:shd w:val="clear" w:color="auto" w:fill="auto"/>
            <w:vAlign w:val="bottom"/>
            <w:hideMark/>
          </w:tcPr>
          <w:p w14:paraId="32F69D98" w14:textId="77777777" w:rsidR="006A6A5F" w:rsidRPr="001231C9" w:rsidRDefault="006A6A5F" w:rsidP="000E3F0E">
            <w:pPr>
              <w:rPr>
                <w:color w:val="000000"/>
                <w:szCs w:val="22"/>
              </w:rPr>
            </w:pPr>
            <w:proofErr w:type="spellStart"/>
            <w:r w:rsidRPr="001231C9">
              <w:rPr>
                <w:color w:val="000000"/>
                <w:szCs w:val="22"/>
              </w:rPr>
              <w:t>Loken</w:t>
            </w:r>
            <w:proofErr w:type="spellEnd"/>
            <w:r w:rsidRPr="001231C9">
              <w:rPr>
                <w:color w:val="000000"/>
                <w:szCs w:val="22"/>
              </w:rPr>
              <w:t xml:space="preserve"> A, Haymaker W (1949). </w:t>
            </w:r>
            <w:proofErr w:type="spellStart"/>
            <w:r w:rsidRPr="001231C9">
              <w:rPr>
                <w:color w:val="000000"/>
                <w:szCs w:val="22"/>
              </w:rPr>
              <w:t>Pamaquine</w:t>
            </w:r>
            <w:proofErr w:type="spellEnd"/>
            <w:r w:rsidRPr="001231C9">
              <w:rPr>
                <w:color w:val="000000"/>
                <w:szCs w:val="22"/>
              </w:rPr>
              <w:t xml:space="preserve"> poisoning in man, with a </w:t>
            </w:r>
            <w:proofErr w:type="spellStart"/>
            <w:r w:rsidRPr="001231C9">
              <w:rPr>
                <w:color w:val="000000"/>
                <w:szCs w:val="22"/>
              </w:rPr>
              <w:t>clinicopathologic</w:t>
            </w:r>
            <w:proofErr w:type="spellEnd"/>
            <w:r w:rsidRPr="001231C9">
              <w:rPr>
                <w:color w:val="000000"/>
                <w:szCs w:val="22"/>
              </w:rPr>
              <w:t xml:space="preserve"> study of one case. Am J Trop Med </w:t>
            </w:r>
            <w:proofErr w:type="spellStart"/>
            <w:r w:rsidRPr="001231C9">
              <w:rPr>
                <w:color w:val="000000"/>
                <w:szCs w:val="22"/>
              </w:rPr>
              <w:t>Hyg</w:t>
            </w:r>
            <w:proofErr w:type="spellEnd"/>
            <w:r w:rsidRPr="001231C9">
              <w:rPr>
                <w:color w:val="000000"/>
                <w:szCs w:val="22"/>
              </w:rPr>
              <w:t>, 3: 341-52.</w:t>
            </w:r>
          </w:p>
        </w:tc>
      </w:tr>
      <w:tr w:rsidR="006A6A5F" w:rsidRPr="001231C9" w14:paraId="77750C53" w14:textId="77777777" w:rsidTr="000E3F0E">
        <w:trPr>
          <w:cantSplit/>
        </w:trPr>
        <w:tc>
          <w:tcPr>
            <w:tcW w:w="1413" w:type="dxa"/>
            <w:shd w:val="clear" w:color="auto" w:fill="auto"/>
            <w:noWrap/>
            <w:vAlign w:val="center"/>
            <w:hideMark/>
          </w:tcPr>
          <w:p w14:paraId="77238DA1" w14:textId="77777777" w:rsidR="006A6A5F" w:rsidRPr="001231C9" w:rsidRDefault="006A6A5F" w:rsidP="000E3F0E">
            <w:pPr>
              <w:jc w:val="center"/>
              <w:rPr>
                <w:color w:val="000000"/>
                <w:szCs w:val="22"/>
              </w:rPr>
            </w:pPr>
            <w:r w:rsidRPr="001231C9">
              <w:rPr>
                <w:color w:val="000000"/>
                <w:szCs w:val="22"/>
              </w:rPr>
              <w:t>15871</w:t>
            </w:r>
          </w:p>
        </w:tc>
        <w:tc>
          <w:tcPr>
            <w:tcW w:w="8080" w:type="dxa"/>
            <w:shd w:val="clear" w:color="auto" w:fill="auto"/>
            <w:vAlign w:val="bottom"/>
            <w:hideMark/>
          </w:tcPr>
          <w:p w14:paraId="29FD5A11" w14:textId="77777777" w:rsidR="006A6A5F" w:rsidRPr="001231C9" w:rsidRDefault="006A6A5F" w:rsidP="000E3F0E">
            <w:pPr>
              <w:rPr>
                <w:color w:val="000000"/>
                <w:szCs w:val="22"/>
              </w:rPr>
            </w:pPr>
            <w:proofErr w:type="spellStart"/>
            <w:r w:rsidRPr="001231C9">
              <w:rPr>
                <w:color w:val="000000"/>
                <w:szCs w:val="22"/>
              </w:rPr>
              <w:t>Lysack</w:t>
            </w:r>
            <w:proofErr w:type="spellEnd"/>
            <w:r w:rsidRPr="001231C9">
              <w:rPr>
                <w:color w:val="000000"/>
                <w:szCs w:val="22"/>
              </w:rPr>
              <w:t xml:space="preserve"> JT, </w:t>
            </w:r>
            <w:proofErr w:type="spellStart"/>
            <w:r w:rsidRPr="001231C9">
              <w:rPr>
                <w:color w:val="000000"/>
                <w:szCs w:val="22"/>
              </w:rPr>
              <w:t>Lysack</w:t>
            </w:r>
            <w:proofErr w:type="spellEnd"/>
            <w:r w:rsidRPr="001231C9">
              <w:rPr>
                <w:color w:val="000000"/>
                <w:szCs w:val="22"/>
              </w:rPr>
              <w:t xml:space="preserve"> CL, </w:t>
            </w:r>
            <w:proofErr w:type="spellStart"/>
            <w:r w:rsidRPr="001231C9">
              <w:rPr>
                <w:color w:val="000000"/>
                <w:szCs w:val="22"/>
              </w:rPr>
              <w:t>Kvern</w:t>
            </w:r>
            <w:proofErr w:type="spellEnd"/>
            <w:r w:rsidRPr="001231C9">
              <w:rPr>
                <w:color w:val="000000"/>
                <w:szCs w:val="22"/>
              </w:rPr>
              <w:t xml:space="preserve"> B (1998). A severe adverse reaction to mefloquine and chloroquine prophylaxis. Australian Family Physician, 27(12): 1119-20.</w:t>
            </w:r>
          </w:p>
        </w:tc>
      </w:tr>
      <w:tr w:rsidR="006A6A5F" w:rsidRPr="001231C9" w14:paraId="1F0AB3CA" w14:textId="77777777" w:rsidTr="000E3F0E">
        <w:trPr>
          <w:cantSplit/>
        </w:trPr>
        <w:tc>
          <w:tcPr>
            <w:tcW w:w="1413" w:type="dxa"/>
            <w:shd w:val="clear" w:color="auto" w:fill="auto"/>
            <w:noWrap/>
            <w:vAlign w:val="center"/>
            <w:hideMark/>
          </w:tcPr>
          <w:p w14:paraId="6066B74C" w14:textId="77777777" w:rsidR="006A6A5F" w:rsidRPr="001231C9" w:rsidRDefault="006A6A5F" w:rsidP="000E3F0E">
            <w:pPr>
              <w:jc w:val="center"/>
              <w:rPr>
                <w:color w:val="000000"/>
                <w:szCs w:val="22"/>
              </w:rPr>
            </w:pPr>
            <w:r w:rsidRPr="001231C9">
              <w:rPr>
                <w:color w:val="000000"/>
                <w:szCs w:val="22"/>
              </w:rPr>
              <w:t>76652</w:t>
            </w:r>
          </w:p>
        </w:tc>
        <w:tc>
          <w:tcPr>
            <w:tcW w:w="8080" w:type="dxa"/>
            <w:shd w:val="clear" w:color="auto" w:fill="auto"/>
            <w:vAlign w:val="bottom"/>
            <w:hideMark/>
          </w:tcPr>
          <w:p w14:paraId="5F92D538" w14:textId="77777777" w:rsidR="006A6A5F" w:rsidRPr="001231C9" w:rsidRDefault="006A6A5F" w:rsidP="000E3F0E">
            <w:pPr>
              <w:rPr>
                <w:color w:val="000000"/>
                <w:szCs w:val="22"/>
              </w:rPr>
            </w:pPr>
            <w:r w:rsidRPr="001231C9">
              <w:rPr>
                <w:color w:val="000000"/>
                <w:szCs w:val="22"/>
              </w:rPr>
              <w:t xml:space="preserve">Mawson AR (2013). Mefloquine use, psychosis, and violence: a retinoid toxicity hypothesis. Med </w:t>
            </w:r>
            <w:proofErr w:type="spellStart"/>
            <w:r w:rsidRPr="001231C9">
              <w:rPr>
                <w:color w:val="000000"/>
                <w:szCs w:val="22"/>
              </w:rPr>
              <w:t>Sci</w:t>
            </w:r>
            <w:proofErr w:type="spellEnd"/>
            <w:r w:rsidRPr="001231C9">
              <w:rPr>
                <w:color w:val="000000"/>
                <w:szCs w:val="22"/>
              </w:rPr>
              <w:t xml:space="preserve"> </w:t>
            </w:r>
            <w:proofErr w:type="spellStart"/>
            <w:r w:rsidRPr="001231C9">
              <w:rPr>
                <w:color w:val="000000"/>
                <w:szCs w:val="22"/>
              </w:rPr>
              <w:t>Monit</w:t>
            </w:r>
            <w:proofErr w:type="spellEnd"/>
            <w:r w:rsidRPr="001231C9">
              <w:rPr>
                <w:color w:val="000000"/>
                <w:szCs w:val="22"/>
              </w:rPr>
              <w:t>, 19: 579-83.</w:t>
            </w:r>
          </w:p>
        </w:tc>
      </w:tr>
      <w:tr w:rsidR="006A6A5F" w:rsidRPr="001231C9" w14:paraId="30763748" w14:textId="77777777" w:rsidTr="000E3F0E">
        <w:trPr>
          <w:cantSplit/>
        </w:trPr>
        <w:tc>
          <w:tcPr>
            <w:tcW w:w="1413" w:type="dxa"/>
            <w:shd w:val="clear" w:color="auto" w:fill="auto"/>
            <w:noWrap/>
            <w:vAlign w:val="center"/>
            <w:hideMark/>
          </w:tcPr>
          <w:p w14:paraId="78A01C2E" w14:textId="77777777" w:rsidR="006A6A5F" w:rsidRPr="001231C9" w:rsidRDefault="006A6A5F" w:rsidP="000E3F0E">
            <w:pPr>
              <w:jc w:val="center"/>
              <w:rPr>
                <w:color w:val="000000"/>
                <w:szCs w:val="22"/>
              </w:rPr>
            </w:pPr>
            <w:r w:rsidRPr="001231C9">
              <w:rPr>
                <w:color w:val="000000"/>
                <w:szCs w:val="22"/>
              </w:rPr>
              <w:t>76940</w:t>
            </w:r>
          </w:p>
        </w:tc>
        <w:tc>
          <w:tcPr>
            <w:tcW w:w="8080" w:type="dxa"/>
            <w:shd w:val="clear" w:color="auto" w:fill="auto"/>
            <w:vAlign w:val="bottom"/>
            <w:hideMark/>
          </w:tcPr>
          <w:p w14:paraId="3165FBB6" w14:textId="77777777" w:rsidR="006A6A5F" w:rsidRPr="001231C9" w:rsidRDefault="006A6A5F" w:rsidP="000E3F0E">
            <w:pPr>
              <w:rPr>
                <w:color w:val="000000"/>
                <w:szCs w:val="22"/>
              </w:rPr>
            </w:pPr>
            <w:r w:rsidRPr="001231C9">
              <w:rPr>
                <w:color w:val="000000"/>
                <w:szCs w:val="22"/>
              </w:rPr>
              <w:t xml:space="preserve">Maxwell NM, Nevin RL, Stahl S, et al (2015). Prolonged neuropsychiatric effects following management of chloroquine intoxication with psychotropic polypharmacy. </w:t>
            </w:r>
            <w:proofErr w:type="spellStart"/>
            <w:r w:rsidRPr="001231C9">
              <w:rPr>
                <w:color w:val="000000"/>
                <w:szCs w:val="22"/>
              </w:rPr>
              <w:t>Clin</w:t>
            </w:r>
            <w:proofErr w:type="spellEnd"/>
            <w:r w:rsidRPr="001231C9">
              <w:rPr>
                <w:color w:val="000000"/>
                <w:szCs w:val="22"/>
              </w:rPr>
              <w:t xml:space="preserve"> Case Rep, 3(6): 379-387.</w:t>
            </w:r>
          </w:p>
        </w:tc>
      </w:tr>
      <w:tr w:rsidR="006A6A5F" w:rsidRPr="001231C9" w14:paraId="33E82E50" w14:textId="77777777" w:rsidTr="000E3F0E">
        <w:trPr>
          <w:cantSplit/>
        </w:trPr>
        <w:tc>
          <w:tcPr>
            <w:tcW w:w="1413" w:type="dxa"/>
            <w:shd w:val="clear" w:color="auto" w:fill="auto"/>
            <w:noWrap/>
            <w:vAlign w:val="center"/>
            <w:hideMark/>
          </w:tcPr>
          <w:p w14:paraId="4233878B" w14:textId="77777777" w:rsidR="006A6A5F" w:rsidRPr="001231C9" w:rsidRDefault="006A6A5F" w:rsidP="000E3F0E">
            <w:pPr>
              <w:jc w:val="center"/>
              <w:rPr>
                <w:color w:val="000000"/>
                <w:szCs w:val="22"/>
              </w:rPr>
            </w:pPr>
            <w:r w:rsidRPr="001231C9">
              <w:rPr>
                <w:color w:val="000000"/>
                <w:szCs w:val="22"/>
              </w:rPr>
              <w:t>69474</w:t>
            </w:r>
          </w:p>
        </w:tc>
        <w:tc>
          <w:tcPr>
            <w:tcW w:w="8080" w:type="dxa"/>
            <w:shd w:val="clear" w:color="auto" w:fill="auto"/>
            <w:vAlign w:val="bottom"/>
            <w:hideMark/>
          </w:tcPr>
          <w:p w14:paraId="4DE3B6C9" w14:textId="77777777" w:rsidR="006A6A5F" w:rsidRPr="001231C9" w:rsidRDefault="006A6A5F" w:rsidP="000E3F0E">
            <w:pPr>
              <w:rPr>
                <w:color w:val="000000"/>
                <w:szCs w:val="22"/>
              </w:rPr>
            </w:pPr>
            <w:r w:rsidRPr="001231C9">
              <w:rPr>
                <w:color w:val="000000"/>
                <w:szCs w:val="22"/>
              </w:rPr>
              <w:t>McCarthy S (2015). Malaria prevention, mefloquine neurotoxicity, neuropsychiatric illness, and risk-benefit analysis in the Australian Defence Force. Journal of Parasitology Research, ID287651: 23 pages.</w:t>
            </w:r>
          </w:p>
        </w:tc>
      </w:tr>
      <w:tr w:rsidR="006A6A5F" w:rsidRPr="001231C9" w14:paraId="5B339D83" w14:textId="77777777" w:rsidTr="000E3F0E">
        <w:trPr>
          <w:cantSplit/>
        </w:trPr>
        <w:tc>
          <w:tcPr>
            <w:tcW w:w="1413" w:type="dxa"/>
            <w:shd w:val="clear" w:color="auto" w:fill="auto"/>
            <w:noWrap/>
            <w:vAlign w:val="center"/>
            <w:hideMark/>
          </w:tcPr>
          <w:p w14:paraId="6D457F1D" w14:textId="77777777" w:rsidR="006A6A5F" w:rsidRPr="001231C9" w:rsidRDefault="006A6A5F" w:rsidP="000E3F0E">
            <w:pPr>
              <w:jc w:val="center"/>
              <w:rPr>
                <w:color w:val="000000"/>
                <w:szCs w:val="22"/>
              </w:rPr>
            </w:pPr>
            <w:r w:rsidRPr="001231C9">
              <w:rPr>
                <w:color w:val="000000"/>
                <w:szCs w:val="22"/>
              </w:rPr>
              <w:t>81260</w:t>
            </w:r>
          </w:p>
        </w:tc>
        <w:tc>
          <w:tcPr>
            <w:tcW w:w="8080" w:type="dxa"/>
            <w:shd w:val="clear" w:color="auto" w:fill="auto"/>
            <w:vAlign w:val="bottom"/>
            <w:hideMark/>
          </w:tcPr>
          <w:p w14:paraId="1E2A6363" w14:textId="77777777" w:rsidR="006A6A5F" w:rsidRPr="001231C9" w:rsidRDefault="006A6A5F" w:rsidP="000E3F0E">
            <w:pPr>
              <w:rPr>
                <w:color w:val="000000"/>
                <w:szCs w:val="22"/>
              </w:rPr>
            </w:pPr>
            <w:r w:rsidRPr="001231C9">
              <w:rPr>
                <w:color w:val="000000"/>
                <w:szCs w:val="22"/>
              </w:rPr>
              <w:t>McEvoy K, Anton B, Chisolm MS, (2015). Depersonalization/</w:t>
            </w:r>
            <w:proofErr w:type="spellStart"/>
            <w:r w:rsidRPr="001231C9">
              <w:rPr>
                <w:color w:val="000000"/>
                <w:szCs w:val="22"/>
              </w:rPr>
              <w:t>Derealization</w:t>
            </w:r>
            <w:proofErr w:type="spellEnd"/>
            <w:r w:rsidRPr="001231C9">
              <w:rPr>
                <w:color w:val="000000"/>
                <w:szCs w:val="22"/>
              </w:rPr>
              <w:t xml:space="preserve"> Disorder After Exposure to Mefloquine. Psychosomatics, 56(1): 98-102.</w:t>
            </w:r>
          </w:p>
        </w:tc>
      </w:tr>
      <w:tr w:rsidR="006A6A5F" w:rsidRPr="001231C9" w14:paraId="0353947C" w14:textId="77777777" w:rsidTr="000E3F0E">
        <w:trPr>
          <w:cantSplit/>
        </w:trPr>
        <w:tc>
          <w:tcPr>
            <w:tcW w:w="1413" w:type="dxa"/>
            <w:shd w:val="clear" w:color="auto" w:fill="auto"/>
            <w:noWrap/>
            <w:vAlign w:val="center"/>
            <w:hideMark/>
          </w:tcPr>
          <w:p w14:paraId="662E8E8B" w14:textId="77777777" w:rsidR="006A6A5F" w:rsidRPr="001231C9" w:rsidRDefault="006A6A5F" w:rsidP="000E3F0E">
            <w:pPr>
              <w:jc w:val="center"/>
              <w:rPr>
                <w:color w:val="000000"/>
                <w:szCs w:val="22"/>
              </w:rPr>
            </w:pPr>
            <w:r w:rsidRPr="001231C9">
              <w:rPr>
                <w:color w:val="000000"/>
                <w:szCs w:val="22"/>
              </w:rPr>
              <w:t>75198</w:t>
            </w:r>
          </w:p>
        </w:tc>
        <w:tc>
          <w:tcPr>
            <w:tcW w:w="8080" w:type="dxa"/>
            <w:shd w:val="clear" w:color="auto" w:fill="auto"/>
            <w:vAlign w:val="bottom"/>
            <w:hideMark/>
          </w:tcPr>
          <w:p w14:paraId="231F502D" w14:textId="77777777" w:rsidR="006A6A5F" w:rsidRPr="001231C9" w:rsidRDefault="006A6A5F" w:rsidP="000E3F0E">
            <w:pPr>
              <w:rPr>
                <w:color w:val="000000"/>
                <w:szCs w:val="22"/>
              </w:rPr>
            </w:pPr>
            <w:r w:rsidRPr="001231C9">
              <w:rPr>
                <w:color w:val="000000"/>
                <w:szCs w:val="22"/>
              </w:rPr>
              <w:t xml:space="preserve">Meier CR, Wilcock K, </w:t>
            </w:r>
            <w:proofErr w:type="spellStart"/>
            <w:r w:rsidRPr="001231C9">
              <w:rPr>
                <w:color w:val="000000"/>
                <w:szCs w:val="22"/>
              </w:rPr>
              <w:t>Jick</w:t>
            </w:r>
            <w:proofErr w:type="spellEnd"/>
            <w:r w:rsidRPr="001231C9">
              <w:rPr>
                <w:color w:val="000000"/>
                <w:szCs w:val="22"/>
              </w:rPr>
              <w:t xml:space="preserve"> SS (2004). The risk of severe depression, psychosis or panic attacks with prophylactic </w:t>
            </w:r>
            <w:proofErr w:type="spellStart"/>
            <w:r w:rsidRPr="001231C9">
              <w:rPr>
                <w:color w:val="000000"/>
                <w:szCs w:val="22"/>
              </w:rPr>
              <w:t>antimalarials</w:t>
            </w:r>
            <w:proofErr w:type="spellEnd"/>
            <w:r w:rsidRPr="001231C9">
              <w:rPr>
                <w:color w:val="000000"/>
                <w:szCs w:val="22"/>
              </w:rPr>
              <w:t xml:space="preserve">. Drug </w:t>
            </w:r>
            <w:proofErr w:type="spellStart"/>
            <w:r w:rsidRPr="001231C9">
              <w:rPr>
                <w:color w:val="000000"/>
                <w:szCs w:val="22"/>
              </w:rPr>
              <w:t>Saf</w:t>
            </w:r>
            <w:proofErr w:type="spellEnd"/>
            <w:r w:rsidRPr="001231C9">
              <w:rPr>
                <w:color w:val="000000"/>
                <w:szCs w:val="22"/>
              </w:rPr>
              <w:t>, 27(3): 203-13.</w:t>
            </w:r>
          </w:p>
        </w:tc>
      </w:tr>
      <w:tr w:rsidR="006A6A5F" w:rsidRPr="001231C9" w14:paraId="3E5EB637" w14:textId="77777777" w:rsidTr="000E3F0E">
        <w:trPr>
          <w:cantSplit/>
        </w:trPr>
        <w:tc>
          <w:tcPr>
            <w:tcW w:w="1413" w:type="dxa"/>
            <w:shd w:val="clear" w:color="auto" w:fill="auto"/>
            <w:noWrap/>
            <w:vAlign w:val="center"/>
            <w:hideMark/>
          </w:tcPr>
          <w:p w14:paraId="38740D1F" w14:textId="77777777" w:rsidR="006A6A5F" w:rsidRPr="001231C9" w:rsidRDefault="006A6A5F" w:rsidP="000E3F0E">
            <w:pPr>
              <w:jc w:val="center"/>
              <w:rPr>
                <w:color w:val="000000"/>
                <w:szCs w:val="22"/>
              </w:rPr>
            </w:pPr>
            <w:r w:rsidRPr="001231C9">
              <w:rPr>
                <w:color w:val="000000"/>
                <w:szCs w:val="22"/>
              </w:rPr>
              <w:t>81517</w:t>
            </w:r>
          </w:p>
        </w:tc>
        <w:tc>
          <w:tcPr>
            <w:tcW w:w="8080" w:type="dxa"/>
            <w:shd w:val="clear" w:color="auto" w:fill="auto"/>
            <w:vAlign w:val="bottom"/>
            <w:hideMark/>
          </w:tcPr>
          <w:p w14:paraId="57284151" w14:textId="77777777" w:rsidR="006A6A5F" w:rsidRPr="001231C9" w:rsidRDefault="006A6A5F" w:rsidP="000E3F0E">
            <w:pPr>
              <w:rPr>
                <w:color w:val="000000"/>
                <w:szCs w:val="22"/>
              </w:rPr>
            </w:pPr>
            <w:proofErr w:type="spellStart"/>
            <w:r w:rsidRPr="001231C9">
              <w:rPr>
                <w:color w:val="000000"/>
                <w:szCs w:val="22"/>
              </w:rPr>
              <w:t>Milatovic</w:t>
            </w:r>
            <w:proofErr w:type="spellEnd"/>
            <w:r w:rsidRPr="001231C9">
              <w:rPr>
                <w:color w:val="000000"/>
                <w:szCs w:val="22"/>
              </w:rPr>
              <w:t xml:space="preserve"> D, Jenkins JW, Hood JE, et al (2011). Mefloquine neurotoxicity is mediated by non-receptor tyrosine kinase. </w:t>
            </w:r>
            <w:proofErr w:type="spellStart"/>
            <w:r w:rsidRPr="001231C9">
              <w:rPr>
                <w:color w:val="000000"/>
                <w:szCs w:val="22"/>
              </w:rPr>
              <w:t>Neurotoxicology</w:t>
            </w:r>
            <w:proofErr w:type="spellEnd"/>
            <w:r w:rsidRPr="001231C9">
              <w:rPr>
                <w:color w:val="000000"/>
                <w:szCs w:val="22"/>
              </w:rPr>
              <w:t>, 32(5): 578-85.</w:t>
            </w:r>
          </w:p>
        </w:tc>
      </w:tr>
      <w:tr w:rsidR="006A6A5F" w:rsidRPr="001231C9" w14:paraId="1AC83A90" w14:textId="77777777" w:rsidTr="000E3F0E">
        <w:trPr>
          <w:cantSplit/>
        </w:trPr>
        <w:tc>
          <w:tcPr>
            <w:tcW w:w="1413" w:type="dxa"/>
            <w:shd w:val="clear" w:color="auto" w:fill="auto"/>
            <w:noWrap/>
            <w:vAlign w:val="center"/>
            <w:hideMark/>
          </w:tcPr>
          <w:p w14:paraId="52812423" w14:textId="77777777" w:rsidR="006A6A5F" w:rsidRPr="001231C9" w:rsidRDefault="006A6A5F" w:rsidP="000E3F0E">
            <w:pPr>
              <w:jc w:val="center"/>
              <w:rPr>
                <w:color w:val="000000"/>
                <w:szCs w:val="22"/>
              </w:rPr>
            </w:pPr>
            <w:r w:rsidRPr="001231C9">
              <w:rPr>
                <w:color w:val="000000"/>
                <w:szCs w:val="22"/>
              </w:rPr>
              <w:t>80392</w:t>
            </w:r>
          </w:p>
        </w:tc>
        <w:tc>
          <w:tcPr>
            <w:tcW w:w="8080" w:type="dxa"/>
            <w:shd w:val="clear" w:color="auto" w:fill="auto"/>
            <w:vAlign w:val="bottom"/>
            <w:hideMark/>
          </w:tcPr>
          <w:p w14:paraId="3F54297B" w14:textId="77777777" w:rsidR="006A6A5F" w:rsidRPr="001231C9" w:rsidRDefault="006A6A5F" w:rsidP="000E3F0E">
            <w:pPr>
              <w:rPr>
                <w:color w:val="000000"/>
                <w:szCs w:val="22"/>
              </w:rPr>
            </w:pPr>
            <w:proofErr w:type="spellStart"/>
            <w:r w:rsidRPr="001231C9">
              <w:rPr>
                <w:color w:val="000000"/>
                <w:szCs w:val="22"/>
              </w:rPr>
              <w:t>Murdin</w:t>
            </w:r>
            <w:proofErr w:type="spellEnd"/>
            <w:r w:rsidRPr="001231C9">
              <w:rPr>
                <w:color w:val="000000"/>
                <w:szCs w:val="22"/>
              </w:rPr>
              <w:t xml:space="preserve"> L, </w:t>
            </w:r>
            <w:proofErr w:type="spellStart"/>
            <w:r w:rsidRPr="001231C9">
              <w:rPr>
                <w:color w:val="000000"/>
                <w:szCs w:val="22"/>
              </w:rPr>
              <w:t>Schilder</w:t>
            </w:r>
            <w:proofErr w:type="spellEnd"/>
            <w:r w:rsidRPr="001231C9">
              <w:rPr>
                <w:color w:val="000000"/>
                <w:szCs w:val="22"/>
              </w:rPr>
              <w:t xml:space="preserve"> AGM (2014). Epidemiology of balance symptoms and disorders in the community: a systematic review. Otology &amp; </w:t>
            </w:r>
            <w:proofErr w:type="spellStart"/>
            <w:r w:rsidRPr="001231C9">
              <w:rPr>
                <w:color w:val="000000"/>
                <w:szCs w:val="22"/>
              </w:rPr>
              <w:t>Neurotology</w:t>
            </w:r>
            <w:proofErr w:type="spellEnd"/>
            <w:r w:rsidRPr="001231C9">
              <w:rPr>
                <w:color w:val="000000"/>
                <w:szCs w:val="22"/>
              </w:rPr>
              <w:t>, 36: 387-92.</w:t>
            </w:r>
          </w:p>
        </w:tc>
      </w:tr>
      <w:tr w:rsidR="006A6A5F" w:rsidRPr="001231C9" w14:paraId="4AF75280" w14:textId="77777777" w:rsidTr="000E3F0E">
        <w:trPr>
          <w:cantSplit/>
        </w:trPr>
        <w:tc>
          <w:tcPr>
            <w:tcW w:w="1413" w:type="dxa"/>
            <w:shd w:val="clear" w:color="auto" w:fill="auto"/>
            <w:noWrap/>
            <w:vAlign w:val="center"/>
            <w:hideMark/>
          </w:tcPr>
          <w:p w14:paraId="0E7B68DA" w14:textId="77777777" w:rsidR="006A6A5F" w:rsidRPr="001231C9" w:rsidRDefault="006A6A5F" w:rsidP="000E3F0E">
            <w:pPr>
              <w:jc w:val="center"/>
              <w:rPr>
                <w:color w:val="000000"/>
                <w:szCs w:val="22"/>
              </w:rPr>
            </w:pPr>
            <w:r w:rsidRPr="001231C9">
              <w:rPr>
                <w:color w:val="000000"/>
                <w:szCs w:val="22"/>
              </w:rPr>
              <w:t>40759</w:t>
            </w:r>
          </w:p>
        </w:tc>
        <w:tc>
          <w:tcPr>
            <w:tcW w:w="8080" w:type="dxa"/>
            <w:shd w:val="clear" w:color="auto" w:fill="auto"/>
            <w:vAlign w:val="bottom"/>
            <w:hideMark/>
          </w:tcPr>
          <w:p w14:paraId="2F723210" w14:textId="77777777" w:rsidR="006A6A5F" w:rsidRPr="001231C9" w:rsidRDefault="006A6A5F" w:rsidP="000E3F0E">
            <w:pPr>
              <w:rPr>
                <w:color w:val="000000"/>
                <w:szCs w:val="22"/>
              </w:rPr>
            </w:pPr>
            <w:r w:rsidRPr="001231C9">
              <w:rPr>
                <w:color w:val="000000"/>
                <w:szCs w:val="22"/>
              </w:rPr>
              <w:t>Naranjo CA, Busto U, Sellers EM, et al (1981). A method for estimating the probability of adverse drug reactions. Clinical Pharmacology &amp; Therapeutics, 30(2): 239-45.</w:t>
            </w:r>
          </w:p>
        </w:tc>
      </w:tr>
      <w:tr w:rsidR="006A6A5F" w:rsidRPr="001231C9" w14:paraId="0514F536" w14:textId="77777777" w:rsidTr="000E3F0E">
        <w:trPr>
          <w:cantSplit/>
        </w:trPr>
        <w:tc>
          <w:tcPr>
            <w:tcW w:w="1413" w:type="dxa"/>
            <w:shd w:val="clear" w:color="auto" w:fill="auto"/>
            <w:noWrap/>
            <w:vAlign w:val="center"/>
            <w:hideMark/>
          </w:tcPr>
          <w:p w14:paraId="0D24C54E" w14:textId="77777777" w:rsidR="006A6A5F" w:rsidRPr="001231C9" w:rsidRDefault="006A6A5F" w:rsidP="000E3F0E">
            <w:pPr>
              <w:jc w:val="center"/>
              <w:rPr>
                <w:color w:val="000000"/>
                <w:szCs w:val="22"/>
              </w:rPr>
            </w:pPr>
            <w:r w:rsidRPr="001231C9">
              <w:rPr>
                <w:color w:val="000000"/>
                <w:szCs w:val="22"/>
              </w:rPr>
              <w:t>78015</w:t>
            </w:r>
          </w:p>
        </w:tc>
        <w:tc>
          <w:tcPr>
            <w:tcW w:w="8080" w:type="dxa"/>
            <w:shd w:val="clear" w:color="auto" w:fill="auto"/>
            <w:vAlign w:val="bottom"/>
            <w:hideMark/>
          </w:tcPr>
          <w:p w14:paraId="56B1FBC7" w14:textId="77777777" w:rsidR="006A6A5F" w:rsidRPr="001231C9" w:rsidRDefault="006A6A5F" w:rsidP="000E3F0E">
            <w:pPr>
              <w:rPr>
                <w:color w:val="000000"/>
                <w:szCs w:val="22"/>
              </w:rPr>
            </w:pPr>
            <w:r w:rsidRPr="001231C9">
              <w:rPr>
                <w:color w:val="000000"/>
                <w:szCs w:val="22"/>
              </w:rPr>
              <w:t xml:space="preserve">Nasveld P, Kitchener S, </w:t>
            </w:r>
            <w:proofErr w:type="spellStart"/>
            <w:r w:rsidRPr="001231C9">
              <w:rPr>
                <w:color w:val="000000"/>
                <w:szCs w:val="22"/>
              </w:rPr>
              <w:t>Edstein</w:t>
            </w:r>
            <w:proofErr w:type="spellEnd"/>
            <w:r w:rsidRPr="001231C9">
              <w:rPr>
                <w:color w:val="000000"/>
                <w:szCs w:val="22"/>
              </w:rPr>
              <w:t xml:space="preserve"> M, et al (2002). Comparison of tafenoquine (WR238605) and primaquine in the post-exposure (terminal) prophylaxis of vivax malaria in Australian Defence Force personnel. Trans R </w:t>
            </w:r>
            <w:proofErr w:type="spellStart"/>
            <w:r w:rsidRPr="001231C9">
              <w:rPr>
                <w:color w:val="000000"/>
                <w:szCs w:val="22"/>
              </w:rPr>
              <w:t>Soc</w:t>
            </w:r>
            <w:proofErr w:type="spellEnd"/>
            <w:r w:rsidRPr="001231C9">
              <w:rPr>
                <w:color w:val="000000"/>
                <w:szCs w:val="22"/>
              </w:rPr>
              <w:t xml:space="preserve"> Trop Med </w:t>
            </w:r>
            <w:proofErr w:type="spellStart"/>
            <w:r w:rsidRPr="001231C9">
              <w:rPr>
                <w:color w:val="000000"/>
                <w:szCs w:val="22"/>
              </w:rPr>
              <w:t>Hyg</w:t>
            </w:r>
            <w:proofErr w:type="spellEnd"/>
            <w:r w:rsidRPr="001231C9">
              <w:rPr>
                <w:color w:val="000000"/>
                <w:szCs w:val="22"/>
              </w:rPr>
              <w:t>, 96(6): 683-4.</w:t>
            </w:r>
          </w:p>
        </w:tc>
      </w:tr>
      <w:tr w:rsidR="006A6A5F" w:rsidRPr="001231C9" w14:paraId="6B8B19D3" w14:textId="77777777" w:rsidTr="000E3F0E">
        <w:trPr>
          <w:cantSplit/>
        </w:trPr>
        <w:tc>
          <w:tcPr>
            <w:tcW w:w="1413" w:type="dxa"/>
            <w:shd w:val="clear" w:color="auto" w:fill="auto"/>
            <w:noWrap/>
            <w:vAlign w:val="center"/>
            <w:hideMark/>
          </w:tcPr>
          <w:p w14:paraId="100FCC05" w14:textId="77777777" w:rsidR="006A6A5F" w:rsidRPr="001231C9" w:rsidRDefault="006A6A5F" w:rsidP="000E3F0E">
            <w:pPr>
              <w:jc w:val="center"/>
              <w:rPr>
                <w:color w:val="000000"/>
                <w:szCs w:val="22"/>
              </w:rPr>
            </w:pPr>
            <w:r w:rsidRPr="001231C9">
              <w:rPr>
                <w:color w:val="000000"/>
                <w:szCs w:val="22"/>
              </w:rPr>
              <w:t>77907</w:t>
            </w:r>
          </w:p>
        </w:tc>
        <w:tc>
          <w:tcPr>
            <w:tcW w:w="8080" w:type="dxa"/>
            <w:shd w:val="clear" w:color="auto" w:fill="auto"/>
            <w:vAlign w:val="bottom"/>
            <w:hideMark/>
          </w:tcPr>
          <w:p w14:paraId="4912A685" w14:textId="77777777" w:rsidR="006A6A5F" w:rsidRPr="001231C9" w:rsidRDefault="006A6A5F" w:rsidP="000E3F0E">
            <w:pPr>
              <w:rPr>
                <w:color w:val="000000"/>
                <w:szCs w:val="22"/>
              </w:rPr>
            </w:pPr>
            <w:proofErr w:type="spellStart"/>
            <w:r w:rsidRPr="001231C9">
              <w:rPr>
                <w:color w:val="000000"/>
                <w:szCs w:val="22"/>
              </w:rPr>
              <w:t>Nasveld</w:t>
            </w:r>
            <w:proofErr w:type="spellEnd"/>
            <w:r w:rsidRPr="001231C9">
              <w:rPr>
                <w:color w:val="000000"/>
                <w:szCs w:val="22"/>
              </w:rPr>
              <w:t xml:space="preserve"> PE, </w:t>
            </w:r>
            <w:proofErr w:type="spellStart"/>
            <w:r w:rsidRPr="001231C9">
              <w:rPr>
                <w:color w:val="000000"/>
                <w:szCs w:val="22"/>
              </w:rPr>
              <w:t>Edstein</w:t>
            </w:r>
            <w:proofErr w:type="spellEnd"/>
            <w:r w:rsidRPr="001231C9">
              <w:rPr>
                <w:color w:val="000000"/>
                <w:szCs w:val="22"/>
              </w:rPr>
              <w:t xml:space="preserve"> MD, Reid M, et al (2010). Randomized, double-blind study of the safety, tolerability, and efficacy of tafenoquine versus mefloquine for malaria prophylaxis in nonimmune subjects. </w:t>
            </w:r>
            <w:proofErr w:type="spellStart"/>
            <w:r w:rsidRPr="001231C9">
              <w:rPr>
                <w:color w:val="000000"/>
                <w:szCs w:val="22"/>
              </w:rPr>
              <w:t>Antimicrob</w:t>
            </w:r>
            <w:proofErr w:type="spellEnd"/>
            <w:r w:rsidRPr="001231C9">
              <w:rPr>
                <w:color w:val="000000"/>
                <w:szCs w:val="22"/>
              </w:rPr>
              <w:t xml:space="preserve"> Agents </w:t>
            </w:r>
            <w:proofErr w:type="spellStart"/>
            <w:r w:rsidRPr="001231C9">
              <w:rPr>
                <w:color w:val="000000"/>
                <w:szCs w:val="22"/>
              </w:rPr>
              <w:t>Chemother</w:t>
            </w:r>
            <w:proofErr w:type="spellEnd"/>
            <w:r w:rsidRPr="001231C9">
              <w:rPr>
                <w:color w:val="000000"/>
                <w:szCs w:val="22"/>
              </w:rPr>
              <w:t>, 54(2): 792-8.</w:t>
            </w:r>
          </w:p>
        </w:tc>
      </w:tr>
      <w:tr w:rsidR="006A6A5F" w:rsidRPr="001231C9" w14:paraId="5DCA2430" w14:textId="77777777" w:rsidTr="000E3F0E">
        <w:trPr>
          <w:cantSplit/>
        </w:trPr>
        <w:tc>
          <w:tcPr>
            <w:tcW w:w="1413" w:type="dxa"/>
            <w:shd w:val="clear" w:color="auto" w:fill="auto"/>
            <w:noWrap/>
            <w:vAlign w:val="center"/>
            <w:hideMark/>
          </w:tcPr>
          <w:p w14:paraId="526AA7DE" w14:textId="77777777" w:rsidR="006A6A5F" w:rsidRPr="001231C9" w:rsidRDefault="006A6A5F" w:rsidP="000E3F0E">
            <w:pPr>
              <w:jc w:val="center"/>
              <w:rPr>
                <w:color w:val="000000"/>
                <w:szCs w:val="22"/>
              </w:rPr>
            </w:pPr>
            <w:r w:rsidRPr="001231C9">
              <w:rPr>
                <w:color w:val="000000"/>
                <w:szCs w:val="22"/>
              </w:rPr>
              <w:t>70869</w:t>
            </w:r>
          </w:p>
        </w:tc>
        <w:tc>
          <w:tcPr>
            <w:tcW w:w="8080" w:type="dxa"/>
            <w:shd w:val="clear" w:color="auto" w:fill="auto"/>
            <w:vAlign w:val="bottom"/>
            <w:hideMark/>
          </w:tcPr>
          <w:p w14:paraId="60B6BEFF" w14:textId="77777777" w:rsidR="006A6A5F" w:rsidRPr="001231C9" w:rsidRDefault="006A6A5F" w:rsidP="000E3F0E">
            <w:pPr>
              <w:rPr>
                <w:color w:val="000000"/>
                <w:szCs w:val="22"/>
              </w:rPr>
            </w:pPr>
            <w:r w:rsidRPr="001231C9">
              <w:rPr>
                <w:color w:val="000000"/>
                <w:szCs w:val="22"/>
              </w:rPr>
              <w:t xml:space="preserve">National </w:t>
            </w:r>
            <w:proofErr w:type="spellStart"/>
            <w:r w:rsidRPr="001231C9">
              <w:rPr>
                <w:color w:val="000000"/>
                <w:szCs w:val="22"/>
              </w:rPr>
              <w:t>Casemix</w:t>
            </w:r>
            <w:proofErr w:type="spellEnd"/>
            <w:r w:rsidRPr="001231C9">
              <w:rPr>
                <w:color w:val="000000"/>
                <w:szCs w:val="22"/>
              </w:rPr>
              <w:t xml:space="preserve"> and Classification Centre (2013). Tabular List. The International Statistical Classification of Diseases and Related Health Problems, 8th Edition, 10th Revision. Australian Health Services Research Institute, University of Wollongong, Sydney.</w:t>
            </w:r>
          </w:p>
        </w:tc>
      </w:tr>
      <w:tr w:rsidR="006A6A5F" w:rsidRPr="001231C9" w14:paraId="26CA5117" w14:textId="77777777" w:rsidTr="000E3F0E">
        <w:trPr>
          <w:cantSplit/>
        </w:trPr>
        <w:tc>
          <w:tcPr>
            <w:tcW w:w="1413" w:type="dxa"/>
            <w:shd w:val="clear" w:color="auto" w:fill="auto"/>
            <w:noWrap/>
            <w:vAlign w:val="center"/>
            <w:hideMark/>
          </w:tcPr>
          <w:p w14:paraId="2EDB2054" w14:textId="77777777" w:rsidR="006A6A5F" w:rsidRPr="001231C9" w:rsidRDefault="006A6A5F" w:rsidP="000E3F0E">
            <w:pPr>
              <w:jc w:val="center"/>
              <w:rPr>
                <w:color w:val="000000"/>
                <w:szCs w:val="22"/>
              </w:rPr>
            </w:pPr>
            <w:r w:rsidRPr="001231C9">
              <w:rPr>
                <w:color w:val="000000"/>
                <w:szCs w:val="22"/>
              </w:rPr>
              <w:t>81518</w:t>
            </w:r>
          </w:p>
        </w:tc>
        <w:tc>
          <w:tcPr>
            <w:tcW w:w="8080" w:type="dxa"/>
            <w:shd w:val="clear" w:color="auto" w:fill="auto"/>
            <w:vAlign w:val="bottom"/>
            <w:hideMark/>
          </w:tcPr>
          <w:p w14:paraId="2773F6A8" w14:textId="77777777" w:rsidR="006A6A5F" w:rsidRPr="001231C9" w:rsidRDefault="006A6A5F" w:rsidP="000E3F0E">
            <w:pPr>
              <w:rPr>
                <w:color w:val="000000"/>
                <w:szCs w:val="22"/>
              </w:rPr>
            </w:pPr>
            <w:r w:rsidRPr="001231C9">
              <w:rPr>
                <w:color w:val="000000"/>
                <w:szCs w:val="22"/>
              </w:rPr>
              <w:t>Nevin R, Ritchie E (2016). The mefloquine toxicity syndrome: A significant potential confounder in the diagnosis and management of PTSD and other chronic deployment-related neuropsychiatric disorders. Post-traumatic stress disorder, 19, : 257-78.</w:t>
            </w:r>
          </w:p>
        </w:tc>
      </w:tr>
      <w:tr w:rsidR="006A6A5F" w:rsidRPr="001231C9" w14:paraId="6809B66C" w14:textId="77777777" w:rsidTr="000E3F0E">
        <w:trPr>
          <w:cantSplit/>
        </w:trPr>
        <w:tc>
          <w:tcPr>
            <w:tcW w:w="1413" w:type="dxa"/>
            <w:shd w:val="clear" w:color="auto" w:fill="auto"/>
            <w:noWrap/>
            <w:vAlign w:val="center"/>
            <w:hideMark/>
          </w:tcPr>
          <w:p w14:paraId="3A95B2D4" w14:textId="77777777" w:rsidR="006A6A5F" w:rsidRPr="001231C9" w:rsidRDefault="006A6A5F" w:rsidP="000E3F0E">
            <w:pPr>
              <w:jc w:val="center"/>
              <w:rPr>
                <w:color w:val="000000"/>
                <w:szCs w:val="22"/>
              </w:rPr>
            </w:pPr>
            <w:r w:rsidRPr="001231C9">
              <w:rPr>
                <w:color w:val="000000"/>
                <w:szCs w:val="22"/>
              </w:rPr>
              <w:t>66538</w:t>
            </w:r>
          </w:p>
        </w:tc>
        <w:tc>
          <w:tcPr>
            <w:tcW w:w="8080" w:type="dxa"/>
            <w:shd w:val="clear" w:color="auto" w:fill="auto"/>
            <w:vAlign w:val="bottom"/>
            <w:hideMark/>
          </w:tcPr>
          <w:p w14:paraId="1BFA2FD5" w14:textId="77777777" w:rsidR="006A6A5F" w:rsidRPr="001231C9" w:rsidRDefault="006A6A5F" w:rsidP="000E3F0E">
            <w:pPr>
              <w:rPr>
                <w:color w:val="000000"/>
                <w:szCs w:val="22"/>
              </w:rPr>
            </w:pPr>
            <w:r w:rsidRPr="001231C9">
              <w:rPr>
                <w:color w:val="000000"/>
                <w:szCs w:val="22"/>
              </w:rPr>
              <w:t>Nevin RL (2009). Epileptogenic potential of mefloquine chemoprophylaxis: a pathogenic hypothesis. Malaria Journal, 8: 188.</w:t>
            </w:r>
          </w:p>
        </w:tc>
      </w:tr>
      <w:tr w:rsidR="006A6A5F" w:rsidRPr="001231C9" w14:paraId="1600E940" w14:textId="77777777" w:rsidTr="000E3F0E">
        <w:trPr>
          <w:cantSplit/>
        </w:trPr>
        <w:tc>
          <w:tcPr>
            <w:tcW w:w="1413" w:type="dxa"/>
            <w:shd w:val="clear" w:color="auto" w:fill="auto"/>
            <w:noWrap/>
            <w:vAlign w:val="center"/>
            <w:hideMark/>
          </w:tcPr>
          <w:p w14:paraId="57A84857" w14:textId="77777777" w:rsidR="006A6A5F" w:rsidRPr="001231C9" w:rsidRDefault="006A6A5F" w:rsidP="000E3F0E">
            <w:pPr>
              <w:jc w:val="center"/>
              <w:rPr>
                <w:color w:val="000000"/>
                <w:szCs w:val="22"/>
              </w:rPr>
            </w:pPr>
            <w:r w:rsidRPr="001231C9">
              <w:rPr>
                <w:color w:val="000000"/>
                <w:szCs w:val="22"/>
              </w:rPr>
              <w:t>77908</w:t>
            </w:r>
          </w:p>
        </w:tc>
        <w:tc>
          <w:tcPr>
            <w:tcW w:w="8080" w:type="dxa"/>
            <w:shd w:val="clear" w:color="auto" w:fill="auto"/>
            <w:vAlign w:val="bottom"/>
            <w:hideMark/>
          </w:tcPr>
          <w:p w14:paraId="6DEC1C27" w14:textId="77777777" w:rsidR="006A6A5F" w:rsidRPr="001231C9" w:rsidRDefault="006A6A5F" w:rsidP="000E3F0E">
            <w:pPr>
              <w:rPr>
                <w:color w:val="000000"/>
                <w:szCs w:val="22"/>
              </w:rPr>
            </w:pPr>
            <w:r w:rsidRPr="001231C9">
              <w:rPr>
                <w:color w:val="000000"/>
                <w:szCs w:val="22"/>
              </w:rPr>
              <w:t xml:space="preserve">Nevin RL (2010). Mefloquine prescriptions in the presence of contraindications: prevalence among US military personnel deployed to Afghanistan, 2007. </w:t>
            </w:r>
            <w:proofErr w:type="spellStart"/>
            <w:r w:rsidRPr="001231C9">
              <w:rPr>
                <w:color w:val="000000"/>
                <w:szCs w:val="22"/>
              </w:rPr>
              <w:t>Pharmacoepidemiol</w:t>
            </w:r>
            <w:proofErr w:type="spellEnd"/>
            <w:r w:rsidRPr="001231C9">
              <w:rPr>
                <w:color w:val="000000"/>
                <w:szCs w:val="22"/>
              </w:rPr>
              <w:t xml:space="preserve"> Drug </w:t>
            </w:r>
            <w:proofErr w:type="spellStart"/>
            <w:r w:rsidRPr="001231C9">
              <w:rPr>
                <w:color w:val="000000"/>
                <w:szCs w:val="22"/>
              </w:rPr>
              <w:t>Saf</w:t>
            </w:r>
            <w:proofErr w:type="spellEnd"/>
            <w:r w:rsidRPr="001231C9">
              <w:rPr>
                <w:color w:val="000000"/>
                <w:szCs w:val="22"/>
              </w:rPr>
              <w:t>, 19: 206-10.</w:t>
            </w:r>
          </w:p>
        </w:tc>
      </w:tr>
      <w:tr w:rsidR="006A6A5F" w:rsidRPr="001231C9" w14:paraId="624689F1" w14:textId="77777777" w:rsidTr="000E3F0E">
        <w:trPr>
          <w:cantSplit/>
        </w:trPr>
        <w:tc>
          <w:tcPr>
            <w:tcW w:w="1413" w:type="dxa"/>
            <w:shd w:val="clear" w:color="auto" w:fill="auto"/>
            <w:noWrap/>
            <w:vAlign w:val="center"/>
            <w:hideMark/>
          </w:tcPr>
          <w:p w14:paraId="3C00F113" w14:textId="77777777" w:rsidR="006A6A5F" w:rsidRPr="001231C9" w:rsidRDefault="006A6A5F" w:rsidP="000E3F0E">
            <w:pPr>
              <w:jc w:val="center"/>
              <w:rPr>
                <w:color w:val="000000"/>
                <w:szCs w:val="22"/>
              </w:rPr>
            </w:pPr>
            <w:r w:rsidRPr="001231C9">
              <w:rPr>
                <w:color w:val="000000"/>
                <w:szCs w:val="22"/>
              </w:rPr>
              <w:t>75200</w:t>
            </w:r>
          </w:p>
        </w:tc>
        <w:tc>
          <w:tcPr>
            <w:tcW w:w="8080" w:type="dxa"/>
            <w:shd w:val="clear" w:color="auto" w:fill="auto"/>
            <w:vAlign w:val="bottom"/>
            <w:hideMark/>
          </w:tcPr>
          <w:p w14:paraId="0B2D41EB" w14:textId="77777777" w:rsidR="006A6A5F" w:rsidRPr="001231C9" w:rsidRDefault="006A6A5F" w:rsidP="000E3F0E">
            <w:pPr>
              <w:rPr>
                <w:color w:val="000000"/>
                <w:szCs w:val="22"/>
              </w:rPr>
            </w:pPr>
            <w:r w:rsidRPr="001231C9">
              <w:rPr>
                <w:color w:val="000000"/>
                <w:szCs w:val="22"/>
              </w:rPr>
              <w:t xml:space="preserve">Nevin RL (2012). [Comment] Mefloquine Blockade of </w:t>
            </w:r>
            <w:proofErr w:type="spellStart"/>
            <w:r w:rsidRPr="001231C9">
              <w:rPr>
                <w:color w:val="000000"/>
                <w:szCs w:val="22"/>
              </w:rPr>
              <w:t>Connexin</w:t>
            </w:r>
            <w:proofErr w:type="spellEnd"/>
            <w:r w:rsidRPr="001231C9">
              <w:rPr>
                <w:color w:val="000000"/>
                <w:szCs w:val="22"/>
              </w:rPr>
              <w:t xml:space="preserve"> 36 and </w:t>
            </w:r>
            <w:proofErr w:type="spellStart"/>
            <w:r w:rsidRPr="001231C9">
              <w:rPr>
                <w:color w:val="000000"/>
                <w:szCs w:val="22"/>
              </w:rPr>
              <w:t>Connexin</w:t>
            </w:r>
            <w:proofErr w:type="spellEnd"/>
            <w:r w:rsidRPr="001231C9">
              <w:rPr>
                <w:color w:val="000000"/>
                <w:szCs w:val="22"/>
              </w:rPr>
              <w:t xml:space="preserve"> 43 Gap Junctions and Risk of Suicide. </w:t>
            </w:r>
            <w:proofErr w:type="spellStart"/>
            <w:r w:rsidRPr="001231C9">
              <w:rPr>
                <w:color w:val="000000"/>
                <w:szCs w:val="22"/>
              </w:rPr>
              <w:t>Biol</w:t>
            </w:r>
            <w:proofErr w:type="spellEnd"/>
            <w:r w:rsidRPr="001231C9">
              <w:rPr>
                <w:color w:val="000000"/>
                <w:szCs w:val="22"/>
              </w:rPr>
              <w:t xml:space="preserve"> Psychiatry, 71: e1-e2.</w:t>
            </w:r>
          </w:p>
        </w:tc>
      </w:tr>
      <w:tr w:rsidR="006A6A5F" w:rsidRPr="001231C9" w14:paraId="5BE33084" w14:textId="77777777" w:rsidTr="000E3F0E">
        <w:trPr>
          <w:cantSplit/>
        </w:trPr>
        <w:tc>
          <w:tcPr>
            <w:tcW w:w="1413" w:type="dxa"/>
            <w:shd w:val="clear" w:color="auto" w:fill="auto"/>
            <w:noWrap/>
            <w:vAlign w:val="center"/>
            <w:hideMark/>
          </w:tcPr>
          <w:p w14:paraId="4726DDE2" w14:textId="77777777" w:rsidR="006A6A5F" w:rsidRPr="001231C9" w:rsidRDefault="006A6A5F" w:rsidP="000E3F0E">
            <w:pPr>
              <w:jc w:val="center"/>
              <w:rPr>
                <w:color w:val="000000"/>
                <w:szCs w:val="22"/>
              </w:rPr>
            </w:pPr>
            <w:r w:rsidRPr="001231C9">
              <w:rPr>
                <w:color w:val="000000"/>
                <w:szCs w:val="22"/>
              </w:rPr>
              <w:t>75201</w:t>
            </w:r>
          </w:p>
        </w:tc>
        <w:tc>
          <w:tcPr>
            <w:tcW w:w="8080" w:type="dxa"/>
            <w:shd w:val="clear" w:color="auto" w:fill="auto"/>
            <w:vAlign w:val="bottom"/>
            <w:hideMark/>
          </w:tcPr>
          <w:p w14:paraId="391B0031" w14:textId="77777777" w:rsidR="006A6A5F" w:rsidRPr="001231C9" w:rsidRDefault="006A6A5F" w:rsidP="000E3F0E">
            <w:pPr>
              <w:rPr>
                <w:color w:val="000000"/>
                <w:szCs w:val="22"/>
              </w:rPr>
            </w:pPr>
            <w:r w:rsidRPr="001231C9">
              <w:rPr>
                <w:color w:val="000000"/>
                <w:szCs w:val="22"/>
              </w:rPr>
              <w:t xml:space="preserve">Nevin RL (2012). Limbic encephalopathy and central </w:t>
            </w:r>
            <w:proofErr w:type="spellStart"/>
            <w:r w:rsidRPr="001231C9">
              <w:rPr>
                <w:color w:val="000000"/>
                <w:szCs w:val="22"/>
              </w:rPr>
              <w:t>vestibulopathy</w:t>
            </w:r>
            <w:proofErr w:type="spellEnd"/>
            <w:r w:rsidRPr="001231C9">
              <w:rPr>
                <w:color w:val="000000"/>
                <w:szCs w:val="22"/>
              </w:rPr>
              <w:t xml:space="preserve"> caused by mefloquine: A case report. Travel Medicine and Infectious Disease, 10: 144-51.</w:t>
            </w:r>
          </w:p>
        </w:tc>
      </w:tr>
      <w:tr w:rsidR="006A6A5F" w:rsidRPr="001231C9" w14:paraId="0918A0C4" w14:textId="77777777" w:rsidTr="000E3F0E">
        <w:trPr>
          <w:cantSplit/>
        </w:trPr>
        <w:tc>
          <w:tcPr>
            <w:tcW w:w="1413" w:type="dxa"/>
            <w:shd w:val="clear" w:color="auto" w:fill="auto"/>
            <w:noWrap/>
            <w:vAlign w:val="center"/>
            <w:hideMark/>
          </w:tcPr>
          <w:p w14:paraId="35C91431" w14:textId="77777777" w:rsidR="006A6A5F" w:rsidRPr="001231C9" w:rsidRDefault="006A6A5F" w:rsidP="000E3F0E">
            <w:pPr>
              <w:jc w:val="center"/>
              <w:rPr>
                <w:color w:val="000000"/>
                <w:szCs w:val="22"/>
              </w:rPr>
            </w:pPr>
            <w:r w:rsidRPr="001231C9">
              <w:rPr>
                <w:color w:val="000000"/>
                <w:szCs w:val="22"/>
              </w:rPr>
              <w:lastRenderedPageBreak/>
              <w:t>77909</w:t>
            </w:r>
          </w:p>
        </w:tc>
        <w:tc>
          <w:tcPr>
            <w:tcW w:w="8080" w:type="dxa"/>
            <w:shd w:val="clear" w:color="auto" w:fill="auto"/>
            <w:vAlign w:val="bottom"/>
            <w:hideMark/>
          </w:tcPr>
          <w:p w14:paraId="7E186647" w14:textId="77777777" w:rsidR="006A6A5F" w:rsidRPr="001231C9" w:rsidRDefault="006A6A5F" w:rsidP="000E3F0E">
            <w:pPr>
              <w:rPr>
                <w:color w:val="000000"/>
                <w:szCs w:val="22"/>
              </w:rPr>
            </w:pPr>
            <w:r w:rsidRPr="001231C9">
              <w:rPr>
                <w:color w:val="000000"/>
                <w:szCs w:val="22"/>
              </w:rPr>
              <w:t xml:space="preserve">Nevin RL (2014). Idiosyncratic quinoline central nervous system toxicity: historical insights into the chronic neurological sequelae of mefloquine. </w:t>
            </w:r>
            <w:proofErr w:type="spellStart"/>
            <w:r w:rsidRPr="001231C9">
              <w:rPr>
                <w:color w:val="000000"/>
                <w:szCs w:val="22"/>
              </w:rPr>
              <w:t>Int</w:t>
            </w:r>
            <w:proofErr w:type="spellEnd"/>
            <w:r w:rsidRPr="001231C9">
              <w:rPr>
                <w:color w:val="000000"/>
                <w:szCs w:val="22"/>
              </w:rPr>
              <w:t xml:space="preserve"> J </w:t>
            </w:r>
            <w:proofErr w:type="spellStart"/>
            <w:r w:rsidRPr="001231C9">
              <w:rPr>
                <w:color w:val="000000"/>
                <w:szCs w:val="22"/>
              </w:rPr>
              <w:t>Parasitol</w:t>
            </w:r>
            <w:proofErr w:type="spellEnd"/>
            <w:r w:rsidRPr="001231C9">
              <w:rPr>
                <w:color w:val="000000"/>
                <w:szCs w:val="22"/>
              </w:rPr>
              <w:t xml:space="preserve"> Drugs Drug Resist, 4: 118-25.</w:t>
            </w:r>
          </w:p>
        </w:tc>
      </w:tr>
      <w:tr w:rsidR="006A6A5F" w:rsidRPr="001231C9" w14:paraId="6F9B48D5" w14:textId="77777777" w:rsidTr="000E3F0E">
        <w:trPr>
          <w:cantSplit/>
        </w:trPr>
        <w:tc>
          <w:tcPr>
            <w:tcW w:w="1413" w:type="dxa"/>
            <w:shd w:val="clear" w:color="auto" w:fill="auto"/>
            <w:noWrap/>
            <w:vAlign w:val="center"/>
            <w:hideMark/>
          </w:tcPr>
          <w:p w14:paraId="10DC3322" w14:textId="77777777" w:rsidR="006A6A5F" w:rsidRPr="001231C9" w:rsidRDefault="006A6A5F" w:rsidP="000E3F0E">
            <w:pPr>
              <w:jc w:val="center"/>
              <w:rPr>
                <w:color w:val="000000"/>
                <w:szCs w:val="22"/>
              </w:rPr>
            </w:pPr>
            <w:r w:rsidRPr="001231C9">
              <w:rPr>
                <w:color w:val="000000"/>
                <w:szCs w:val="22"/>
              </w:rPr>
              <w:t>76942</w:t>
            </w:r>
          </w:p>
        </w:tc>
        <w:tc>
          <w:tcPr>
            <w:tcW w:w="8080" w:type="dxa"/>
            <w:shd w:val="clear" w:color="auto" w:fill="auto"/>
            <w:vAlign w:val="bottom"/>
            <w:hideMark/>
          </w:tcPr>
          <w:p w14:paraId="6AA24E1B" w14:textId="77777777" w:rsidR="006A6A5F" w:rsidRPr="001231C9" w:rsidRDefault="006A6A5F" w:rsidP="000E3F0E">
            <w:pPr>
              <w:rPr>
                <w:color w:val="000000"/>
                <w:szCs w:val="22"/>
              </w:rPr>
            </w:pPr>
            <w:r w:rsidRPr="001231C9">
              <w:rPr>
                <w:color w:val="000000"/>
                <w:szCs w:val="22"/>
              </w:rPr>
              <w:t>Nevin RL (2015). Mefloquine and posttraumatic stress disorder. Textbook of military medicine: Forensic and Ethical Issues in Military Behavioural Health,  19: 277-96. Borden Institute, Washington D.C.</w:t>
            </w:r>
          </w:p>
        </w:tc>
      </w:tr>
      <w:tr w:rsidR="006A6A5F" w:rsidRPr="001231C9" w14:paraId="011DF946" w14:textId="77777777" w:rsidTr="000E3F0E">
        <w:trPr>
          <w:cantSplit/>
        </w:trPr>
        <w:tc>
          <w:tcPr>
            <w:tcW w:w="1413" w:type="dxa"/>
            <w:shd w:val="clear" w:color="auto" w:fill="auto"/>
            <w:noWrap/>
            <w:vAlign w:val="center"/>
            <w:hideMark/>
          </w:tcPr>
          <w:p w14:paraId="33460A37" w14:textId="77777777" w:rsidR="006A6A5F" w:rsidRPr="001231C9" w:rsidRDefault="006A6A5F" w:rsidP="000E3F0E">
            <w:pPr>
              <w:jc w:val="center"/>
              <w:rPr>
                <w:color w:val="000000"/>
                <w:szCs w:val="22"/>
              </w:rPr>
            </w:pPr>
            <w:r w:rsidRPr="001231C9">
              <w:rPr>
                <w:color w:val="000000"/>
                <w:szCs w:val="22"/>
              </w:rPr>
              <w:t>77911</w:t>
            </w:r>
          </w:p>
        </w:tc>
        <w:tc>
          <w:tcPr>
            <w:tcW w:w="8080" w:type="dxa"/>
            <w:shd w:val="clear" w:color="auto" w:fill="auto"/>
            <w:vAlign w:val="bottom"/>
            <w:hideMark/>
          </w:tcPr>
          <w:p w14:paraId="2102BD1E" w14:textId="77777777" w:rsidR="006A6A5F" w:rsidRPr="001231C9" w:rsidRDefault="006A6A5F" w:rsidP="000E3F0E">
            <w:pPr>
              <w:rPr>
                <w:color w:val="000000"/>
                <w:szCs w:val="22"/>
              </w:rPr>
            </w:pPr>
            <w:r w:rsidRPr="001231C9">
              <w:rPr>
                <w:color w:val="000000"/>
                <w:szCs w:val="22"/>
              </w:rPr>
              <w:t xml:space="preserve">Nevin RL (2015). Rational risk-benefit decision-making in the setting of military mefloquine policy. J </w:t>
            </w:r>
            <w:proofErr w:type="spellStart"/>
            <w:r w:rsidRPr="001231C9">
              <w:rPr>
                <w:color w:val="000000"/>
                <w:szCs w:val="22"/>
              </w:rPr>
              <w:t>Parasitol</w:t>
            </w:r>
            <w:proofErr w:type="spellEnd"/>
            <w:r w:rsidRPr="001231C9">
              <w:rPr>
                <w:color w:val="000000"/>
                <w:szCs w:val="22"/>
              </w:rPr>
              <w:t xml:space="preserve"> Res, Article ID 260106: .</w:t>
            </w:r>
          </w:p>
        </w:tc>
      </w:tr>
      <w:tr w:rsidR="006A6A5F" w:rsidRPr="001231C9" w14:paraId="233690EC" w14:textId="77777777" w:rsidTr="000E3F0E">
        <w:trPr>
          <w:cantSplit/>
        </w:trPr>
        <w:tc>
          <w:tcPr>
            <w:tcW w:w="1413" w:type="dxa"/>
            <w:shd w:val="clear" w:color="auto" w:fill="auto"/>
            <w:noWrap/>
            <w:vAlign w:val="center"/>
            <w:hideMark/>
          </w:tcPr>
          <w:p w14:paraId="75F0AFF1" w14:textId="77777777" w:rsidR="006A6A5F" w:rsidRPr="001231C9" w:rsidRDefault="006A6A5F" w:rsidP="000E3F0E">
            <w:pPr>
              <w:jc w:val="center"/>
              <w:rPr>
                <w:color w:val="000000"/>
                <w:szCs w:val="22"/>
              </w:rPr>
            </w:pPr>
            <w:r w:rsidRPr="001231C9">
              <w:rPr>
                <w:color w:val="000000"/>
                <w:szCs w:val="22"/>
              </w:rPr>
              <w:t>81259</w:t>
            </w:r>
          </w:p>
        </w:tc>
        <w:tc>
          <w:tcPr>
            <w:tcW w:w="8080" w:type="dxa"/>
            <w:shd w:val="clear" w:color="auto" w:fill="auto"/>
            <w:vAlign w:val="bottom"/>
            <w:hideMark/>
          </w:tcPr>
          <w:p w14:paraId="2D9AB5A0" w14:textId="77777777" w:rsidR="006A6A5F" w:rsidRPr="001231C9" w:rsidRDefault="006A6A5F" w:rsidP="000E3F0E">
            <w:pPr>
              <w:rPr>
                <w:color w:val="000000"/>
                <w:szCs w:val="22"/>
              </w:rPr>
            </w:pPr>
            <w:r w:rsidRPr="001231C9">
              <w:rPr>
                <w:color w:val="000000"/>
                <w:szCs w:val="22"/>
              </w:rPr>
              <w:t>Nevin RL (2016). Bias in military studies of mefloquine. Journal of Travel Medicine, 23(2): tav028.</w:t>
            </w:r>
          </w:p>
        </w:tc>
      </w:tr>
      <w:tr w:rsidR="006A6A5F" w:rsidRPr="001231C9" w14:paraId="541B318D" w14:textId="77777777" w:rsidTr="000E3F0E">
        <w:trPr>
          <w:cantSplit/>
        </w:trPr>
        <w:tc>
          <w:tcPr>
            <w:tcW w:w="1413" w:type="dxa"/>
            <w:shd w:val="clear" w:color="auto" w:fill="auto"/>
            <w:noWrap/>
            <w:vAlign w:val="center"/>
            <w:hideMark/>
          </w:tcPr>
          <w:p w14:paraId="7F626062" w14:textId="77777777" w:rsidR="006A6A5F" w:rsidRPr="001231C9" w:rsidRDefault="006A6A5F" w:rsidP="000E3F0E">
            <w:pPr>
              <w:jc w:val="center"/>
              <w:rPr>
                <w:color w:val="000000"/>
                <w:szCs w:val="22"/>
              </w:rPr>
            </w:pPr>
            <w:r w:rsidRPr="001231C9">
              <w:rPr>
                <w:color w:val="000000"/>
                <w:szCs w:val="22"/>
              </w:rPr>
              <w:t>81439</w:t>
            </w:r>
          </w:p>
        </w:tc>
        <w:tc>
          <w:tcPr>
            <w:tcW w:w="8080" w:type="dxa"/>
            <w:shd w:val="clear" w:color="auto" w:fill="auto"/>
            <w:vAlign w:val="bottom"/>
            <w:hideMark/>
          </w:tcPr>
          <w:p w14:paraId="7C1887B5" w14:textId="77777777" w:rsidR="006A6A5F" w:rsidRPr="001231C9" w:rsidRDefault="006A6A5F" w:rsidP="000E3F0E">
            <w:pPr>
              <w:rPr>
                <w:color w:val="000000"/>
                <w:szCs w:val="22"/>
              </w:rPr>
            </w:pPr>
            <w:r w:rsidRPr="001231C9">
              <w:rPr>
                <w:color w:val="000000"/>
                <w:szCs w:val="22"/>
              </w:rPr>
              <w:t>Nevin RL, Croft AM (2016). Psychiatric effects of malaria and anti-malaria drugs: historical and modern perspectives. Malar J, 15: 332.</w:t>
            </w:r>
          </w:p>
        </w:tc>
      </w:tr>
      <w:tr w:rsidR="006A6A5F" w:rsidRPr="001231C9" w14:paraId="28B5761F" w14:textId="77777777" w:rsidTr="000E3F0E">
        <w:trPr>
          <w:cantSplit/>
        </w:trPr>
        <w:tc>
          <w:tcPr>
            <w:tcW w:w="1413" w:type="dxa"/>
            <w:shd w:val="clear" w:color="auto" w:fill="auto"/>
            <w:noWrap/>
            <w:vAlign w:val="center"/>
            <w:hideMark/>
          </w:tcPr>
          <w:p w14:paraId="3248BF5F" w14:textId="77777777" w:rsidR="006A6A5F" w:rsidRPr="001231C9" w:rsidRDefault="006A6A5F" w:rsidP="000E3F0E">
            <w:pPr>
              <w:jc w:val="center"/>
              <w:rPr>
                <w:color w:val="000000"/>
                <w:szCs w:val="22"/>
              </w:rPr>
            </w:pPr>
            <w:r w:rsidRPr="001231C9">
              <w:rPr>
                <w:color w:val="000000"/>
                <w:szCs w:val="22"/>
              </w:rPr>
              <w:t>81257</w:t>
            </w:r>
          </w:p>
        </w:tc>
        <w:tc>
          <w:tcPr>
            <w:tcW w:w="8080" w:type="dxa"/>
            <w:shd w:val="clear" w:color="auto" w:fill="auto"/>
            <w:vAlign w:val="bottom"/>
            <w:hideMark/>
          </w:tcPr>
          <w:p w14:paraId="2BE26E7D" w14:textId="77777777" w:rsidR="006A6A5F" w:rsidRPr="001231C9" w:rsidRDefault="006A6A5F" w:rsidP="000E3F0E">
            <w:pPr>
              <w:rPr>
                <w:color w:val="000000"/>
                <w:szCs w:val="22"/>
              </w:rPr>
            </w:pPr>
            <w:r w:rsidRPr="001231C9">
              <w:rPr>
                <w:color w:val="000000"/>
                <w:szCs w:val="22"/>
              </w:rPr>
              <w:t xml:space="preserve">Nevin RL, Leoutsakos JM (2017). Identification of a syndrome class of neuropsychiatric adverse reactions to mefloquine from latent class </w:t>
            </w:r>
            <w:proofErr w:type="spellStart"/>
            <w:r w:rsidRPr="001231C9">
              <w:rPr>
                <w:color w:val="000000"/>
                <w:szCs w:val="22"/>
              </w:rPr>
              <w:t>modeling</w:t>
            </w:r>
            <w:proofErr w:type="spellEnd"/>
            <w:r w:rsidRPr="001231C9">
              <w:rPr>
                <w:color w:val="000000"/>
                <w:szCs w:val="22"/>
              </w:rPr>
              <w:t xml:space="preserve"> of FDA Adverse Event Reporting System Data. Drugs R D, 17(1): 199-210.</w:t>
            </w:r>
          </w:p>
        </w:tc>
      </w:tr>
      <w:tr w:rsidR="006A6A5F" w:rsidRPr="001231C9" w14:paraId="1A329AAC" w14:textId="77777777" w:rsidTr="000E3F0E">
        <w:trPr>
          <w:cantSplit/>
        </w:trPr>
        <w:tc>
          <w:tcPr>
            <w:tcW w:w="1413" w:type="dxa"/>
            <w:shd w:val="clear" w:color="auto" w:fill="auto"/>
            <w:noWrap/>
            <w:vAlign w:val="center"/>
            <w:hideMark/>
          </w:tcPr>
          <w:p w14:paraId="54814C64" w14:textId="77777777" w:rsidR="006A6A5F" w:rsidRPr="001231C9" w:rsidRDefault="006A6A5F" w:rsidP="000E3F0E">
            <w:pPr>
              <w:jc w:val="center"/>
              <w:rPr>
                <w:color w:val="000000"/>
                <w:szCs w:val="22"/>
              </w:rPr>
            </w:pPr>
            <w:r w:rsidRPr="001231C9">
              <w:rPr>
                <w:color w:val="000000"/>
                <w:szCs w:val="22"/>
              </w:rPr>
              <w:t>81427</w:t>
            </w:r>
          </w:p>
        </w:tc>
        <w:tc>
          <w:tcPr>
            <w:tcW w:w="8080" w:type="dxa"/>
            <w:shd w:val="clear" w:color="auto" w:fill="auto"/>
            <w:vAlign w:val="bottom"/>
            <w:hideMark/>
          </w:tcPr>
          <w:p w14:paraId="7F5C7CF4" w14:textId="77777777" w:rsidR="006A6A5F" w:rsidRPr="001231C9" w:rsidRDefault="006A6A5F" w:rsidP="000E3F0E">
            <w:pPr>
              <w:rPr>
                <w:color w:val="000000"/>
                <w:szCs w:val="22"/>
              </w:rPr>
            </w:pPr>
            <w:r w:rsidRPr="001231C9">
              <w:rPr>
                <w:color w:val="000000"/>
                <w:szCs w:val="22"/>
              </w:rPr>
              <w:t>none (2017). PTSD as a “Diagnosis of Convenience”: Mefloquine, Tafenoquine and the Prevalence of Neuropsychiatric Disorders in ADF Veterans of East Timor and Bougainville. .  Retrieved 10 May 2017, from ptsd-as-a-diagnosis-of-convenience-mefloquine-tafenoquine-and-the-prevalence-of-neuropsychiatric-disorders-in-adf-veterans-of-east-timor-and-bougainville</w:t>
            </w:r>
          </w:p>
        </w:tc>
      </w:tr>
      <w:tr w:rsidR="006A6A5F" w:rsidRPr="001231C9" w14:paraId="46A2C9B8" w14:textId="77777777" w:rsidTr="000E3F0E">
        <w:trPr>
          <w:cantSplit/>
        </w:trPr>
        <w:tc>
          <w:tcPr>
            <w:tcW w:w="1413" w:type="dxa"/>
            <w:shd w:val="clear" w:color="auto" w:fill="auto"/>
            <w:noWrap/>
            <w:vAlign w:val="center"/>
            <w:hideMark/>
          </w:tcPr>
          <w:p w14:paraId="2264800B" w14:textId="77777777" w:rsidR="006A6A5F" w:rsidRPr="001231C9" w:rsidRDefault="006A6A5F" w:rsidP="000E3F0E">
            <w:pPr>
              <w:jc w:val="center"/>
              <w:rPr>
                <w:color w:val="000000"/>
                <w:szCs w:val="22"/>
              </w:rPr>
            </w:pPr>
            <w:r w:rsidRPr="001231C9">
              <w:rPr>
                <w:color w:val="000000"/>
                <w:szCs w:val="22"/>
              </w:rPr>
              <w:t>81430</w:t>
            </w:r>
          </w:p>
        </w:tc>
        <w:tc>
          <w:tcPr>
            <w:tcW w:w="8080" w:type="dxa"/>
            <w:shd w:val="clear" w:color="auto" w:fill="auto"/>
            <w:vAlign w:val="bottom"/>
            <w:hideMark/>
          </w:tcPr>
          <w:p w14:paraId="0490EB62" w14:textId="77777777" w:rsidR="006A6A5F" w:rsidRPr="001231C9" w:rsidRDefault="006A6A5F" w:rsidP="000E3F0E">
            <w:pPr>
              <w:rPr>
                <w:color w:val="000000"/>
                <w:szCs w:val="22"/>
              </w:rPr>
            </w:pPr>
            <w:proofErr w:type="spellStart"/>
            <w:r w:rsidRPr="001231C9">
              <w:rPr>
                <w:color w:val="000000"/>
                <w:szCs w:val="22"/>
              </w:rPr>
              <w:t>Novitt</w:t>
            </w:r>
            <w:proofErr w:type="spellEnd"/>
            <w:r w:rsidRPr="001231C9">
              <w:rPr>
                <w:color w:val="000000"/>
                <w:szCs w:val="22"/>
              </w:rPr>
              <w:t>-Moreno A, Ransom J, Dow G, et al (2017). Tafenoquine for malaria prophylaxis in adults: An integrated safety analysis. Travel Medicine and Infectious Disease, : .</w:t>
            </w:r>
          </w:p>
        </w:tc>
      </w:tr>
      <w:tr w:rsidR="006A6A5F" w:rsidRPr="001231C9" w14:paraId="15DE9AC0" w14:textId="77777777" w:rsidTr="000E3F0E">
        <w:trPr>
          <w:cantSplit/>
        </w:trPr>
        <w:tc>
          <w:tcPr>
            <w:tcW w:w="1413" w:type="dxa"/>
            <w:shd w:val="clear" w:color="auto" w:fill="auto"/>
            <w:noWrap/>
            <w:vAlign w:val="center"/>
            <w:hideMark/>
          </w:tcPr>
          <w:p w14:paraId="6E217DBE" w14:textId="77777777" w:rsidR="006A6A5F" w:rsidRPr="001231C9" w:rsidRDefault="006A6A5F" w:rsidP="000E3F0E">
            <w:pPr>
              <w:jc w:val="center"/>
              <w:rPr>
                <w:color w:val="000000"/>
                <w:szCs w:val="22"/>
              </w:rPr>
            </w:pPr>
            <w:r w:rsidRPr="001231C9">
              <w:rPr>
                <w:color w:val="000000"/>
                <w:szCs w:val="22"/>
              </w:rPr>
              <w:t>78177</w:t>
            </w:r>
          </w:p>
        </w:tc>
        <w:tc>
          <w:tcPr>
            <w:tcW w:w="8080" w:type="dxa"/>
            <w:shd w:val="clear" w:color="auto" w:fill="auto"/>
            <w:vAlign w:val="bottom"/>
            <w:hideMark/>
          </w:tcPr>
          <w:p w14:paraId="15E1E36D" w14:textId="77777777" w:rsidR="006A6A5F" w:rsidRPr="001231C9" w:rsidRDefault="006A6A5F" w:rsidP="000E3F0E">
            <w:pPr>
              <w:rPr>
                <w:color w:val="000000"/>
                <w:szCs w:val="22"/>
              </w:rPr>
            </w:pPr>
            <w:r w:rsidRPr="001231C9">
              <w:rPr>
                <w:color w:val="000000"/>
                <w:szCs w:val="22"/>
              </w:rPr>
              <w:t xml:space="preserve">Peterson AL, </w:t>
            </w:r>
            <w:proofErr w:type="spellStart"/>
            <w:r w:rsidRPr="001231C9">
              <w:rPr>
                <w:color w:val="000000"/>
                <w:szCs w:val="22"/>
              </w:rPr>
              <w:t>Seegmiller</w:t>
            </w:r>
            <w:proofErr w:type="spellEnd"/>
            <w:r w:rsidRPr="001231C9">
              <w:rPr>
                <w:color w:val="000000"/>
                <w:szCs w:val="22"/>
              </w:rPr>
              <w:t xml:space="preserve"> RA, Schindler LS (2011). Severe neuropsychiatric reaction in a deployed military member after prophylactic mefloquine. Case Reports in Psychiatry, article ID 350417: .</w:t>
            </w:r>
          </w:p>
        </w:tc>
      </w:tr>
      <w:tr w:rsidR="006A6A5F" w:rsidRPr="001231C9" w14:paraId="215D1C29" w14:textId="77777777" w:rsidTr="000E3F0E">
        <w:trPr>
          <w:cantSplit/>
        </w:trPr>
        <w:tc>
          <w:tcPr>
            <w:tcW w:w="1413" w:type="dxa"/>
            <w:shd w:val="clear" w:color="auto" w:fill="auto"/>
            <w:noWrap/>
            <w:vAlign w:val="center"/>
            <w:hideMark/>
          </w:tcPr>
          <w:p w14:paraId="17E37C89" w14:textId="77777777" w:rsidR="006A6A5F" w:rsidRPr="001231C9" w:rsidRDefault="006A6A5F" w:rsidP="000E3F0E">
            <w:pPr>
              <w:jc w:val="center"/>
              <w:rPr>
                <w:color w:val="000000"/>
                <w:szCs w:val="22"/>
              </w:rPr>
            </w:pPr>
            <w:r w:rsidRPr="001231C9">
              <w:rPr>
                <w:color w:val="000000"/>
                <w:szCs w:val="22"/>
              </w:rPr>
              <w:t>77124</w:t>
            </w:r>
          </w:p>
        </w:tc>
        <w:tc>
          <w:tcPr>
            <w:tcW w:w="8080" w:type="dxa"/>
            <w:shd w:val="clear" w:color="auto" w:fill="auto"/>
            <w:vAlign w:val="bottom"/>
            <w:hideMark/>
          </w:tcPr>
          <w:p w14:paraId="0D2D63DF" w14:textId="77777777" w:rsidR="006A6A5F" w:rsidRPr="001231C9" w:rsidRDefault="006A6A5F" w:rsidP="000E3F0E">
            <w:pPr>
              <w:rPr>
                <w:color w:val="000000"/>
                <w:szCs w:val="22"/>
              </w:rPr>
            </w:pPr>
            <w:proofErr w:type="spellStart"/>
            <w:r w:rsidRPr="001231C9">
              <w:rPr>
                <w:color w:val="000000"/>
                <w:szCs w:val="22"/>
              </w:rPr>
              <w:t>Prescrire</w:t>
            </w:r>
            <w:proofErr w:type="spellEnd"/>
            <w:r w:rsidRPr="001231C9">
              <w:rPr>
                <w:color w:val="000000"/>
                <w:szCs w:val="22"/>
              </w:rPr>
              <w:t xml:space="preserve"> International (2014). Mefloquine: persistent vestibular disorders. </w:t>
            </w:r>
            <w:proofErr w:type="spellStart"/>
            <w:r w:rsidRPr="001231C9">
              <w:rPr>
                <w:color w:val="000000"/>
                <w:szCs w:val="22"/>
              </w:rPr>
              <w:t>Prescrire</w:t>
            </w:r>
            <w:proofErr w:type="spellEnd"/>
            <w:r w:rsidRPr="001231C9">
              <w:rPr>
                <w:color w:val="000000"/>
                <w:szCs w:val="22"/>
              </w:rPr>
              <w:t xml:space="preserve"> International, 23(150): 157.</w:t>
            </w:r>
          </w:p>
        </w:tc>
      </w:tr>
      <w:tr w:rsidR="006A6A5F" w:rsidRPr="001231C9" w14:paraId="6D573116" w14:textId="77777777" w:rsidTr="000E3F0E">
        <w:trPr>
          <w:cantSplit/>
        </w:trPr>
        <w:tc>
          <w:tcPr>
            <w:tcW w:w="1413" w:type="dxa"/>
            <w:shd w:val="clear" w:color="auto" w:fill="auto"/>
            <w:noWrap/>
            <w:vAlign w:val="center"/>
            <w:hideMark/>
          </w:tcPr>
          <w:p w14:paraId="0C0E0293" w14:textId="77777777" w:rsidR="006A6A5F" w:rsidRPr="001231C9" w:rsidRDefault="006A6A5F" w:rsidP="000E3F0E">
            <w:pPr>
              <w:jc w:val="center"/>
              <w:rPr>
                <w:color w:val="000000"/>
                <w:szCs w:val="22"/>
              </w:rPr>
            </w:pPr>
            <w:r w:rsidRPr="001231C9">
              <w:rPr>
                <w:color w:val="000000"/>
                <w:szCs w:val="22"/>
              </w:rPr>
              <w:t>76939</w:t>
            </w:r>
          </w:p>
        </w:tc>
        <w:tc>
          <w:tcPr>
            <w:tcW w:w="8080" w:type="dxa"/>
            <w:shd w:val="clear" w:color="auto" w:fill="auto"/>
            <w:vAlign w:val="bottom"/>
            <w:hideMark/>
          </w:tcPr>
          <w:p w14:paraId="1085854A" w14:textId="77777777" w:rsidR="006A6A5F" w:rsidRPr="001231C9" w:rsidRDefault="006A6A5F" w:rsidP="000E3F0E">
            <w:pPr>
              <w:rPr>
                <w:color w:val="000000"/>
                <w:szCs w:val="22"/>
              </w:rPr>
            </w:pPr>
            <w:r w:rsidRPr="001231C9">
              <w:rPr>
                <w:color w:val="000000"/>
                <w:szCs w:val="22"/>
              </w:rPr>
              <w:t>Quinn JC (2015). Complex membrane channel blockade: a unifying hypothesis for the prodromal and acute neuropsychiatric sequelae resulting from exposure to the antimalarial drug mefloquine. Journal of Parasitology Research, ID 368064: 12 pages.</w:t>
            </w:r>
          </w:p>
        </w:tc>
      </w:tr>
      <w:tr w:rsidR="006A6A5F" w:rsidRPr="001231C9" w14:paraId="1F877F34" w14:textId="77777777" w:rsidTr="000E3F0E">
        <w:trPr>
          <w:cantSplit/>
        </w:trPr>
        <w:tc>
          <w:tcPr>
            <w:tcW w:w="1413" w:type="dxa"/>
            <w:shd w:val="clear" w:color="auto" w:fill="auto"/>
            <w:noWrap/>
            <w:vAlign w:val="center"/>
            <w:hideMark/>
          </w:tcPr>
          <w:p w14:paraId="45030497" w14:textId="77777777" w:rsidR="006A6A5F" w:rsidRPr="001231C9" w:rsidRDefault="006A6A5F" w:rsidP="000E3F0E">
            <w:pPr>
              <w:jc w:val="center"/>
              <w:rPr>
                <w:color w:val="000000"/>
                <w:szCs w:val="22"/>
              </w:rPr>
            </w:pPr>
            <w:r w:rsidRPr="001231C9">
              <w:rPr>
                <w:color w:val="000000"/>
                <w:szCs w:val="22"/>
              </w:rPr>
              <w:t>81258</w:t>
            </w:r>
          </w:p>
        </w:tc>
        <w:tc>
          <w:tcPr>
            <w:tcW w:w="8080" w:type="dxa"/>
            <w:shd w:val="clear" w:color="auto" w:fill="auto"/>
            <w:vAlign w:val="bottom"/>
            <w:hideMark/>
          </w:tcPr>
          <w:p w14:paraId="1FD3E867" w14:textId="77777777" w:rsidR="006A6A5F" w:rsidRPr="001231C9" w:rsidRDefault="006A6A5F" w:rsidP="000E3F0E">
            <w:pPr>
              <w:rPr>
                <w:color w:val="000000"/>
                <w:szCs w:val="22"/>
              </w:rPr>
            </w:pPr>
            <w:r w:rsidRPr="001231C9">
              <w:rPr>
                <w:color w:val="000000"/>
                <w:szCs w:val="22"/>
              </w:rPr>
              <w:t>Quinn JC (2016). Better approach needed to detect and treat military personnel with adverse effects from mefloquine. BMJ, 352: i838.</w:t>
            </w:r>
          </w:p>
        </w:tc>
      </w:tr>
      <w:tr w:rsidR="006A6A5F" w:rsidRPr="001231C9" w14:paraId="13DD2107" w14:textId="77777777" w:rsidTr="000E3F0E">
        <w:trPr>
          <w:cantSplit/>
        </w:trPr>
        <w:tc>
          <w:tcPr>
            <w:tcW w:w="1413" w:type="dxa"/>
            <w:shd w:val="clear" w:color="auto" w:fill="auto"/>
            <w:noWrap/>
            <w:vAlign w:val="center"/>
            <w:hideMark/>
          </w:tcPr>
          <w:p w14:paraId="2C27A1D1" w14:textId="77777777" w:rsidR="006A6A5F" w:rsidRPr="001231C9" w:rsidRDefault="006A6A5F" w:rsidP="000E3F0E">
            <w:pPr>
              <w:jc w:val="center"/>
              <w:rPr>
                <w:color w:val="000000"/>
                <w:szCs w:val="22"/>
              </w:rPr>
            </w:pPr>
            <w:r w:rsidRPr="001231C9">
              <w:rPr>
                <w:color w:val="000000"/>
                <w:szCs w:val="22"/>
              </w:rPr>
              <w:t>77934</w:t>
            </w:r>
          </w:p>
        </w:tc>
        <w:tc>
          <w:tcPr>
            <w:tcW w:w="8080" w:type="dxa"/>
            <w:shd w:val="clear" w:color="auto" w:fill="auto"/>
            <w:vAlign w:val="bottom"/>
            <w:hideMark/>
          </w:tcPr>
          <w:p w14:paraId="0777A40C" w14:textId="77777777" w:rsidR="006A6A5F" w:rsidRPr="001231C9" w:rsidRDefault="006A6A5F" w:rsidP="000E3F0E">
            <w:pPr>
              <w:rPr>
                <w:color w:val="000000"/>
                <w:szCs w:val="22"/>
              </w:rPr>
            </w:pPr>
            <w:proofErr w:type="spellStart"/>
            <w:r w:rsidRPr="001231C9">
              <w:rPr>
                <w:color w:val="000000"/>
                <w:szCs w:val="22"/>
              </w:rPr>
              <w:t>Rajapakse</w:t>
            </w:r>
            <w:proofErr w:type="spellEnd"/>
            <w:r w:rsidRPr="001231C9">
              <w:rPr>
                <w:color w:val="000000"/>
                <w:szCs w:val="22"/>
              </w:rPr>
              <w:t xml:space="preserve"> S, Rodrigo C, Fernando SD (2015). Tafenoquine for preventing relapse in people with plasmodium vivax malaria (review). The Cochrane Collaboration, . .</w:t>
            </w:r>
          </w:p>
        </w:tc>
      </w:tr>
      <w:tr w:rsidR="006A6A5F" w:rsidRPr="001231C9" w14:paraId="16D6F278" w14:textId="77777777" w:rsidTr="000E3F0E">
        <w:trPr>
          <w:cantSplit/>
        </w:trPr>
        <w:tc>
          <w:tcPr>
            <w:tcW w:w="1413" w:type="dxa"/>
            <w:shd w:val="clear" w:color="auto" w:fill="auto"/>
            <w:noWrap/>
            <w:vAlign w:val="center"/>
            <w:hideMark/>
          </w:tcPr>
          <w:p w14:paraId="2548B3A8" w14:textId="77777777" w:rsidR="006A6A5F" w:rsidRPr="001231C9" w:rsidRDefault="006A6A5F" w:rsidP="000E3F0E">
            <w:pPr>
              <w:jc w:val="center"/>
              <w:rPr>
                <w:color w:val="000000"/>
                <w:szCs w:val="22"/>
              </w:rPr>
            </w:pPr>
            <w:r w:rsidRPr="001231C9">
              <w:rPr>
                <w:color w:val="000000"/>
                <w:szCs w:val="22"/>
              </w:rPr>
              <w:t>80806</w:t>
            </w:r>
          </w:p>
        </w:tc>
        <w:tc>
          <w:tcPr>
            <w:tcW w:w="8080" w:type="dxa"/>
            <w:shd w:val="clear" w:color="auto" w:fill="auto"/>
            <w:vAlign w:val="bottom"/>
            <w:hideMark/>
          </w:tcPr>
          <w:p w14:paraId="7120EAA7" w14:textId="77777777" w:rsidR="006A6A5F" w:rsidRPr="001231C9" w:rsidRDefault="006A6A5F" w:rsidP="000E3F0E">
            <w:pPr>
              <w:rPr>
                <w:color w:val="000000"/>
                <w:szCs w:val="22"/>
              </w:rPr>
            </w:pPr>
            <w:proofErr w:type="spellStart"/>
            <w:r w:rsidRPr="001231C9">
              <w:rPr>
                <w:color w:val="000000"/>
                <w:szCs w:val="22"/>
              </w:rPr>
              <w:t>Recht</w:t>
            </w:r>
            <w:proofErr w:type="spellEnd"/>
            <w:r w:rsidRPr="001231C9">
              <w:rPr>
                <w:color w:val="000000"/>
                <w:szCs w:val="22"/>
              </w:rPr>
              <w:t xml:space="preserve"> J, Ashley E, White N (2014). Safety of 8-aminoquinoline antimalarial medicines. World Health Organization, . .</w:t>
            </w:r>
          </w:p>
        </w:tc>
      </w:tr>
      <w:tr w:rsidR="006A6A5F" w:rsidRPr="001231C9" w14:paraId="30F9F354" w14:textId="77777777" w:rsidTr="000E3F0E">
        <w:trPr>
          <w:cantSplit/>
        </w:trPr>
        <w:tc>
          <w:tcPr>
            <w:tcW w:w="1413" w:type="dxa"/>
            <w:shd w:val="clear" w:color="auto" w:fill="auto"/>
            <w:noWrap/>
            <w:vAlign w:val="center"/>
            <w:hideMark/>
          </w:tcPr>
          <w:p w14:paraId="4F20AB5A" w14:textId="77777777" w:rsidR="006A6A5F" w:rsidRPr="001231C9" w:rsidRDefault="006A6A5F" w:rsidP="000E3F0E">
            <w:pPr>
              <w:jc w:val="center"/>
              <w:rPr>
                <w:color w:val="000000"/>
                <w:szCs w:val="22"/>
              </w:rPr>
            </w:pPr>
            <w:r w:rsidRPr="001231C9">
              <w:rPr>
                <w:color w:val="000000"/>
                <w:szCs w:val="22"/>
              </w:rPr>
              <w:t>80932</w:t>
            </w:r>
          </w:p>
        </w:tc>
        <w:tc>
          <w:tcPr>
            <w:tcW w:w="8080" w:type="dxa"/>
            <w:shd w:val="clear" w:color="auto" w:fill="auto"/>
            <w:vAlign w:val="bottom"/>
            <w:hideMark/>
          </w:tcPr>
          <w:p w14:paraId="335A79A8" w14:textId="77777777" w:rsidR="006A6A5F" w:rsidRPr="001231C9" w:rsidRDefault="006A6A5F" w:rsidP="000E3F0E">
            <w:pPr>
              <w:rPr>
                <w:color w:val="000000"/>
                <w:szCs w:val="22"/>
              </w:rPr>
            </w:pPr>
            <w:r w:rsidRPr="001231C9">
              <w:rPr>
                <w:color w:val="000000"/>
                <w:szCs w:val="22"/>
              </w:rPr>
              <w:t xml:space="preserve">Ricard D, </w:t>
            </w:r>
            <w:proofErr w:type="spellStart"/>
            <w:r w:rsidRPr="001231C9">
              <w:rPr>
                <w:color w:val="000000"/>
                <w:szCs w:val="22"/>
              </w:rPr>
              <w:t>Taillia</w:t>
            </w:r>
            <w:proofErr w:type="spellEnd"/>
            <w:r w:rsidRPr="001231C9">
              <w:rPr>
                <w:color w:val="000000"/>
                <w:szCs w:val="22"/>
              </w:rPr>
              <w:t xml:space="preserve"> H, </w:t>
            </w:r>
            <w:proofErr w:type="spellStart"/>
            <w:r w:rsidRPr="001231C9">
              <w:rPr>
                <w:color w:val="000000"/>
                <w:szCs w:val="22"/>
              </w:rPr>
              <w:t>Renard</w:t>
            </w:r>
            <w:proofErr w:type="spellEnd"/>
            <w:r w:rsidRPr="001231C9">
              <w:rPr>
                <w:color w:val="000000"/>
                <w:szCs w:val="22"/>
              </w:rPr>
              <w:t xml:space="preserve"> J-L (2009). Brain damage from anticancer treatments in adults. </w:t>
            </w:r>
            <w:proofErr w:type="spellStart"/>
            <w:r w:rsidRPr="001231C9">
              <w:rPr>
                <w:color w:val="000000"/>
                <w:szCs w:val="22"/>
              </w:rPr>
              <w:t>Curr</w:t>
            </w:r>
            <w:proofErr w:type="spellEnd"/>
            <w:r w:rsidRPr="001231C9">
              <w:rPr>
                <w:color w:val="000000"/>
                <w:szCs w:val="22"/>
              </w:rPr>
              <w:t xml:space="preserve"> </w:t>
            </w:r>
            <w:proofErr w:type="spellStart"/>
            <w:r w:rsidRPr="001231C9">
              <w:rPr>
                <w:color w:val="000000"/>
                <w:szCs w:val="22"/>
              </w:rPr>
              <w:t>Opin</w:t>
            </w:r>
            <w:proofErr w:type="spellEnd"/>
            <w:r w:rsidRPr="001231C9">
              <w:rPr>
                <w:color w:val="000000"/>
                <w:szCs w:val="22"/>
              </w:rPr>
              <w:t xml:space="preserve"> </w:t>
            </w:r>
            <w:proofErr w:type="spellStart"/>
            <w:r w:rsidRPr="001231C9">
              <w:rPr>
                <w:color w:val="000000"/>
                <w:szCs w:val="22"/>
              </w:rPr>
              <w:t>Oncol</w:t>
            </w:r>
            <w:proofErr w:type="spellEnd"/>
            <w:r w:rsidRPr="001231C9">
              <w:rPr>
                <w:color w:val="000000"/>
                <w:szCs w:val="22"/>
              </w:rPr>
              <w:t>, 21(6): 559-65.</w:t>
            </w:r>
          </w:p>
        </w:tc>
      </w:tr>
      <w:tr w:rsidR="006A6A5F" w:rsidRPr="001231C9" w14:paraId="2CA6A7EB" w14:textId="77777777" w:rsidTr="000E3F0E">
        <w:trPr>
          <w:cantSplit/>
        </w:trPr>
        <w:tc>
          <w:tcPr>
            <w:tcW w:w="1413" w:type="dxa"/>
            <w:shd w:val="clear" w:color="auto" w:fill="auto"/>
            <w:noWrap/>
            <w:vAlign w:val="center"/>
            <w:hideMark/>
          </w:tcPr>
          <w:p w14:paraId="7FF8BA6C" w14:textId="77777777" w:rsidR="006A6A5F" w:rsidRPr="001231C9" w:rsidRDefault="006A6A5F" w:rsidP="000E3F0E">
            <w:pPr>
              <w:jc w:val="center"/>
              <w:rPr>
                <w:color w:val="000000"/>
                <w:szCs w:val="22"/>
              </w:rPr>
            </w:pPr>
            <w:r w:rsidRPr="001231C9">
              <w:rPr>
                <w:color w:val="000000"/>
                <w:szCs w:val="22"/>
              </w:rPr>
              <w:t>75202</w:t>
            </w:r>
          </w:p>
        </w:tc>
        <w:tc>
          <w:tcPr>
            <w:tcW w:w="8080" w:type="dxa"/>
            <w:shd w:val="clear" w:color="auto" w:fill="auto"/>
            <w:vAlign w:val="bottom"/>
            <w:hideMark/>
          </w:tcPr>
          <w:p w14:paraId="0414CA6F" w14:textId="77777777" w:rsidR="006A6A5F" w:rsidRPr="001231C9" w:rsidRDefault="006A6A5F" w:rsidP="000E3F0E">
            <w:pPr>
              <w:rPr>
                <w:color w:val="000000"/>
                <w:szCs w:val="22"/>
              </w:rPr>
            </w:pPr>
            <w:proofErr w:type="spellStart"/>
            <w:r w:rsidRPr="001231C9">
              <w:rPr>
                <w:color w:val="000000"/>
                <w:szCs w:val="22"/>
              </w:rPr>
              <w:t>Ringqvist</w:t>
            </w:r>
            <w:proofErr w:type="spellEnd"/>
            <w:r w:rsidRPr="001231C9">
              <w:rPr>
                <w:color w:val="000000"/>
                <w:szCs w:val="22"/>
              </w:rPr>
              <w:t xml:space="preserve"> A, </w:t>
            </w:r>
            <w:proofErr w:type="spellStart"/>
            <w:r w:rsidRPr="001231C9">
              <w:rPr>
                <w:color w:val="000000"/>
                <w:szCs w:val="22"/>
              </w:rPr>
              <w:t>Bech</w:t>
            </w:r>
            <w:proofErr w:type="spellEnd"/>
            <w:r w:rsidRPr="001231C9">
              <w:rPr>
                <w:color w:val="000000"/>
                <w:szCs w:val="22"/>
              </w:rPr>
              <w:t xml:space="preserve"> P, </w:t>
            </w:r>
            <w:proofErr w:type="spellStart"/>
            <w:r w:rsidRPr="001231C9">
              <w:rPr>
                <w:color w:val="000000"/>
                <w:szCs w:val="22"/>
              </w:rPr>
              <w:t>Glenthoj</w:t>
            </w:r>
            <w:proofErr w:type="spellEnd"/>
            <w:r w:rsidRPr="001231C9">
              <w:rPr>
                <w:color w:val="000000"/>
                <w:szCs w:val="22"/>
              </w:rPr>
              <w:t xml:space="preserve"> B, et al (2015). Acute and long-term psychiatric side effects of mefloquine: A follow-up on Danish adverse event reports. Travel Medicine and Infectious Disease, 13: 80-8.</w:t>
            </w:r>
          </w:p>
        </w:tc>
      </w:tr>
      <w:tr w:rsidR="006A6A5F" w:rsidRPr="001231C9" w14:paraId="53CB8F9E" w14:textId="77777777" w:rsidTr="000E3F0E">
        <w:trPr>
          <w:cantSplit/>
        </w:trPr>
        <w:tc>
          <w:tcPr>
            <w:tcW w:w="1413" w:type="dxa"/>
            <w:shd w:val="clear" w:color="auto" w:fill="auto"/>
            <w:noWrap/>
            <w:vAlign w:val="center"/>
            <w:hideMark/>
          </w:tcPr>
          <w:p w14:paraId="1084A091" w14:textId="77777777" w:rsidR="006A6A5F" w:rsidRPr="001231C9" w:rsidRDefault="006A6A5F" w:rsidP="000E3F0E">
            <w:pPr>
              <w:jc w:val="center"/>
              <w:rPr>
                <w:color w:val="000000"/>
                <w:szCs w:val="22"/>
              </w:rPr>
            </w:pPr>
            <w:r w:rsidRPr="001231C9">
              <w:rPr>
                <w:color w:val="000000"/>
                <w:szCs w:val="22"/>
              </w:rPr>
              <w:t>75203</w:t>
            </w:r>
          </w:p>
        </w:tc>
        <w:tc>
          <w:tcPr>
            <w:tcW w:w="8080" w:type="dxa"/>
            <w:shd w:val="clear" w:color="auto" w:fill="auto"/>
            <w:vAlign w:val="bottom"/>
            <w:hideMark/>
          </w:tcPr>
          <w:p w14:paraId="4B108503" w14:textId="77777777" w:rsidR="006A6A5F" w:rsidRPr="001231C9" w:rsidRDefault="006A6A5F" w:rsidP="000E3F0E">
            <w:pPr>
              <w:rPr>
                <w:color w:val="000000"/>
                <w:szCs w:val="22"/>
              </w:rPr>
            </w:pPr>
            <w:r w:rsidRPr="001231C9">
              <w:rPr>
                <w:color w:val="000000"/>
                <w:szCs w:val="22"/>
              </w:rPr>
              <w:t xml:space="preserve">Ritchie EC, Block J, Nevin RL (2013). Psychiatric side effects of Mefloquine: applications to forensic psychiatry. J Am </w:t>
            </w:r>
            <w:proofErr w:type="spellStart"/>
            <w:r w:rsidRPr="001231C9">
              <w:rPr>
                <w:color w:val="000000"/>
                <w:szCs w:val="22"/>
              </w:rPr>
              <w:t>Acad</w:t>
            </w:r>
            <w:proofErr w:type="spellEnd"/>
            <w:r w:rsidRPr="001231C9">
              <w:rPr>
                <w:color w:val="000000"/>
                <w:szCs w:val="22"/>
              </w:rPr>
              <w:t xml:space="preserve"> Psychiatry Law, 41: 224-35.</w:t>
            </w:r>
          </w:p>
        </w:tc>
      </w:tr>
      <w:tr w:rsidR="006A6A5F" w:rsidRPr="001231C9" w14:paraId="69C36A85" w14:textId="77777777" w:rsidTr="000E3F0E">
        <w:trPr>
          <w:cantSplit/>
        </w:trPr>
        <w:tc>
          <w:tcPr>
            <w:tcW w:w="1413" w:type="dxa"/>
            <w:shd w:val="clear" w:color="auto" w:fill="auto"/>
            <w:noWrap/>
            <w:vAlign w:val="center"/>
            <w:hideMark/>
          </w:tcPr>
          <w:p w14:paraId="43517DD6" w14:textId="77777777" w:rsidR="006A6A5F" w:rsidRPr="001231C9" w:rsidRDefault="006A6A5F" w:rsidP="000E3F0E">
            <w:pPr>
              <w:jc w:val="center"/>
              <w:rPr>
                <w:color w:val="000000"/>
                <w:szCs w:val="22"/>
              </w:rPr>
            </w:pPr>
            <w:r w:rsidRPr="001231C9">
              <w:rPr>
                <w:color w:val="000000"/>
                <w:szCs w:val="22"/>
              </w:rPr>
              <w:t>75316</w:t>
            </w:r>
          </w:p>
        </w:tc>
        <w:tc>
          <w:tcPr>
            <w:tcW w:w="8080" w:type="dxa"/>
            <w:shd w:val="clear" w:color="auto" w:fill="auto"/>
            <w:vAlign w:val="bottom"/>
            <w:hideMark/>
          </w:tcPr>
          <w:p w14:paraId="285541A0" w14:textId="77777777" w:rsidR="006A6A5F" w:rsidRPr="001231C9" w:rsidRDefault="006A6A5F" w:rsidP="000E3F0E">
            <w:pPr>
              <w:rPr>
                <w:color w:val="000000"/>
                <w:szCs w:val="22"/>
              </w:rPr>
            </w:pPr>
            <w:r w:rsidRPr="001231C9">
              <w:rPr>
                <w:color w:val="000000"/>
                <w:szCs w:val="22"/>
              </w:rPr>
              <w:t xml:space="preserve">Roche Products Ltd (2015). </w:t>
            </w:r>
            <w:proofErr w:type="spellStart"/>
            <w:r w:rsidRPr="001231C9">
              <w:rPr>
                <w:color w:val="000000"/>
                <w:szCs w:val="22"/>
              </w:rPr>
              <w:t>Lariam</w:t>
            </w:r>
            <w:proofErr w:type="spellEnd"/>
            <w:r w:rsidRPr="001231C9">
              <w:rPr>
                <w:color w:val="000000"/>
                <w:szCs w:val="22"/>
              </w:rPr>
              <w:t>. .  Retrieved 15 July 2015, from https://www.mimsonline.com.au/Search/ShowPDF.aspx?xmlDoc=01608.xml&amp;XSLKey=PIxsl_pdf&amp;PathKey=FullPIxmlPath</w:t>
            </w:r>
          </w:p>
        </w:tc>
      </w:tr>
      <w:tr w:rsidR="006A6A5F" w:rsidRPr="001231C9" w14:paraId="2B3176FD" w14:textId="77777777" w:rsidTr="000E3F0E">
        <w:trPr>
          <w:cantSplit/>
        </w:trPr>
        <w:tc>
          <w:tcPr>
            <w:tcW w:w="1413" w:type="dxa"/>
            <w:shd w:val="clear" w:color="auto" w:fill="auto"/>
            <w:noWrap/>
            <w:vAlign w:val="center"/>
            <w:hideMark/>
          </w:tcPr>
          <w:p w14:paraId="08DA5087" w14:textId="77777777" w:rsidR="006A6A5F" w:rsidRPr="001231C9" w:rsidRDefault="006A6A5F" w:rsidP="000E3F0E">
            <w:pPr>
              <w:jc w:val="center"/>
              <w:rPr>
                <w:color w:val="000000"/>
                <w:szCs w:val="22"/>
              </w:rPr>
            </w:pPr>
            <w:r w:rsidRPr="001231C9">
              <w:rPr>
                <w:color w:val="000000"/>
                <w:szCs w:val="22"/>
              </w:rPr>
              <w:lastRenderedPageBreak/>
              <w:t>16598</w:t>
            </w:r>
          </w:p>
        </w:tc>
        <w:tc>
          <w:tcPr>
            <w:tcW w:w="8080" w:type="dxa"/>
            <w:shd w:val="clear" w:color="auto" w:fill="auto"/>
            <w:vAlign w:val="bottom"/>
            <w:hideMark/>
          </w:tcPr>
          <w:p w14:paraId="3A500736" w14:textId="77777777" w:rsidR="006A6A5F" w:rsidRPr="001231C9" w:rsidRDefault="006A6A5F" w:rsidP="000E3F0E">
            <w:pPr>
              <w:rPr>
                <w:color w:val="000000"/>
                <w:szCs w:val="22"/>
              </w:rPr>
            </w:pPr>
            <w:proofErr w:type="spellStart"/>
            <w:r w:rsidRPr="001231C9">
              <w:rPr>
                <w:color w:val="000000"/>
                <w:szCs w:val="22"/>
              </w:rPr>
              <w:t>Ronn</w:t>
            </w:r>
            <w:proofErr w:type="spellEnd"/>
            <w:r w:rsidRPr="001231C9">
              <w:rPr>
                <w:color w:val="000000"/>
                <w:szCs w:val="22"/>
              </w:rPr>
              <w:t xml:space="preserve"> AM, Ronne-Rasmussen J, </w:t>
            </w:r>
            <w:proofErr w:type="spellStart"/>
            <w:r w:rsidRPr="001231C9">
              <w:rPr>
                <w:color w:val="000000"/>
                <w:szCs w:val="22"/>
              </w:rPr>
              <w:t>Gotzsche</w:t>
            </w:r>
            <w:proofErr w:type="spellEnd"/>
            <w:r w:rsidRPr="001231C9">
              <w:rPr>
                <w:color w:val="000000"/>
                <w:szCs w:val="22"/>
              </w:rPr>
              <w:t xml:space="preserve"> PC et al (1998). Neuropsychiatric manifestations after mefloquine therapy for plasmodium falciparum malaria: comparing a retrospective and a prospective study. Tropical Medicine and International Health, 3(2): 83-8.</w:t>
            </w:r>
          </w:p>
        </w:tc>
      </w:tr>
      <w:tr w:rsidR="006A6A5F" w:rsidRPr="001231C9" w14:paraId="770C3315" w14:textId="77777777" w:rsidTr="000E3F0E">
        <w:trPr>
          <w:cantSplit/>
        </w:trPr>
        <w:tc>
          <w:tcPr>
            <w:tcW w:w="1413" w:type="dxa"/>
            <w:shd w:val="clear" w:color="auto" w:fill="auto"/>
            <w:noWrap/>
            <w:vAlign w:val="center"/>
            <w:hideMark/>
          </w:tcPr>
          <w:p w14:paraId="23AE8F9E" w14:textId="77777777" w:rsidR="006A6A5F" w:rsidRPr="001231C9" w:rsidRDefault="006A6A5F" w:rsidP="000E3F0E">
            <w:pPr>
              <w:jc w:val="center"/>
              <w:rPr>
                <w:color w:val="000000"/>
                <w:szCs w:val="22"/>
              </w:rPr>
            </w:pPr>
            <w:r w:rsidRPr="001231C9">
              <w:rPr>
                <w:color w:val="000000"/>
                <w:szCs w:val="22"/>
              </w:rPr>
              <w:t>70868</w:t>
            </w:r>
          </w:p>
        </w:tc>
        <w:tc>
          <w:tcPr>
            <w:tcW w:w="8080" w:type="dxa"/>
            <w:shd w:val="clear" w:color="auto" w:fill="auto"/>
            <w:vAlign w:val="bottom"/>
            <w:hideMark/>
          </w:tcPr>
          <w:p w14:paraId="7AC873B7" w14:textId="77777777" w:rsidR="006A6A5F" w:rsidRPr="001231C9" w:rsidRDefault="006A6A5F" w:rsidP="000E3F0E">
            <w:pPr>
              <w:rPr>
                <w:color w:val="000000"/>
                <w:szCs w:val="22"/>
              </w:rPr>
            </w:pPr>
            <w:r w:rsidRPr="001231C9">
              <w:rPr>
                <w:color w:val="000000"/>
                <w:szCs w:val="22"/>
              </w:rPr>
              <w:t>Ryan D (2013). Memorandum - a legal summary of the RMA’s approach to what is a disease, injury or death. .  Retrieved 7 February 2014, from www.rma.gov.au/foi/what.htm</w:t>
            </w:r>
          </w:p>
        </w:tc>
      </w:tr>
      <w:tr w:rsidR="006A6A5F" w:rsidRPr="001231C9" w14:paraId="52EEBE28" w14:textId="77777777" w:rsidTr="000E3F0E">
        <w:trPr>
          <w:cantSplit/>
        </w:trPr>
        <w:tc>
          <w:tcPr>
            <w:tcW w:w="1413" w:type="dxa"/>
            <w:shd w:val="clear" w:color="auto" w:fill="auto"/>
            <w:noWrap/>
            <w:vAlign w:val="center"/>
            <w:hideMark/>
          </w:tcPr>
          <w:p w14:paraId="2A10935B" w14:textId="77777777" w:rsidR="006A6A5F" w:rsidRPr="001231C9" w:rsidRDefault="006A6A5F" w:rsidP="000E3F0E">
            <w:pPr>
              <w:jc w:val="center"/>
              <w:rPr>
                <w:color w:val="000000"/>
                <w:szCs w:val="22"/>
              </w:rPr>
            </w:pPr>
            <w:r w:rsidRPr="001231C9">
              <w:rPr>
                <w:color w:val="000000"/>
                <w:szCs w:val="22"/>
              </w:rPr>
              <w:t>81261</w:t>
            </w:r>
          </w:p>
        </w:tc>
        <w:tc>
          <w:tcPr>
            <w:tcW w:w="8080" w:type="dxa"/>
            <w:shd w:val="clear" w:color="auto" w:fill="auto"/>
            <w:vAlign w:val="bottom"/>
            <w:hideMark/>
          </w:tcPr>
          <w:p w14:paraId="58F1E518" w14:textId="77777777" w:rsidR="006A6A5F" w:rsidRPr="001231C9" w:rsidRDefault="006A6A5F" w:rsidP="000E3F0E">
            <w:pPr>
              <w:rPr>
                <w:color w:val="000000"/>
                <w:szCs w:val="22"/>
              </w:rPr>
            </w:pPr>
            <w:r w:rsidRPr="001231C9">
              <w:rPr>
                <w:color w:val="000000"/>
                <w:szCs w:val="22"/>
              </w:rPr>
              <w:t xml:space="preserve">Saunders DL, </w:t>
            </w:r>
            <w:proofErr w:type="spellStart"/>
            <w:r w:rsidRPr="001231C9">
              <w:rPr>
                <w:color w:val="000000"/>
                <w:szCs w:val="22"/>
              </w:rPr>
              <w:t>Garges</w:t>
            </w:r>
            <w:proofErr w:type="spellEnd"/>
            <w:r w:rsidRPr="001231C9">
              <w:rPr>
                <w:color w:val="000000"/>
                <w:szCs w:val="22"/>
              </w:rPr>
              <w:t xml:space="preserve"> E, Manning JE, et al (2015). Safety, tolerability and compliance with long-term antimalarial chemoprophylaxis in American soldiers in Afghanistan. American Journal of Tropical Medicine &amp; Hygiene, 93(3): .</w:t>
            </w:r>
          </w:p>
        </w:tc>
      </w:tr>
      <w:tr w:rsidR="006A6A5F" w:rsidRPr="001231C9" w14:paraId="7A4E5D5F" w14:textId="77777777" w:rsidTr="000E3F0E">
        <w:trPr>
          <w:cantSplit/>
        </w:trPr>
        <w:tc>
          <w:tcPr>
            <w:tcW w:w="1413" w:type="dxa"/>
            <w:shd w:val="clear" w:color="auto" w:fill="auto"/>
            <w:noWrap/>
            <w:vAlign w:val="center"/>
            <w:hideMark/>
          </w:tcPr>
          <w:p w14:paraId="2C01E8B6" w14:textId="77777777" w:rsidR="006A6A5F" w:rsidRPr="001231C9" w:rsidRDefault="006A6A5F" w:rsidP="000E3F0E">
            <w:pPr>
              <w:jc w:val="center"/>
              <w:rPr>
                <w:color w:val="000000"/>
                <w:szCs w:val="22"/>
              </w:rPr>
            </w:pPr>
            <w:r w:rsidRPr="001231C9">
              <w:rPr>
                <w:color w:val="000000"/>
                <w:szCs w:val="22"/>
              </w:rPr>
              <w:t>81457</w:t>
            </w:r>
          </w:p>
        </w:tc>
        <w:tc>
          <w:tcPr>
            <w:tcW w:w="8080" w:type="dxa"/>
            <w:shd w:val="clear" w:color="auto" w:fill="auto"/>
            <w:vAlign w:val="bottom"/>
            <w:hideMark/>
          </w:tcPr>
          <w:p w14:paraId="60496256" w14:textId="77777777" w:rsidR="006A6A5F" w:rsidRPr="001231C9" w:rsidRDefault="006A6A5F" w:rsidP="000E3F0E">
            <w:pPr>
              <w:rPr>
                <w:color w:val="000000"/>
                <w:szCs w:val="22"/>
              </w:rPr>
            </w:pPr>
            <w:proofErr w:type="spellStart"/>
            <w:r w:rsidRPr="001231C9">
              <w:rPr>
                <w:color w:val="000000"/>
                <w:szCs w:val="22"/>
              </w:rPr>
              <w:t>Schlagenhauf</w:t>
            </w:r>
            <w:proofErr w:type="spellEnd"/>
            <w:r w:rsidRPr="001231C9">
              <w:rPr>
                <w:color w:val="000000"/>
                <w:szCs w:val="22"/>
              </w:rPr>
              <w:t xml:space="preserve"> P, </w:t>
            </w:r>
            <w:proofErr w:type="spellStart"/>
            <w:r w:rsidRPr="001231C9">
              <w:rPr>
                <w:color w:val="000000"/>
                <w:szCs w:val="22"/>
              </w:rPr>
              <w:t>Adamcova</w:t>
            </w:r>
            <w:proofErr w:type="spellEnd"/>
            <w:r w:rsidRPr="001231C9">
              <w:rPr>
                <w:color w:val="000000"/>
                <w:szCs w:val="22"/>
              </w:rPr>
              <w:t xml:space="preserve"> M, </w:t>
            </w:r>
            <w:proofErr w:type="spellStart"/>
            <w:r w:rsidRPr="001231C9">
              <w:rPr>
                <w:color w:val="000000"/>
                <w:szCs w:val="22"/>
              </w:rPr>
              <w:t>Regep</w:t>
            </w:r>
            <w:proofErr w:type="spellEnd"/>
            <w:r w:rsidRPr="001231C9">
              <w:rPr>
                <w:color w:val="000000"/>
                <w:szCs w:val="22"/>
              </w:rPr>
              <w:t xml:space="preserve"> L, et al (2010). The position of mefloquine as a 21st century malaria chemoprophylaxis. Malar J, 9: 357.</w:t>
            </w:r>
          </w:p>
        </w:tc>
      </w:tr>
      <w:tr w:rsidR="006A6A5F" w:rsidRPr="001231C9" w14:paraId="451C67C9" w14:textId="77777777" w:rsidTr="000E3F0E">
        <w:trPr>
          <w:cantSplit/>
        </w:trPr>
        <w:tc>
          <w:tcPr>
            <w:tcW w:w="1413" w:type="dxa"/>
            <w:shd w:val="clear" w:color="auto" w:fill="auto"/>
            <w:noWrap/>
            <w:vAlign w:val="center"/>
            <w:hideMark/>
          </w:tcPr>
          <w:p w14:paraId="2B610770" w14:textId="77777777" w:rsidR="006A6A5F" w:rsidRPr="001231C9" w:rsidRDefault="006A6A5F" w:rsidP="000E3F0E">
            <w:pPr>
              <w:jc w:val="center"/>
              <w:rPr>
                <w:color w:val="000000"/>
                <w:szCs w:val="22"/>
              </w:rPr>
            </w:pPr>
            <w:r w:rsidRPr="001231C9">
              <w:rPr>
                <w:color w:val="000000"/>
                <w:szCs w:val="22"/>
              </w:rPr>
              <w:t>80940</w:t>
            </w:r>
          </w:p>
        </w:tc>
        <w:tc>
          <w:tcPr>
            <w:tcW w:w="8080" w:type="dxa"/>
            <w:shd w:val="clear" w:color="auto" w:fill="auto"/>
            <w:vAlign w:val="bottom"/>
            <w:hideMark/>
          </w:tcPr>
          <w:p w14:paraId="44672C54" w14:textId="77777777" w:rsidR="006A6A5F" w:rsidRPr="001231C9" w:rsidRDefault="006A6A5F" w:rsidP="000E3F0E">
            <w:pPr>
              <w:rPr>
                <w:color w:val="000000"/>
                <w:szCs w:val="22"/>
              </w:rPr>
            </w:pPr>
            <w:proofErr w:type="spellStart"/>
            <w:r w:rsidRPr="001231C9">
              <w:rPr>
                <w:color w:val="000000"/>
                <w:szCs w:val="22"/>
              </w:rPr>
              <w:t>Schlagenhauf</w:t>
            </w:r>
            <w:proofErr w:type="spellEnd"/>
            <w:r w:rsidRPr="001231C9">
              <w:rPr>
                <w:color w:val="000000"/>
                <w:szCs w:val="22"/>
              </w:rPr>
              <w:t xml:space="preserve"> P, </w:t>
            </w:r>
            <w:proofErr w:type="spellStart"/>
            <w:r w:rsidRPr="001231C9">
              <w:rPr>
                <w:color w:val="000000"/>
                <w:szCs w:val="22"/>
              </w:rPr>
              <w:t>Tschopp</w:t>
            </w:r>
            <w:proofErr w:type="spellEnd"/>
            <w:r w:rsidRPr="001231C9">
              <w:rPr>
                <w:color w:val="000000"/>
                <w:szCs w:val="22"/>
              </w:rPr>
              <w:t xml:space="preserve"> A, Johnson R, et al (2003). Tolerability of malaria chemoprophylaxis in non-immune travellers to sub-Saharan Africa: multicentre, randomised, double blind, four arm study. BMJ, 327(7423): 1078.</w:t>
            </w:r>
          </w:p>
        </w:tc>
      </w:tr>
      <w:tr w:rsidR="006A6A5F" w:rsidRPr="001231C9" w14:paraId="2E345503" w14:textId="77777777" w:rsidTr="000E3F0E">
        <w:trPr>
          <w:cantSplit/>
        </w:trPr>
        <w:tc>
          <w:tcPr>
            <w:tcW w:w="1413" w:type="dxa"/>
            <w:shd w:val="clear" w:color="auto" w:fill="auto"/>
            <w:noWrap/>
            <w:vAlign w:val="center"/>
            <w:hideMark/>
          </w:tcPr>
          <w:p w14:paraId="6DC6589E" w14:textId="77777777" w:rsidR="006A6A5F" w:rsidRPr="001231C9" w:rsidRDefault="006A6A5F" w:rsidP="000E3F0E">
            <w:pPr>
              <w:jc w:val="center"/>
              <w:rPr>
                <w:color w:val="000000"/>
                <w:szCs w:val="22"/>
              </w:rPr>
            </w:pPr>
            <w:r w:rsidRPr="001231C9">
              <w:rPr>
                <w:color w:val="000000"/>
                <w:szCs w:val="22"/>
              </w:rPr>
              <w:t>16780</w:t>
            </w:r>
          </w:p>
        </w:tc>
        <w:tc>
          <w:tcPr>
            <w:tcW w:w="8080" w:type="dxa"/>
            <w:shd w:val="clear" w:color="auto" w:fill="auto"/>
            <w:vAlign w:val="bottom"/>
            <w:hideMark/>
          </w:tcPr>
          <w:p w14:paraId="6D4293FD" w14:textId="77777777" w:rsidR="006A6A5F" w:rsidRPr="001231C9" w:rsidRDefault="006A6A5F" w:rsidP="000E3F0E">
            <w:pPr>
              <w:rPr>
                <w:color w:val="000000"/>
                <w:szCs w:val="22"/>
              </w:rPr>
            </w:pPr>
            <w:r w:rsidRPr="001231C9">
              <w:rPr>
                <w:color w:val="000000"/>
                <w:szCs w:val="22"/>
              </w:rPr>
              <w:t>Schlossberg D (1980). Reaction to primaquine. Ann Intern Med, 92(3): 435.</w:t>
            </w:r>
          </w:p>
        </w:tc>
      </w:tr>
      <w:tr w:rsidR="006A6A5F" w:rsidRPr="001231C9" w14:paraId="6D3F2D99" w14:textId="77777777" w:rsidTr="000E3F0E">
        <w:trPr>
          <w:cantSplit/>
        </w:trPr>
        <w:tc>
          <w:tcPr>
            <w:tcW w:w="1413" w:type="dxa"/>
            <w:shd w:val="clear" w:color="auto" w:fill="auto"/>
            <w:noWrap/>
            <w:vAlign w:val="center"/>
            <w:hideMark/>
          </w:tcPr>
          <w:p w14:paraId="28AE108F" w14:textId="77777777" w:rsidR="006A6A5F" w:rsidRPr="001231C9" w:rsidRDefault="006A6A5F" w:rsidP="000E3F0E">
            <w:pPr>
              <w:jc w:val="center"/>
              <w:rPr>
                <w:color w:val="000000"/>
                <w:szCs w:val="22"/>
              </w:rPr>
            </w:pPr>
            <w:r w:rsidRPr="001231C9">
              <w:rPr>
                <w:color w:val="000000"/>
                <w:szCs w:val="22"/>
              </w:rPr>
              <w:t>81546</w:t>
            </w:r>
          </w:p>
        </w:tc>
        <w:tc>
          <w:tcPr>
            <w:tcW w:w="8080" w:type="dxa"/>
            <w:shd w:val="clear" w:color="auto" w:fill="auto"/>
            <w:vAlign w:val="bottom"/>
            <w:hideMark/>
          </w:tcPr>
          <w:p w14:paraId="38BE07D4" w14:textId="77777777" w:rsidR="006A6A5F" w:rsidRPr="001231C9" w:rsidRDefault="006A6A5F" w:rsidP="000E3F0E">
            <w:pPr>
              <w:rPr>
                <w:color w:val="000000"/>
                <w:szCs w:val="22"/>
              </w:rPr>
            </w:pPr>
            <w:r w:rsidRPr="001231C9">
              <w:rPr>
                <w:color w:val="000000"/>
                <w:szCs w:val="22"/>
              </w:rPr>
              <w:t xml:space="preserve">Schmidt I, Schmidt L (1949). Neurotoxicity of the 8-aminoquinolines; reactions of various experimental animals to </w:t>
            </w:r>
            <w:proofErr w:type="spellStart"/>
            <w:r w:rsidRPr="001231C9">
              <w:rPr>
                <w:color w:val="000000"/>
                <w:szCs w:val="22"/>
              </w:rPr>
              <w:t>plasmocid</w:t>
            </w:r>
            <w:proofErr w:type="spellEnd"/>
            <w:r w:rsidRPr="001231C9">
              <w:rPr>
                <w:color w:val="000000"/>
                <w:szCs w:val="22"/>
              </w:rPr>
              <w:t xml:space="preserve">. J Comp </w:t>
            </w:r>
            <w:proofErr w:type="spellStart"/>
            <w:r w:rsidRPr="001231C9">
              <w:rPr>
                <w:color w:val="000000"/>
                <w:szCs w:val="22"/>
              </w:rPr>
              <w:t>Neurol</w:t>
            </w:r>
            <w:proofErr w:type="spellEnd"/>
            <w:r w:rsidRPr="001231C9">
              <w:rPr>
                <w:color w:val="000000"/>
                <w:szCs w:val="22"/>
              </w:rPr>
              <w:t>, 91(3): 337-67.</w:t>
            </w:r>
          </w:p>
        </w:tc>
      </w:tr>
      <w:tr w:rsidR="006A6A5F" w:rsidRPr="001231C9" w14:paraId="3984CF04" w14:textId="77777777" w:rsidTr="000E3F0E">
        <w:trPr>
          <w:cantSplit/>
        </w:trPr>
        <w:tc>
          <w:tcPr>
            <w:tcW w:w="1413" w:type="dxa"/>
            <w:shd w:val="clear" w:color="auto" w:fill="auto"/>
            <w:noWrap/>
            <w:vAlign w:val="center"/>
            <w:hideMark/>
          </w:tcPr>
          <w:p w14:paraId="2BC541C4" w14:textId="77777777" w:rsidR="006A6A5F" w:rsidRPr="001231C9" w:rsidRDefault="006A6A5F" w:rsidP="000E3F0E">
            <w:pPr>
              <w:jc w:val="center"/>
              <w:rPr>
                <w:color w:val="000000"/>
                <w:szCs w:val="22"/>
              </w:rPr>
            </w:pPr>
            <w:r w:rsidRPr="001231C9">
              <w:rPr>
                <w:color w:val="000000"/>
                <w:szCs w:val="22"/>
              </w:rPr>
              <w:t>81433</w:t>
            </w:r>
          </w:p>
        </w:tc>
        <w:tc>
          <w:tcPr>
            <w:tcW w:w="8080" w:type="dxa"/>
            <w:shd w:val="clear" w:color="auto" w:fill="auto"/>
            <w:vAlign w:val="bottom"/>
            <w:hideMark/>
          </w:tcPr>
          <w:p w14:paraId="4978C75B" w14:textId="77777777" w:rsidR="006A6A5F" w:rsidRPr="001231C9" w:rsidRDefault="006A6A5F" w:rsidP="000E3F0E">
            <w:pPr>
              <w:rPr>
                <w:color w:val="000000"/>
                <w:szCs w:val="22"/>
              </w:rPr>
            </w:pPr>
            <w:r w:rsidRPr="001231C9">
              <w:rPr>
                <w:color w:val="000000"/>
                <w:szCs w:val="22"/>
              </w:rPr>
              <w:t xml:space="preserve">Schmidt IG, Schmidt LH (1951). Neurotoxicity of the 8-aminoquinolines. III. The effects of </w:t>
            </w:r>
            <w:proofErr w:type="spellStart"/>
            <w:r w:rsidRPr="001231C9">
              <w:rPr>
                <w:color w:val="000000"/>
                <w:szCs w:val="22"/>
              </w:rPr>
              <w:t>pentaquine</w:t>
            </w:r>
            <w:proofErr w:type="spellEnd"/>
            <w:r w:rsidRPr="001231C9">
              <w:rPr>
                <w:color w:val="000000"/>
                <w:szCs w:val="22"/>
              </w:rPr>
              <w:t xml:space="preserve">, </w:t>
            </w:r>
            <w:proofErr w:type="spellStart"/>
            <w:r w:rsidRPr="001231C9">
              <w:rPr>
                <w:color w:val="000000"/>
                <w:szCs w:val="22"/>
              </w:rPr>
              <w:t>isopentaquine</w:t>
            </w:r>
            <w:proofErr w:type="spellEnd"/>
            <w:r w:rsidRPr="001231C9">
              <w:rPr>
                <w:color w:val="000000"/>
                <w:szCs w:val="22"/>
              </w:rPr>
              <w:t xml:space="preserve">, primaquine, and </w:t>
            </w:r>
            <w:proofErr w:type="spellStart"/>
            <w:r w:rsidRPr="001231C9">
              <w:rPr>
                <w:color w:val="000000"/>
                <w:szCs w:val="22"/>
              </w:rPr>
              <w:t>pamaquine</w:t>
            </w:r>
            <w:proofErr w:type="spellEnd"/>
            <w:r w:rsidRPr="001231C9">
              <w:rPr>
                <w:color w:val="000000"/>
                <w:szCs w:val="22"/>
              </w:rPr>
              <w:t xml:space="preserve"> on the central nervous system of the rhesus monkey. </w:t>
            </w:r>
            <w:proofErr w:type="spellStart"/>
            <w:r w:rsidRPr="001231C9">
              <w:rPr>
                <w:color w:val="000000"/>
                <w:szCs w:val="22"/>
              </w:rPr>
              <w:t>neuropathol</w:t>
            </w:r>
            <w:proofErr w:type="spellEnd"/>
            <w:r w:rsidRPr="001231C9">
              <w:rPr>
                <w:color w:val="000000"/>
                <w:szCs w:val="22"/>
              </w:rPr>
              <w:t xml:space="preserve"> </w:t>
            </w:r>
            <w:proofErr w:type="spellStart"/>
            <w:r w:rsidRPr="001231C9">
              <w:rPr>
                <w:color w:val="000000"/>
                <w:szCs w:val="22"/>
              </w:rPr>
              <w:t>exp</w:t>
            </w:r>
            <w:proofErr w:type="spellEnd"/>
            <w:r w:rsidRPr="001231C9">
              <w:rPr>
                <w:color w:val="000000"/>
                <w:szCs w:val="22"/>
              </w:rPr>
              <w:t xml:space="preserve"> </w:t>
            </w:r>
            <w:proofErr w:type="spellStart"/>
            <w:r w:rsidRPr="001231C9">
              <w:rPr>
                <w:color w:val="000000"/>
                <w:szCs w:val="22"/>
              </w:rPr>
              <w:t>neurol</w:t>
            </w:r>
            <w:proofErr w:type="spellEnd"/>
            <w:r w:rsidRPr="001231C9">
              <w:rPr>
                <w:color w:val="000000"/>
                <w:szCs w:val="22"/>
              </w:rPr>
              <w:t>, 10(3): 231-56.</w:t>
            </w:r>
          </w:p>
        </w:tc>
      </w:tr>
      <w:tr w:rsidR="006A6A5F" w:rsidRPr="001231C9" w14:paraId="75D4965A" w14:textId="77777777" w:rsidTr="000E3F0E">
        <w:trPr>
          <w:cantSplit/>
        </w:trPr>
        <w:tc>
          <w:tcPr>
            <w:tcW w:w="1413" w:type="dxa"/>
            <w:shd w:val="clear" w:color="auto" w:fill="auto"/>
            <w:noWrap/>
            <w:vAlign w:val="center"/>
            <w:hideMark/>
          </w:tcPr>
          <w:p w14:paraId="3706A7F1" w14:textId="77777777" w:rsidR="006A6A5F" w:rsidRPr="001231C9" w:rsidRDefault="006A6A5F" w:rsidP="000E3F0E">
            <w:pPr>
              <w:jc w:val="center"/>
              <w:rPr>
                <w:color w:val="000000"/>
                <w:szCs w:val="22"/>
              </w:rPr>
            </w:pPr>
            <w:r w:rsidRPr="001231C9">
              <w:rPr>
                <w:color w:val="000000"/>
                <w:szCs w:val="22"/>
              </w:rPr>
              <w:t>75206</w:t>
            </w:r>
          </w:p>
        </w:tc>
        <w:tc>
          <w:tcPr>
            <w:tcW w:w="8080" w:type="dxa"/>
            <w:shd w:val="clear" w:color="auto" w:fill="auto"/>
            <w:vAlign w:val="bottom"/>
            <w:hideMark/>
          </w:tcPr>
          <w:p w14:paraId="15659A13" w14:textId="77777777" w:rsidR="006A6A5F" w:rsidRPr="001231C9" w:rsidRDefault="006A6A5F" w:rsidP="000E3F0E">
            <w:pPr>
              <w:rPr>
                <w:color w:val="000000"/>
                <w:szCs w:val="22"/>
              </w:rPr>
            </w:pPr>
            <w:r w:rsidRPr="001231C9">
              <w:rPr>
                <w:color w:val="000000"/>
                <w:szCs w:val="22"/>
              </w:rPr>
              <w:t xml:space="preserve">Schneider C, </w:t>
            </w:r>
            <w:proofErr w:type="spellStart"/>
            <w:r w:rsidRPr="001231C9">
              <w:rPr>
                <w:color w:val="000000"/>
                <w:szCs w:val="22"/>
              </w:rPr>
              <w:t>Adamcova</w:t>
            </w:r>
            <w:proofErr w:type="spellEnd"/>
            <w:r w:rsidRPr="001231C9">
              <w:rPr>
                <w:color w:val="000000"/>
                <w:szCs w:val="22"/>
              </w:rPr>
              <w:t xml:space="preserve"> M, </w:t>
            </w:r>
            <w:proofErr w:type="spellStart"/>
            <w:r w:rsidRPr="001231C9">
              <w:rPr>
                <w:color w:val="000000"/>
                <w:szCs w:val="22"/>
              </w:rPr>
              <w:t>Jick</w:t>
            </w:r>
            <w:proofErr w:type="spellEnd"/>
            <w:r w:rsidRPr="001231C9">
              <w:rPr>
                <w:color w:val="000000"/>
                <w:szCs w:val="22"/>
              </w:rPr>
              <w:t xml:space="preserve"> SS, et al (2013). Antimalarial chemoprophylaxis and the risk of neuropsychiatric disorders. Travel Medicine and Infectious Disease, 11: 71-80.</w:t>
            </w:r>
          </w:p>
        </w:tc>
      </w:tr>
      <w:tr w:rsidR="006A6A5F" w:rsidRPr="001231C9" w14:paraId="7B6C7C31" w14:textId="77777777" w:rsidTr="000E3F0E">
        <w:trPr>
          <w:cantSplit/>
        </w:trPr>
        <w:tc>
          <w:tcPr>
            <w:tcW w:w="1413" w:type="dxa"/>
            <w:shd w:val="clear" w:color="auto" w:fill="auto"/>
            <w:noWrap/>
            <w:vAlign w:val="center"/>
            <w:hideMark/>
          </w:tcPr>
          <w:p w14:paraId="7798F786" w14:textId="77777777" w:rsidR="006A6A5F" w:rsidRPr="001231C9" w:rsidRDefault="006A6A5F" w:rsidP="000E3F0E">
            <w:pPr>
              <w:jc w:val="center"/>
              <w:rPr>
                <w:color w:val="000000"/>
                <w:szCs w:val="22"/>
              </w:rPr>
            </w:pPr>
            <w:r w:rsidRPr="001231C9">
              <w:rPr>
                <w:color w:val="000000"/>
                <w:szCs w:val="22"/>
              </w:rPr>
              <w:t>80814</w:t>
            </w:r>
          </w:p>
        </w:tc>
        <w:tc>
          <w:tcPr>
            <w:tcW w:w="8080" w:type="dxa"/>
            <w:shd w:val="clear" w:color="auto" w:fill="auto"/>
            <w:vAlign w:val="bottom"/>
            <w:hideMark/>
          </w:tcPr>
          <w:p w14:paraId="425CC132" w14:textId="77777777" w:rsidR="006A6A5F" w:rsidRPr="001231C9" w:rsidRDefault="006A6A5F" w:rsidP="000E3F0E">
            <w:pPr>
              <w:rPr>
                <w:color w:val="000000"/>
                <w:szCs w:val="22"/>
              </w:rPr>
            </w:pPr>
            <w:r w:rsidRPr="001231C9">
              <w:rPr>
                <w:color w:val="000000"/>
                <w:szCs w:val="22"/>
              </w:rPr>
              <w:t xml:space="preserve">Shin JH, Park SJ, Jo YK, et al (2012). Suppression of autophagy exacerbates mefloquine-mediated cell death. </w:t>
            </w:r>
            <w:proofErr w:type="spellStart"/>
            <w:r w:rsidRPr="001231C9">
              <w:rPr>
                <w:color w:val="000000"/>
                <w:szCs w:val="22"/>
              </w:rPr>
              <w:t>Neurosci</w:t>
            </w:r>
            <w:proofErr w:type="spellEnd"/>
            <w:r w:rsidRPr="001231C9">
              <w:rPr>
                <w:color w:val="000000"/>
                <w:szCs w:val="22"/>
              </w:rPr>
              <w:t xml:space="preserve"> Lett, 515: 162-7.</w:t>
            </w:r>
          </w:p>
        </w:tc>
      </w:tr>
      <w:tr w:rsidR="006A6A5F" w:rsidRPr="001231C9" w14:paraId="332B1FD4" w14:textId="77777777" w:rsidTr="000E3F0E">
        <w:trPr>
          <w:cantSplit/>
        </w:trPr>
        <w:tc>
          <w:tcPr>
            <w:tcW w:w="1413" w:type="dxa"/>
            <w:shd w:val="clear" w:color="auto" w:fill="auto"/>
            <w:noWrap/>
            <w:vAlign w:val="center"/>
            <w:hideMark/>
          </w:tcPr>
          <w:p w14:paraId="0BE56CA0" w14:textId="77777777" w:rsidR="006A6A5F" w:rsidRPr="001231C9" w:rsidRDefault="006A6A5F" w:rsidP="000E3F0E">
            <w:pPr>
              <w:jc w:val="center"/>
              <w:rPr>
                <w:color w:val="000000"/>
                <w:szCs w:val="22"/>
              </w:rPr>
            </w:pPr>
            <w:r w:rsidRPr="001231C9">
              <w:rPr>
                <w:color w:val="000000"/>
                <w:szCs w:val="22"/>
              </w:rPr>
              <w:t>81204</w:t>
            </w:r>
          </w:p>
        </w:tc>
        <w:tc>
          <w:tcPr>
            <w:tcW w:w="8080" w:type="dxa"/>
            <w:shd w:val="clear" w:color="auto" w:fill="auto"/>
            <w:vAlign w:val="bottom"/>
            <w:hideMark/>
          </w:tcPr>
          <w:p w14:paraId="7B84DD4F" w14:textId="77777777" w:rsidR="006A6A5F" w:rsidRPr="001231C9" w:rsidRDefault="006A6A5F" w:rsidP="000E3F0E">
            <w:pPr>
              <w:rPr>
                <w:color w:val="000000"/>
                <w:szCs w:val="22"/>
              </w:rPr>
            </w:pPr>
            <w:r w:rsidRPr="001231C9">
              <w:rPr>
                <w:color w:val="000000"/>
                <w:szCs w:val="22"/>
              </w:rPr>
              <w:t xml:space="preserve">Silva </w:t>
            </w:r>
            <w:proofErr w:type="spellStart"/>
            <w:r w:rsidRPr="001231C9">
              <w:rPr>
                <w:color w:val="000000"/>
                <w:szCs w:val="22"/>
              </w:rPr>
              <w:t>Ap</w:t>
            </w:r>
            <w:proofErr w:type="spellEnd"/>
            <w:r w:rsidRPr="001231C9">
              <w:rPr>
                <w:color w:val="000000"/>
                <w:szCs w:val="22"/>
              </w:rPr>
              <w:t xml:space="preserve">, Martins T, </w:t>
            </w:r>
            <w:proofErr w:type="spellStart"/>
            <w:r w:rsidRPr="001231C9">
              <w:rPr>
                <w:color w:val="000000"/>
                <w:szCs w:val="22"/>
              </w:rPr>
              <w:t>Baptista</w:t>
            </w:r>
            <w:proofErr w:type="spellEnd"/>
            <w:r w:rsidRPr="001231C9">
              <w:rPr>
                <w:color w:val="000000"/>
                <w:szCs w:val="22"/>
              </w:rPr>
              <w:t xml:space="preserve"> S, et al (2010). Brain injury associated with widely abused amphetamines: </w:t>
            </w:r>
            <w:proofErr w:type="spellStart"/>
            <w:r w:rsidRPr="001231C9">
              <w:rPr>
                <w:color w:val="000000"/>
                <w:szCs w:val="22"/>
              </w:rPr>
              <w:t>neuroinflammation</w:t>
            </w:r>
            <w:proofErr w:type="spellEnd"/>
            <w:r w:rsidRPr="001231C9">
              <w:rPr>
                <w:color w:val="000000"/>
                <w:szCs w:val="22"/>
              </w:rPr>
              <w:t>, neurogenesis and blood-brain barrier. Current Drug Abuse Reviews, 3(4): 234-54.</w:t>
            </w:r>
          </w:p>
        </w:tc>
      </w:tr>
      <w:tr w:rsidR="006A6A5F" w:rsidRPr="001231C9" w14:paraId="7F96D6B0" w14:textId="77777777" w:rsidTr="000E3F0E">
        <w:trPr>
          <w:cantSplit/>
        </w:trPr>
        <w:tc>
          <w:tcPr>
            <w:tcW w:w="1413" w:type="dxa"/>
            <w:shd w:val="clear" w:color="auto" w:fill="auto"/>
            <w:noWrap/>
            <w:vAlign w:val="center"/>
            <w:hideMark/>
          </w:tcPr>
          <w:p w14:paraId="1870D2DF" w14:textId="77777777" w:rsidR="006A6A5F" w:rsidRPr="001231C9" w:rsidRDefault="006A6A5F" w:rsidP="000E3F0E">
            <w:pPr>
              <w:jc w:val="center"/>
              <w:rPr>
                <w:color w:val="000000"/>
                <w:szCs w:val="22"/>
              </w:rPr>
            </w:pPr>
            <w:r w:rsidRPr="001231C9">
              <w:rPr>
                <w:color w:val="000000"/>
                <w:szCs w:val="22"/>
              </w:rPr>
              <w:t>77918</w:t>
            </w:r>
          </w:p>
        </w:tc>
        <w:tc>
          <w:tcPr>
            <w:tcW w:w="8080" w:type="dxa"/>
            <w:shd w:val="clear" w:color="auto" w:fill="auto"/>
            <w:vAlign w:val="bottom"/>
            <w:hideMark/>
          </w:tcPr>
          <w:p w14:paraId="3B567A19" w14:textId="77777777" w:rsidR="006A6A5F" w:rsidRPr="001231C9" w:rsidRDefault="006A6A5F" w:rsidP="000E3F0E">
            <w:pPr>
              <w:rPr>
                <w:color w:val="000000"/>
                <w:szCs w:val="22"/>
              </w:rPr>
            </w:pPr>
            <w:r w:rsidRPr="001231C9">
              <w:rPr>
                <w:color w:val="000000"/>
                <w:szCs w:val="22"/>
              </w:rPr>
              <w:t>Terrell AG, Forde ME, Firth R, et al (2015). Malaria chemoprophylaxis and self-reported impact on ability to work: mefloquine versus doxycycline. J Travel Med, 22(6): 383-8.</w:t>
            </w:r>
          </w:p>
        </w:tc>
      </w:tr>
      <w:tr w:rsidR="006A6A5F" w:rsidRPr="001231C9" w14:paraId="71AF9B76" w14:textId="77777777" w:rsidTr="000E3F0E">
        <w:trPr>
          <w:cantSplit/>
        </w:trPr>
        <w:tc>
          <w:tcPr>
            <w:tcW w:w="1413" w:type="dxa"/>
            <w:shd w:val="clear" w:color="auto" w:fill="auto"/>
            <w:noWrap/>
            <w:vAlign w:val="center"/>
            <w:hideMark/>
          </w:tcPr>
          <w:p w14:paraId="58B71453" w14:textId="77777777" w:rsidR="006A6A5F" w:rsidRPr="001231C9" w:rsidRDefault="006A6A5F" w:rsidP="000E3F0E">
            <w:pPr>
              <w:jc w:val="center"/>
              <w:rPr>
                <w:color w:val="000000"/>
                <w:szCs w:val="22"/>
              </w:rPr>
            </w:pPr>
            <w:r w:rsidRPr="001231C9">
              <w:rPr>
                <w:color w:val="000000"/>
                <w:szCs w:val="22"/>
              </w:rPr>
              <w:t>75359</w:t>
            </w:r>
          </w:p>
        </w:tc>
        <w:tc>
          <w:tcPr>
            <w:tcW w:w="8080" w:type="dxa"/>
            <w:shd w:val="clear" w:color="auto" w:fill="auto"/>
            <w:vAlign w:val="bottom"/>
            <w:hideMark/>
          </w:tcPr>
          <w:p w14:paraId="02938DB2" w14:textId="77777777" w:rsidR="006A6A5F" w:rsidRPr="001231C9" w:rsidRDefault="006A6A5F" w:rsidP="000E3F0E">
            <w:pPr>
              <w:rPr>
                <w:color w:val="000000"/>
                <w:szCs w:val="22"/>
              </w:rPr>
            </w:pPr>
            <w:proofErr w:type="spellStart"/>
            <w:r w:rsidRPr="001231C9">
              <w:rPr>
                <w:color w:val="000000"/>
                <w:szCs w:val="22"/>
              </w:rPr>
              <w:t>Toovey</w:t>
            </w:r>
            <w:proofErr w:type="spellEnd"/>
            <w:r w:rsidRPr="001231C9">
              <w:rPr>
                <w:color w:val="000000"/>
                <w:szCs w:val="22"/>
              </w:rPr>
              <w:t xml:space="preserve"> S (2009). Mefloquine neurotoxicity: a literature review. Travel Medicine and Infectious Disease, 7(1): 2-6.</w:t>
            </w:r>
          </w:p>
        </w:tc>
      </w:tr>
      <w:tr w:rsidR="006A6A5F" w:rsidRPr="001231C9" w14:paraId="109B87F7" w14:textId="77777777" w:rsidTr="000E3F0E">
        <w:trPr>
          <w:cantSplit/>
        </w:trPr>
        <w:tc>
          <w:tcPr>
            <w:tcW w:w="1413" w:type="dxa"/>
            <w:shd w:val="clear" w:color="auto" w:fill="auto"/>
            <w:noWrap/>
            <w:vAlign w:val="center"/>
            <w:hideMark/>
          </w:tcPr>
          <w:p w14:paraId="78EBE7BD" w14:textId="77777777" w:rsidR="006A6A5F" w:rsidRPr="001231C9" w:rsidRDefault="006A6A5F" w:rsidP="000E3F0E">
            <w:pPr>
              <w:jc w:val="center"/>
              <w:rPr>
                <w:color w:val="000000"/>
                <w:szCs w:val="22"/>
              </w:rPr>
            </w:pPr>
            <w:r w:rsidRPr="001231C9">
              <w:rPr>
                <w:color w:val="000000"/>
                <w:szCs w:val="22"/>
              </w:rPr>
              <w:t>81440</w:t>
            </w:r>
          </w:p>
        </w:tc>
        <w:tc>
          <w:tcPr>
            <w:tcW w:w="8080" w:type="dxa"/>
            <w:shd w:val="clear" w:color="auto" w:fill="auto"/>
            <w:vAlign w:val="bottom"/>
            <w:hideMark/>
          </w:tcPr>
          <w:p w14:paraId="0D2647C2" w14:textId="77777777" w:rsidR="006A6A5F" w:rsidRPr="001231C9" w:rsidRDefault="006A6A5F" w:rsidP="000E3F0E">
            <w:pPr>
              <w:rPr>
                <w:color w:val="000000"/>
                <w:szCs w:val="22"/>
              </w:rPr>
            </w:pPr>
            <w:proofErr w:type="spellStart"/>
            <w:r w:rsidRPr="001231C9">
              <w:rPr>
                <w:color w:val="000000"/>
                <w:szCs w:val="22"/>
              </w:rPr>
              <w:t>Travassos</w:t>
            </w:r>
            <w:proofErr w:type="spellEnd"/>
            <w:r w:rsidRPr="001231C9">
              <w:rPr>
                <w:color w:val="000000"/>
                <w:szCs w:val="22"/>
              </w:rPr>
              <w:t xml:space="preserve"> M, </w:t>
            </w:r>
            <w:proofErr w:type="spellStart"/>
            <w:r w:rsidRPr="001231C9">
              <w:rPr>
                <w:color w:val="000000"/>
                <w:szCs w:val="22"/>
              </w:rPr>
              <w:t>Laufer</w:t>
            </w:r>
            <w:proofErr w:type="spellEnd"/>
            <w:r w:rsidRPr="001231C9">
              <w:rPr>
                <w:color w:val="000000"/>
                <w:szCs w:val="22"/>
              </w:rPr>
              <w:t xml:space="preserve"> M (2017). Antimalarial drugs: An overview. .  Retrieved 22 May 2017, from https://www.uptodate.com/contents/antimalarial-drugs-an-overview?source=search_result&amp;search=antimalarial%20drugs%20an%20overview&amp;selectedTitle=1~150</w:t>
            </w:r>
          </w:p>
        </w:tc>
      </w:tr>
      <w:tr w:rsidR="006A6A5F" w:rsidRPr="001231C9" w14:paraId="0FCC1809" w14:textId="77777777" w:rsidTr="000E3F0E">
        <w:trPr>
          <w:cantSplit/>
        </w:trPr>
        <w:tc>
          <w:tcPr>
            <w:tcW w:w="1413" w:type="dxa"/>
            <w:shd w:val="clear" w:color="auto" w:fill="auto"/>
            <w:noWrap/>
            <w:vAlign w:val="center"/>
            <w:hideMark/>
          </w:tcPr>
          <w:p w14:paraId="39BBC1D5" w14:textId="77777777" w:rsidR="006A6A5F" w:rsidRPr="001231C9" w:rsidRDefault="006A6A5F" w:rsidP="000E3F0E">
            <w:pPr>
              <w:jc w:val="center"/>
              <w:rPr>
                <w:color w:val="000000"/>
                <w:szCs w:val="22"/>
              </w:rPr>
            </w:pPr>
            <w:r w:rsidRPr="001231C9">
              <w:rPr>
                <w:color w:val="000000"/>
                <w:szCs w:val="22"/>
              </w:rPr>
              <w:t>81017</w:t>
            </w:r>
          </w:p>
        </w:tc>
        <w:tc>
          <w:tcPr>
            <w:tcW w:w="8080" w:type="dxa"/>
            <w:shd w:val="clear" w:color="auto" w:fill="auto"/>
            <w:vAlign w:val="bottom"/>
            <w:hideMark/>
          </w:tcPr>
          <w:p w14:paraId="7307DD92" w14:textId="77777777" w:rsidR="006A6A5F" w:rsidRPr="001231C9" w:rsidRDefault="006A6A5F" w:rsidP="000E3F0E">
            <w:pPr>
              <w:rPr>
                <w:color w:val="000000"/>
                <w:szCs w:val="22"/>
              </w:rPr>
            </w:pPr>
            <w:r w:rsidRPr="001231C9">
              <w:rPr>
                <w:color w:val="000000"/>
                <w:szCs w:val="22"/>
              </w:rPr>
              <w:t>Unknown (2013). Preventing malaria in military populations. .  Retrieved 29 March 2017, from https://www.whatdotheyknow.com/request/169307/response/416124/attach/html/3/JSP%20950%203%203%201%20Preventing%20Malaria%20in%20military%20Populations%20v5%20Jan13%20Final.pdf.html</w:t>
            </w:r>
          </w:p>
        </w:tc>
      </w:tr>
      <w:tr w:rsidR="006A6A5F" w:rsidRPr="001231C9" w14:paraId="3DD45D8A" w14:textId="77777777" w:rsidTr="000E3F0E">
        <w:trPr>
          <w:cantSplit/>
        </w:trPr>
        <w:tc>
          <w:tcPr>
            <w:tcW w:w="1413" w:type="dxa"/>
            <w:shd w:val="clear" w:color="auto" w:fill="auto"/>
            <w:noWrap/>
            <w:vAlign w:val="center"/>
            <w:hideMark/>
          </w:tcPr>
          <w:p w14:paraId="23C2DDA0" w14:textId="77777777" w:rsidR="006A6A5F" w:rsidRPr="001231C9" w:rsidRDefault="006A6A5F" w:rsidP="000E3F0E">
            <w:pPr>
              <w:jc w:val="center"/>
              <w:rPr>
                <w:color w:val="000000"/>
                <w:szCs w:val="22"/>
              </w:rPr>
            </w:pPr>
            <w:r w:rsidRPr="001231C9">
              <w:rPr>
                <w:color w:val="000000"/>
                <w:szCs w:val="22"/>
              </w:rPr>
              <w:t>81192</w:t>
            </w:r>
          </w:p>
        </w:tc>
        <w:tc>
          <w:tcPr>
            <w:tcW w:w="8080" w:type="dxa"/>
            <w:shd w:val="clear" w:color="auto" w:fill="auto"/>
            <w:vAlign w:val="bottom"/>
            <w:hideMark/>
          </w:tcPr>
          <w:p w14:paraId="05BCFA20" w14:textId="77777777" w:rsidR="006A6A5F" w:rsidRPr="001231C9" w:rsidRDefault="006A6A5F" w:rsidP="000E3F0E">
            <w:pPr>
              <w:rPr>
                <w:color w:val="000000"/>
                <w:szCs w:val="22"/>
              </w:rPr>
            </w:pPr>
            <w:r w:rsidRPr="001231C9">
              <w:rPr>
                <w:color w:val="000000"/>
                <w:szCs w:val="22"/>
              </w:rPr>
              <w:t xml:space="preserve">van </w:t>
            </w:r>
            <w:proofErr w:type="spellStart"/>
            <w:r w:rsidRPr="001231C9">
              <w:rPr>
                <w:color w:val="000000"/>
                <w:szCs w:val="22"/>
              </w:rPr>
              <w:t>Riemsdijk</w:t>
            </w:r>
            <w:proofErr w:type="spellEnd"/>
            <w:r w:rsidRPr="001231C9">
              <w:rPr>
                <w:color w:val="000000"/>
                <w:szCs w:val="22"/>
              </w:rPr>
              <w:t xml:space="preserve"> MM, </w:t>
            </w:r>
            <w:proofErr w:type="spellStart"/>
            <w:r w:rsidRPr="001231C9">
              <w:rPr>
                <w:color w:val="000000"/>
                <w:szCs w:val="22"/>
              </w:rPr>
              <w:t>Sturkenboom</w:t>
            </w:r>
            <w:proofErr w:type="spellEnd"/>
            <w:r w:rsidRPr="001231C9">
              <w:rPr>
                <w:color w:val="000000"/>
                <w:szCs w:val="22"/>
              </w:rPr>
              <w:t xml:space="preserve"> MCJM, </w:t>
            </w:r>
            <w:proofErr w:type="spellStart"/>
            <w:r w:rsidRPr="001231C9">
              <w:rPr>
                <w:color w:val="000000"/>
                <w:szCs w:val="22"/>
              </w:rPr>
              <w:t>Ditters</w:t>
            </w:r>
            <w:proofErr w:type="spellEnd"/>
            <w:r w:rsidRPr="001231C9">
              <w:rPr>
                <w:color w:val="000000"/>
                <w:szCs w:val="22"/>
              </w:rPr>
              <w:t xml:space="preserve"> JM, et al (2002). </w:t>
            </w:r>
            <w:proofErr w:type="spellStart"/>
            <w:r w:rsidRPr="001231C9">
              <w:rPr>
                <w:color w:val="000000"/>
                <w:szCs w:val="22"/>
              </w:rPr>
              <w:t>Atovaquone</w:t>
            </w:r>
            <w:proofErr w:type="spellEnd"/>
            <w:r w:rsidRPr="001231C9">
              <w:rPr>
                <w:color w:val="000000"/>
                <w:szCs w:val="22"/>
              </w:rPr>
              <w:t xml:space="preserve"> plus </w:t>
            </w:r>
            <w:proofErr w:type="spellStart"/>
            <w:r w:rsidRPr="001231C9">
              <w:rPr>
                <w:color w:val="000000"/>
                <w:szCs w:val="22"/>
              </w:rPr>
              <w:t>chloroguanide</w:t>
            </w:r>
            <w:proofErr w:type="spellEnd"/>
            <w:r w:rsidRPr="001231C9">
              <w:rPr>
                <w:color w:val="000000"/>
                <w:szCs w:val="22"/>
              </w:rPr>
              <w:t xml:space="preserve"> versus mefloquine for malaria prophylaxis: A focus on neuropsychiatric adverse events. </w:t>
            </w:r>
            <w:proofErr w:type="spellStart"/>
            <w:r w:rsidRPr="001231C9">
              <w:rPr>
                <w:color w:val="000000"/>
                <w:szCs w:val="22"/>
              </w:rPr>
              <w:t>Clin</w:t>
            </w:r>
            <w:proofErr w:type="spellEnd"/>
            <w:r w:rsidRPr="001231C9">
              <w:rPr>
                <w:color w:val="000000"/>
                <w:szCs w:val="22"/>
              </w:rPr>
              <w:t xml:space="preserve"> </w:t>
            </w:r>
            <w:proofErr w:type="spellStart"/>
            <w:r w:rsidRPr="001231C9">
              <w:rPr>
                <w:color w:val="000000"/>
                <w:szCs w:val="22"/>
              </w:rPr>
              <w:t>Pharmacol</w:t>
            </w:r>
            <w:proofErr w:type="spellEnd"/>
            <w:r w:rsidRPr="001231C9">
              <w:rPr>
                <w:color w:val="000000"/>
                <w:szCs w:val="22"/>
              </w:rPr>
              <w:t xml:space="preserve"> </w:t>
            </w:r>
            <w:proofErr w:type="spellStart"/>
            <w:r w:rsidRPr="001231C9">
              <w:rPr>
                <w:color w:val="000000"/>
                <w:szCs w:val="22"/>
              </w:rPr>
              <w:t>Ther</w:t>
            </w:r>
            <w:proofErr w:type="spellEnd"/>
            <w:r w:rsidRPr="001231C9">
              <w:rPr>
                <w:color w:val="000000"/>
                <w:szCs w:val="22"/>
              </w:rPr>
              <w:t>, 72(3): 294-301.</w:t>
            </w:r>
          </w:p>
        </w:tc>
      </w:tr>
      <w:tr w:rsidR="006A6A5F" w:rsidRPr="001231C9" w14:paraId="1E9922C5" w14:textId="77777777" w:rsidTr="000E3F0E">
        <w:trPr>
          <w:cantSplit/>
        </w:trPr>
        <w:tc>
          <w:tcPr>
            <w:tcW w:w="1413" w:type="dxa"/>
            <w:shd w:val="clear" w:color="auto" w:fill="auto"/>
            <w:noWrap/>
            <w:vAlign w:val="center"/>
            <w:hideMark/>
          </w:tcPr>
          <w:p w14:paraId="17154EA7" w14:textId="77777777" w:rsidR="006A6A5F" w:rsidRPr="001231C9" w:rsidRDefault="006A6A5F" w:rsidP="000E3F0E">
            <w:pPr>
              <w:jc w:val="center"/>
              <w:rPr>
                <w:color w:val="000000"/>
                <w:szCs w:val="22"/>
              </w:rPr>
            </w:pPr>
            <w:r w:rsidRPr="001231C9">
              <w:rPr>
                <w:color w:val="000000"/>
                <w:szCs w:val="22"/>
              </w:rPr>
              <w:t>82190</w:t>
            </w:r>
          </w:p>
        </w:tc>
        <w:tc>
          <w:tcPr>
            <w:tcW w:w="8080" w:type="dxa"/>
            <w:shd w:val="clear" w:color="auto" w:fill="auto"/>
            <w:vAlign w:val="bottom"/>
            <w:hideMark/>
          </w:tcPr>
          <w:p w14:paraId="27771624" w14:textId="77777777" w:rsidR="006A6A5F" w:rsidRPr="001231C9" w:rsidRDefault="006A6A5F" w:rsidP="000E3F0E">
            <w:pPr>
              <w:rPr>
                <w:color w:val="000000"/>
                <w:szCs w:val="22"/>
              </w:rPr>
            </w:pPr>
            <w:r w:rsidRPr="001231C9">
              <w:rPr>
                <w:color w:val="000000"/>
                <w:szCs w:val="22"/>
              </w:rPr>
              <w:t xml:space="preserve">van </w:t>
            </w:r>
            <w:proofErr w:type="spellStart"/>
            <w:r w:rsidRPr="001231C9">
              <w:rPr>
                <w:color w:val="000000"/>
                <w:szCs w:val="22"/>
              </w:rPr>
              <w:t>Riemsdijk</w:t>
            </w:r>
            <w:proofErr w:type="spellEnd"/>
            <w:r w:rsidRPr="001231C9">
              <w:rPr>
                <w:color w:val="000000"/>
                <w:szCs w:val="22"/>
              </w:rPr>
              <w:t xml:space="preserve"> MM, </w:t>
            </w:r>
            <w:proofErr w:type="spellStart"/>
            <w:r w:rsidRPr="001231C9">
              <w:rPr>
                <w:color w:val="000000"/>
                <w:szCs w:val="22"/>
              </w:rPr>
              <w:t>Sturkenboom</w:t>
            </w:r>
            <w:proofErr w:type="spellEnd"/>
            <w:r w:rsidRPr="001231C9">
              <w:rPr>
                <w:color w:val="000000"/>
                <w:szCs w:val="22"/>
              </w:rPr>
              <w:t xml:space="preserve"> MC, </w:t>
            </w:r>
            <w:proofErr w:type="spellStart"/>
            <w:r w:rsidRPr="001231C9">
              <w:rPr>
                <w:color w:val="000000"/>
                <w:szCs w:val="22"/>
              </w:rPr>
              <w:t>Pepplinkhuizen</w:t>
            </w:r>
            <w:proofErr w:type="spellEnd"/>
            <w:r w:rsidRPr="001231C9">
              <w:rPr>
                <w:color w:val="000000"/>
                <w:szCs w:val="22"/>
              </w:rPr>
              <w:t xml:space="preserve"> L, et al (2005). Mefloquine increases the risk of serious psychiatric events during travel abroad: a nationwide case-control study in The Netherlands. J </w:t>
            </w:r>
            <w:proofErr w:type="spellStart"/>
            <w:r w:rsidRPr="001231C9">
              <w:rPr>
                <w:color w:val="000000"/>
                <w:szCs w:val="22"/>
              </w:rPr>
              <w:t>Clin</w:t>
            </w:r>
            <w:proofErr w:type="spellEnd"/>
            <w:r w:rsidRPr="001231C9">
              <w:rPr>
                <w:color w:val="000000"/>
                <w:szCs w:val="22"/>
              </w:rPr>
              <w:t xml:space="preserve"> Psychiatry, 66: 199-204.</w:t>
            </w:r>
          </w:p>
        </w:tc>
      </w:tr>
      <w:tr w:rsidR="006A6A5F" w:rsidRPr="001231C9" w14:paraId="616AAD6C" w14:textId="77777777" w:rsidTr="000E3F0E">
        <w:trPr>
          <w:cantSplit/>
        </w:trPr>
        <w:tc>
          <w:tcPr>
            <w:tcW w:w="1413" w:type="dxa"/>
            <w:shd w:val="clear" w:color="auto" w:fill="auto"/>
            <w:noWrap/>
            <w:vAlign w:val="center"/>
            <w:hideMark/>
          </w:tcPr>
          <w:p w14:paraId="73D7A22D" w14:textId="77777777" w:rsidR="006A6A5F" w:rsidRPr="001231C9" w:rsidRDefault="006A6A5F" w:rsidP="000E3F0E">
            <w:pPr>
              <w:jc w:val="center"/>
              <w:rPr>
                <w:color w:val="000000"/>
                <w:szCs w:val="22"/>
              </w:rPr>
            </w:pPr>
            <w:r w:rsidRPr="001231C9">
              <w:rPr>
                <w:color w:val="000000"/>
                <w:szCs w:val="22"/>
              </w:rPr>
              <w:lastRenderedPageBreak/>
              <w:t>78020</w:t>
            </w:r>
          </w:p>
        </w:tc>
        <w:tc>
          <w:tcPr>
            <w:tcW w:w="8080" w:type="dxa"/>
            <w:shd w:val="clear" w:color="auto" w:fill="auto"/>
            <w:vAlign w:val="bottom"/>
            <w:hideMark/>
          </w:tcPr>
          <w:p w14:paraId="3275848C" w14:textId="77777777" w:rsidR="006A6A5F" w:rsidRPr="001231C9" w:rsidRDefault="006A6A5F" w:rsidP="000E3F0E">
            <w:pPr>
              <w:rPr>
                <w:color w:val="000000"/>
                <w:szCs w:val="22"/>
              </w:rPr>
            </w:pPr>
            <w:r w:rsidRPr="001231C9">
              <w:rPr>
                <w:color w:val="000000"/>
                <w:szCs w:val="22"/>
              </w:rPr>
              <w:t xml:space="preserve">Walsh DS, </w:t>
            </w:r>
            <w:proofErr w:type="spellStart"/>
            <w:r w:rsidRPr="001231C9">
              <w:rPr>
                <w:color w:val="000000"/>
                <w:szCs w:val="22"/>
              </w:rPr>
              <w:t>Eamsila</w:t>
            </w:r>
            <w:proofErr w:type="spellEnd"/>
            <w:r w:rsidRPr="001231C9">
              <w:rPr>
                <w:color w:val="000000"/>
                <w:szCs w:val="22"/>
              </w:rPr>
              <w:t xml:space="preserve"> C, </w:t>
            </w:r>
            <w:proofErr w:type="spellStart"/>
            <w:r w:rsidRPr="001231C9">
              <w:rPr>
                <w:color w:val="000000"/>
                <w:szCs w:val="22"/>
              </w:rPr>
              <w:t>Sasiprapha</w:t>
            </w:r>
            <w:proofErr w:type="spellEnd"/>
            <w:r w:rsidRPr="001231C9">
              <w:rPr>
                <w:color w:val="000000"/>
                <w:szCs w:val="22"/>
              </w:rPr>
              <w:t xml:space="preserve"> T, et al (2004). Efficacy of monthly tafenoquine for prophylaxis of plasmodium vivax and multidrug-resistant p. falciparum malaria. J Infect Dis, 190(8): 1456-63.</w:t>
            </w:r>
          </w:p>
        </w:tc>
      </w:tr>
      <w:tr w:rsidR="006A6A5F" w:rsidRPr="001231C9" w14:paraId="4915F54A" w14:textId="77777777" w:rsidTr="000E3F0E">
        <w:trPr>
          <w:cantSplit/>
        </w:trPr>
        <w:tc>
          <w:tcPr>
            <w:tcW w:w="1413" w:type="dxa"/>
            <w:shd w:val="clear" w:color="auto" w:fill="auto"/>
            <w:noWrap/>
            <w:vAlign w:val="center"/>
            <w:hideMark/>
          </w:tcPr>
          <w:p w14:paraId="548BFBC6" w14:textId="77777777" w:rsidR="006A6A5F" w:rsidRPr="001231C9" w:rsidRDefault="006A6A5F" w:rsidP="000E3F0E">
            <w:pPr>
              <w:jc w:val="center"/>
              <w:rPr>
                <w:color w:val="000000"/>
                <w:szCs w:val="22"/>
              </w:rPr>
            </w:pPr>
            <w:r w:rsidRPr="001231C9">
              <w:rPr>
                <w:color w:val="000000"/>
                <w:szCs w:val="22"/>
              </w:rPr>
              <w:t>78023</w:t>
            </w:r>
          </w:p>
        </w:tc>
        <w:tc>
          <w:tcPr>
            <w:tcW w:w="8080" w:type="dxa"/>
            <w:shd w:val="clear" w:color="auto" w:fill="auto"/>
            <w:vAlign w:val="bottom"/>
            <w:hideMark/>
          </w:tcPr>
          <w:p w14:paraId="1946B838" w14:textId="77777777" w:rsidR="006A6A5F" w:rsidRPr="001231C9" w:rsidRDefault="006A6A5F" w:rsidP="000E3F0E">
            <w:pPr>
              <w:rPr>
                <w:color w:val="000000"/>
                <w:szCs w:val="22"/>
              </w:rPr>
            </w:pPr>
            <w:r w:rsidRPr="001231C9">
              <w:rPr>
                <w:color w:val="000000"/>
                <w:szCs w:val="22"/>
              </w:rPr>
              <w:t xml:space="preserve">Walsh DS, </w:t>
            </w:r>
            <w:proofErr w:type="spellStart"/>
            <w:r w:rsidRPr="001231C9">
              <w:rPr>
                <w:color w:val="000000"/>
                <w:szCs w:val="22"/>
              </w:rPr>
              <w:t>Looareesuwan</w:t>
            </w:r>
            <w:proofErr w:type="spellEnd"/>
            <w:r w:rsidRPr="001231C9">
              <w:rPr>
                <w:color w:val="000000"/>
                <w:szCs w:val="22"/>
              </w:rPr>
              <w:t xml:space="preserve"> S, </w:t>
            </w:r>
            <w:proofErr w:type="spellStart"/>
            <w:r w:rsidRPr="001231C9">
              <w:rPr>
                <w:color w:val="000000"/>
                <w:szCs w:val="22"/>
              </w:rPr>
              <w:t>Wilairantana</w:t>
            </w:r>
            <w:proofErr w:type="spellEnd"/>
            <w:r w:rsidRPr="001231C9">
              <w:rPr>
                <w:color w:val="000000"/>
                <w:szCs w:val="22"/>
              </w:rPr>
              <w:t xml:space="preserve"> P, et al (1999). Randomized dose-ranging study of the safety and efficacy or WR238605 (tafenoquine) in the prevention of relapse of plasmodium vivax malaria in Thailand. J Infect Dis, 180(4): 1282-7.</w:t>
            </w:r>
          </w:p>
        </w:tc>
      </w:tr>
      <w:tr w:rsidR="006A6A5F" w:rsidRPr="001231C9" w14:paraId="59CFD981" w14:textId="77777777" w:rsidTr="000E3F0E">
        <w:trPr>
          <w:cantSplit/>
        </w:trPr>
        <w:tc>
          <w:tcPr>
            <w:tcW w:w="1413" w:type="dxa"/>
            <w:shd w:val="clear" w:color="auto" w:fill="auto"/>
            <w:noWrap/>
            <w:vAlign w:val="center"/>
            <w:hideMark/>
          </w:tcPr>
          <w:p w14:paraId="6A6FF385" w14:textId="77777777" w:rsidR="006A6A5F" w:rsidRPr="001231C9" w:rsidRDefault="006A6A5F" w:rsidP="000E3F0E">
            <w:pPr>
              <w:jc w:val="center"/>
              <w:rPr>
                <w:color w:val="000000"/>
                <w:szCs w:val="22"/>
              </w:rPr>
            </w:pPr>
            <w:r w:rsidRPr="001231C9">
              <w:rPr>
                <w:color w:val="000000"/>
                <w:szCs w:val="22"/>
              </w:rPr>
              <w:t>75208</w:t>
            </w:r>
          </w:p>
        </w:tc>
        <w:tc>
          <w:tcPr>
            <w:tcW w:w="8080" w:type="dxa"/>
            <w:shd w:val="clear" w:color="auto" w:fill="auto"/>
            <w:vAlign w:val="bottom"/>
            <w:hideMark/>
          </w:tcPr>
          <w:p w14:paraId="63DE14C6" w14:textId="77777777" w:rsidR="006A6A5F" w:rsidRPr="001231C9" w:rsidRDefault="006A6A5F" w:rsidP="000E3F0E">
            <w:pPr>
              <w:rPr>
                <w:color w:val="000000"/>
                <w:szCs w:val="22"/>
              </w:rPr>
            </w:pPr>
            <w:proofErr w:type="spellStart"/>
            <w:r w:rsidRPr="001231C9">
              <w:rPr>
                <w:color w:val="000000"/>
                <w:szCs w:val="22"/>
              </w:rPr>
              <w:t>Weinke</w:t>
            </w:r>
            <w:proofErr w:type="spellEnd"/>
            <w:r w:rsidRPr="001231C9">
              <w:rPr>
                <w:color w:val="000000"/>
                <w:szCs w:val="22"/>
              </w:rPr>
              <w:t xml:space="preserve"> T, </w:t>
            </w:r>
            <w:proofErr w:type="spellStart"/>
            <w:r w:rsidRPr="001231C9">
              <w:rPr>
                <w:color w:val="000000"/>
                <w:szCs w:val="22"/>
              </w:rPr>
              <w:t>Trautmann</w:t>
            </w:r>
            <w:proofErr w:type="spellEnd"/>
            <w:r w:rsidRPr="001231C9">
              <w:rPr>
                <w:color w:val="000000"/>
                <w:szCs w:val="22"/>
              </w:rPr>
              <w:t xml:space="preserve"> M, Held T, et al (1991). Neuropsychiatric side effects after the use of mefloquine. Am J Trop Med </w:t>
            </w:r>
            <w:proofErr w:type="spellStart"/>
            <w:r w:rsidRPr="001231C9">
              <w:rPr>
                <w:color w:val="000000"/>
                <w:szCs w:val="22"/>
              </w:rPr>
              <w:t>Hyg</w:t>
            </w:r>
            <w:proofErr w:type="spellEnd"/>
            <w:r w:rsidRPr="001231C9">
              <w:rPr>
                <w:color w:val="000000"/>
                <w:szCs w:val="22"/>
              </w:rPr>
              <w:t>, 45(1): 86-91.</w:t>
            </w:r>
          </w:p>
        </w:tc>
      </w:tr>
      <w:tr w:rsidR="006A6A5F" w:rsidRPr="001231C9" w14:paraId="2AD6DF08" w14:textId="77777777" w:rsidTr="000E3F0E">
        <w:trPr>
          <w:cantSplit/>
        </w:trPr>
        <w:tc>
          <w:tcPr>
            <w:tcW w:w="1413" w:type="dxa"/>
            <w:shd w:val="clear" w:color="auto" w:fill="auto"/>
            <w:noWrap/>
            <w:vAlign w:val="center"/>
            <w:hideMark/>
          </w:tcPr>
          <w:p w14:paraId="15D80115" w14:textId="77777777" w:rsidR="006A6A5F" w:rsidRPr="001231C9" w:rsidRDefault="006A6A5F" w:rsidP="000E3F0E">
            <w:pPr>
              <w:jc w:val="center"/>
              <w:rPr>
                <w:color w:val="000000"/>
                <w:szCs w:val="22"/>
              </w:rPr>
            </w:pPr>
            <w:r w:rsidRPr="001231C9">
              <w:rPr>
                <w:color w:val="000000"/>
                <w:szCs w:val="22"/>
              </w:rPr>
              <w:t>77259</w:t>
            </w:r>
          </w:p>
        </w:tc>
        <w:tc>
          <w:tcPr>
            <w:tcW w:w="8080" w:type="dxa"/>
            <w:shd w:val="clear" w:color="auto" w:fill="auto"/>
            <w:vAlign w:val="bottom"/>
            <w:hideMark/>
          </w:tcPr>
          <w:p w14:paraId="1AAE4697" w14:textId="77777777" w:rsidR="006A6A5F" w:rsidRPr="001231C9" w:rsidRDefault="006A6A5F" w:rsidP="000E3F0E">
            <w:pPr>
              <w:rPr>
                <w:color w:val="000000"/>
                <w:szCs w:val="22"/>
              </w:rPr>
            </w:pPr>
            <w:r w:rsidRPr="001231C9">
              <w:rPr>
                <w:color w:val="000000"/>
                <w:szCs w:val="22"/>
              </w:rPr>
              <w:t xml:space="preserve">Wells TS, Smith TC, Smith B (2006). Mefloquine use and hospitalizations among US service members, 2002-2004. Am J Trop Med </w:t>
            </w:r>
            <w:proofErr w:type="spellStart"/>
            <w:r w:rsidRPr="001231C9">
              <w:rPr>
                <w:color w:val="000000"/>
                <w:szCs w:val="22"/>
              </w:rPr>
              <w:t>Hyg</w:t>
            </w:r>
            <w:proofErr w:type="spellEnd"/>
            <w:r w:rsidRPr="001231C9">
              <w:rPr>
                <w:color w:val="000000"/>
                <w:szCs w:val="22"/>
              </w:rPr>
              <w:t>, 74(5): 744-749.</w:t>
            </w:r>
          </w:p>
        </w:tc>
      </w:tr>
      <w:tr w:rsidR="006A6A5F" w:rsidRPr="001231C9" w14:paraId="0B6C6CEC" w14:textId="77777777" w:rsidTr="000E3F0E">
        <w:trPr>
          <w:cantSplit/>
        </w:trPr>
        <w:tc>
          <w:tcPr>
            <w:tcW w:w="1413" w:type="dxa"/>
            <w:shd w:val="clear" w:color="auto" w:fill="auto"/>
            <w:noWrap/>
            <w:vAlign w:val="center"/>
            <w:hideMark/>
          </w:tcPr>
          <w:p w14:paraId="1036F706" w14:textId="77777777" w:rsidR="006A6A5F" w:rsidRPr="001231C9" w:rsidRDefault="006A6A5F" w:rsidP="000E3F0E">
            <w:pPr>
              <w:jc w:val="center"/>
              <w:rPr>
                <w:color w:val="000000"/>
                <w:szCs w:val="22"/>
              </w:rPr>
            </w:pPr>
            <w:r w:rsidRPr="001231C9">
              <w:rPr>
                <w:color w:val="000000"/>
                <w:szCs w:val="22"/>
              </w:rPr>
              <w:t>80936</w:t>
            </w:r>
          </w:p>
        </w:tc>
        <w:tc>
          <w:tcPr>
            <w:tcW w:w="8080" w:type="dxa"/>
            <w:shd w:val="clear" w:color="auto" w:fill="auto"/>
            <w:vAlign w:val="bottom"/>
            <w:hideMark/>
          </w:tcPr>
          <w:p w14:paraId="27AF4EBD" w14:textId="77777777" w:rsidR="006A6A5F" w:rsidRPr="001231C9" w:rsidRDefault="006A6A5F" w:rsidP="000E3F0E">
            <w:pPr>
              <w:rPr>
                <w:color w:val="000000"/>
                <w:szCs w:val="22"/>
              </w:rPr>
            </w:pPr>
            <w:r w:rsidRPr="001231C9">
              <w:rPr>
                <w:color w:val="000000"/>
                <w:szCs w:val="22"/>
              </w:rPr>
              <w:t>WHO (2015). WHO Model list of essential medicines. 19th List. .  Retrieved 8 March 2017, from http://www.who.int/medicines/publications/essentialmedicines/EML_2015_FINAL_amended_NOV2015.pdf?ua=1</w:t>
            </w:r>
          </w:p>
        </w:tc>
      </w:tr>
      <w:tr w:rsidR="006A6A5F" w:rsidRPr="001231C9" w14:paraId="2EE58DB4" w14:textId="77777777" w:rsidTr="000E3F0E">
        <w:trPr>
          <w:cantSplit/>
        </w:trPr>
        <w:tc>
          <w:tcPr>
            <w:tcW w:w="1413" w:type="dxa"/>
            <w:shd w:val="clear" w:color="auto" w:fill="auto"/>
            <w:noWrap/>
            <w:vAlign w:val="center"/>
            <w:hideMark/>
          </w:tcPr>
          <w:p w14:paraId="599B5F6B" w14:textId="77777777" w:rsidR="006A6A5F" w:rsidRPr="001231C9" w:rsidRDefault="006A6A5F" w:rsidP="000E3F0E">
            <w:pPr>
              <w:jc w:val="center"/>
              <w:rPr>
                <w:color w:val="000000"/>
                <w:szCs w:val="22"/>
              </w:rPr>
            </w:pPr>
            <w:r w:rsidRPr="001231C9">
              <w:rPr>
                <w:color w:val="000000"/>
                <w:szCs w:val="22"/>
              </w:rPr>
              <w:t>80937</w:t>
            </w:r>
          </w:p>
        </w:tc>
        <w:tc>
          <w:tcPr>
            <w:tcW w:w="8080" w:type="dxa"/>
            <w:shd w:val="clear" w:color="auto" w:fill="auto"/>
            <w:vAlign w:val="bottom"/>
            <w:hideMark/>
          </w:tcPr>
          <w:p w14:paraId="38A862DD" w14:textId="77777777" w:rsidR="006A6A5F" w:rsidRPr="001231C9" w:rsidRDefault="006A6A5F" w:rsidP="000E3F0E">
            <w:pPr>
              <w:rPr>
                <w:color w:val="000000"/>
                <w:szCs w:val="22"/>
              </w:rPr>
            </w:pPr>
            <w:r w:rsidRPr="001231C9">
              <w:rPr>
                <w:color w:val="000000"/>
                <w:szCs w:val="22"/>
              </w:rPr>
              <w:t>WHO (2017). Essential and health products: essential medicines. .  Retrieved 8 March 2017, from http://www.who.int/medicines/services/essmedicines_def/en/</w:t>
            </w:r>
          </w:p>
        </w:tc>
      </w:tr>
      <w:tr w:rsidR="006A6A5F" w:rsidRPr="001231C9" w14:paraId="489B9A43" w14:textId="77777777" w:rsidTr="000E3F0E">
        <w:trPr>
          <w:cantSplit/>
        </w:trPr>
        <w:tc>
          <w:tcPr>
            <w:tcW w:w="1413" w:type="dxa"/>
            <w:shd w:val="clear" w:color="auto" w:fill="auto"/>
            <w:noWrap/>
            <w:vAlign w:val="center"/>
            <w:hideMark/>
          </w:tcPr>
          <w:p w14:paraId="377A0EEE" w14:textId="77777777" w:rsidR="006A6A5F" w:rsidRPr="001231C9" w:rsidRDefault="006A6A5F" w:rsidP="000E3F0E">
            <w:pPr>
              <w:jc w:val="center"/>
              <w:rPr>
                <w:color w:val="000000"/>
                <w:szCs w:val="22"/>
              </w:rPr>
            </w:pPr>
            <w:r w:rsidRPr="001231C9">
              <w:rPr>
                <w:color w:val="000000"/>
                <w:szCs w:val="22"/>
              </w:rPr>
              <w:t>80804</w:t>
            </w:r>
          </w:p>
        </w:tc>
        <w:tc>
          <w:tcPr>
            <w:tcW w:w="8080" w:type="dxa"/>
            <w:shd w:val="clear" w:color="auto" w:fill="auto"/>
            <w:vAlign w:val="bottom"/>
            <w:hideMark/>
          </w:tcPr>
          <w:p w14:paraId="609B8073" w14:textId="77777777" w:rsidR="006A6A5F" w:rsidRPr="001231C9" w:rsidRDefault="006A6A5F" w:rsidP="000E3F0E">
            <w:pPr>
              <w:rPr>
                <w:color w:val="000000"/>
                <w:szCs w:val="22"/>
              </w:rPr>
            </w:pPr>
            <w:r w:rsidRPr="001231C9">
              <w:rPr>
                <w:color w:val="000000"/>
                <w:szCs w:val="22"/>
              </w:rPr>
              <w:t xml:space="preserve">Yu D, Ding D, Jiang H, et al (2011). Mefloquine damage vestibular hair cells in </w:t>
            </w:r>
            <w:proofErr w:type="spellStart"/>
            <w:r w:rsidRPr="001231C9">
              <w:rPr>
                <w:color w:val="000000"/>
                <w:szCs w:val="22"/>
              </w:rPr>
              <w:t>organotypic</w:t>
            </w:r>
            <w:proofErr w:type="spellEnd"/>
            <w:r w:rsidRPr="001231C9">
              <w:rPr>
                <w:color w:val="000000"/>
                <w:szCs w:val="22"/>
              </w:rPr>
              <w:t xml:space="preserve"> cultures. </w:t>
            </w:r>
            <w:proofErr w:type="spellStart"/>
            <w:r w:rsidRPr="001231C9">
              <w:rPr>
                <w:color w:val="000000"/>
                <w:szCs w:val="22"/>
              </w:rPr>
              <w:t>Neurotox</w:t>
            </w:r>
            <w:proofErr w:type="spellEnd"/>
            <w:r w:rsidRPr="001231C9">
              <w:rPr>
                <w:color w:val="000000"/>
                <w:szCs w:val="22"/>
              </w:rPr>
              <w:t xml:space="preserve"> Res, 20(1): 51-8.</w:t>
            </w:r>
          </w:p>
        </w:tc>
      </w:tr>
    </w:tbl>
    <w:p w14:paraId="1479D80E" w14:textId="77777777" w:rsidR="006A6A5F" w:rsidRPr="00330A62" w:rsidRDefault="006A6A5F" w:rsidP="006A6A5F">
      <w:pPr>
        <w:jc w:val="center"/>
        <w:rPr>
          <w:snapToGrid w:val="0"/>
          <w:szCs w:val="22"/>
          <w:lang w:eastAsia="en-US"/>
        </w:rPr>
      </w:pPr>
    </w:p>
    <w:p w14:paraId="21625127" w14:textId="77777777" w:rsidR="00F66D26" w:rsidRPr="008702F5" w:rsidRDefault="00F66D26" w:rsidP="00C6296D">
      <w:pPr>
        <w:pStyle w:val="Heading3"/>
        <w:rPr>
          <w:rFonts w:ascii="Calibri" w:hAnsi="Calibri"/>
          <w:i w:val="0"/>
          <w:sz w:val="24"/>
          <w:szCs w:val="24"/>
        </w:rPr>
      </w:pPr>
    </w:p>
    <w:tbl>
      <w:tblPr>
        <w:tblW w:w="8250" w:type="dxa"/>
        <w:tblLayout w:type="fixed"/>
        <w:tblCellMar>
          <w:left w:w="30" w:type="dxa"/>
          <w:right w:w="30" w:type="dxa"/>
        </w:tblCellMar>
        <w:tblLook w:val="0000" w:firstRow="0" w:lastRow="0" w:firstColumn="0" w:lastColumn="0" w:noHBand="0" w:noVBand="0"/>
      </w:tblPr>
      <w:tblGrid>
        <w:gridCol w:w="8250"/>
      </w:tblGrid>
      <w:tr w:rsidR="00F66D26" w:rsidRPr="008702F5" w14:paraId="409D7F67" w14:textId="77777777" w:rsidTr="008702F5">
        <w:trPr>
          <w:cantSplit/>
          <w:trHeight w:val="851"/>
        </w:trPr>
        <w:tc>
          <w:tcPr>
            <w:tcW w:w="8250" w:type="dxa"/>
            <w:vAlign w:val="center"/>
          </w:tcPr>
          <w:p w14:paraId="53D00442" w14:textId="77777777" w:rsidR="006A6A5F" w:rsidRDefault="006A6A5F" w:rsidP="006A6A5F">
            <w:pPr>
              <w:pStyle w:val="BodyTextIndent"/>
              <w:ind w:hanging="720"/>
              <w:jc w:val="center"/>
              <w:rPr>
                <w:sz w:val="23"/>
                <w:szCs w:val="23"/>
              </w:rPr>
            </w:pPr>
            <w:r>
              <w:rPr>
                <w:noProof/>
                <w:sz w:val="23"/>
                <w:szCs w:val="23"/>
              </w:rPr>
              <w:drawing>
                <wp:anchor distT="0" distB="0" distL="114300" distR="114300" simplePos="0" relativeHeight="251661312" behindDoc="0" locked="0" layoutInCell="1" allowOverlap="1" wp14:anchorId="6906F154" wp14:editId="4A651136">
                  <wp:simplePos x="0" y="0"/>
                  <wp:positionH relativeFrom="column">
                    <wp:posOffset>1395730</wp:posOffset>
                  </wp:positionH>
                  <wp:positionV relativeFrom="paragraph">
                    <wp:posOffset>-568960</wp:posOffset>
                  </wp:positionV>
                  <wp:extent cx="3067050" cy="9429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pic:spPr>
                      </pic:pic>
                    </a:graphicData>
                  </a:graphic>
                  <wp14:sizeRelH relativeFrom="page">
                    <wp14:pctWidth>0</wp14:pctWidth>
                  </wp14:sizeRelH>
                  <wp14:sizeRelV relativeFrom="page">
                    <wp14:pctHeight>0</wp14:pctHeight>
                  </wp14:sizeRelV>
                </wp:anchor>
              </w:drawing>
            </w:r>
          </w:p>
          <w:p w14:paraId="6E402F91" w14:textId="77777777" w:rsidR="006A6A5F" w:rsidRPr="00B6711D" w:rsidRDefault="006A6A5F" w:rsidP="006A6A5F">
            <w:pPr>
              <w:pStyle w:val="BodyTextIndent"/>
              <w:ind w:hanging="720"/>
              <w:jc w:val="left"/>
              <w:rPr>
                <w:sz w:val="28"/>
                <w:szCs w:val="28"/>
              </w:rPr>
            </w:pPr>
            <w:r w:rsidRPr="00B6711D">
              <w:rPr>
                <w:sz w:val="28"/>
                <w:szCs w:val="28"/>
              </w:rPr>
              <w:t>APPENDIX A</w:t>
            </w:r>
          </w:p>
          <w:p w14:paraId="2F6DB47B" w14:textId="77777777" w:rsidR="006A6A5F" w:rsidRDefault="006A6A5F" w:rsidP="006A6A5F">
            <w:pPr>
              <w:pStyle w:val="BodyTextIndent"/>
              <w:ind w:left="284" w:hanging="284"/>
              <w:rPr>
                <w:sz w:val="24"/>
                <w:szCs w:val="24"/>
              </w:rPr>
            </w:pPr>
          </w:p>
          <w:p w14:paraId="1EB18E41" w14:textId="77777777" w:rsidR="006A6A5F" w:rsidRPr="00DF59E7" w:rsidRDefault="006A6A5F" w:rsidP="006A6A5F">
            <w:pPr>
              <w:pStyle w:val="BodyTextIndent"/>
              <w:ind w:left="284" w:hanging="284"/>
              <w:rPr>
                <w:sz w:val="24"/>
                <w:szCs w:val="24"/>
              </w:rPr>
            </w:pPr>
            <w:r w:rsidRPr="00DF59E7">
              <w:rPr>
                <w:sz w:val="24"/>
                <w:szCs w:val="24"/>
              </w:rPr>
              <w:t xml:space="preserve">Information received in relation to investigation </w:t>
            </w:r>
            <w:r>
              <w:rPr>
                <w:sz w:val="24"/>
                <w:szCs w:val="24"/>
              </w:rPr>
              <w:t>424-1</w:t>
            </w:r>
            <w:r w:rsidRPr="00DF59E7">
              <w:rPr>
                <w:sz w:val="24"/>
                <w:szCs w:val="24"/>
              </w:rPr>
              <w:t xml:space="preserve"> concerning</w:t>
            </w:r>
            <w:r w:rsidRPr="006D6FCF">
              <w:rPr>
                <w:sz w:val="24"/>
                <w:szCs w:val="24"/>
              </w:rPr>
              <w:t xml:space="preserve"> chemically-acquired brain injury caused by mefloquine, tafenoquine or primaquine </w:t>
            </w:r>
            <w:r w:rsidRPr="00DF59E7">
              <w:rPr>
                <w:sz w:val="24"/>
                <w:szCs w:val="24"/>
              </w:rPr>
              <w:t>as at 2 August 2017</w:t>
            </w:r>
          </w:p>
          <w:p w14:paraId="1CAB169A" w14:textId="77777777" w:rsidR="006A6A5F" w:rsidRPr="00DF59E7" w:rsidRDefault="006A6A5F" w:rsidP="006A6A5F">
            <w:pPr>
              <w:pStyle w:val="BodyText"/>
              <w:jc w:val="both"/>
              <w:rPr>
                <w:szCs w:val="24"/>
              </w:rPr>
            </w:pPr>
          </w:p>
          <w:p w14:paraId="6A8ED441" w14:textId="77777777" w:rsidR="006A6A5F" w:rsidRPr="00DF59E7" w:rsidRDefault="006A6A5F" w:rsidP="006A6A5F">
            <w:pPr>
              <w:spacing w:after="120"/>
              <w:jc w:val="both"/>
              <w:rPr>
                <w:b/>
                <w:sz w:val="24"/>
              </w:rPr>
            </w:pPr>
            <w:r w:rsidRPr="00DF59E7">
              <w:rPr>
                <w:b/>
                <w:sz w:val="24"/>
              </w:rPr>
              <w:t>1.</w:t>
            </w:r>
            <w:r w:rsidRPr="00DF59E7">
              <w:rPr>
                <w:b/>
                <w:sz w:val="24"/>
              </w:rPr>
              <w:tab/>
              <w:t>Submissions</w:t>
            </w:r>
          </w:p>
          <w:p w14:paraId="0471B84E" w14:textId="77777777" w:rsidR="006A6A5F" w:rsidRDefault="00BB32A6" w:rsidP="006A6A5F">
            <w:pPr>
              <w:numPr>
                <w:ilvl w:val="1"/>
                <w:numId w:val="33"/>
              </w:numPr>
              <w:jc w:val="both"/>
              <w:rPr>
                <w:sz w:val="24"/>
              </w:rPr>
            </w:pPr>
            <w:r w:rsidRPr="00BB32A6">
              <w:rPr>
                <w:sz w:val="24"/>
                <w:highlight w:val="black"/>
              </w:rPr>
              <w:t xml:space="preserve">      </w:t>
            </w:r>
            <w:r>
              <w:rPr>
                <w:sz w:val="24"/>
                <w:highlight w:val="black"/>
              </w:rPr>
              <w:t xml:space="preserve">        </w:t>
            </w:r>
            <w:r w:rsidRPr="00BB32A6">
              <w:rPr>
                <w:sz w:val="24"/>
                <w:highlight w:val="black"/>
              </w:rPr>
              <w:t xml:space="preserve">      </w:t>
            </w:r>
            <w:r w:rsidRPr="00BB32A6">
              <w:rPr>
                <w:sz w:val="24"/>
              </w:rPr>
              <w:t xml:space="preserve"> </w:t>
            </w:r>
            <w:r w:rsidR="006A6A5F">
              <w:rPr>
                <w:sz w:val="24"/>
              </w:rPr>
              <w:t xml:space="preserve"> – email submission </w:t>
            </w:r>
            <w:r w:rsidR="006A6A5F" w:rsidRPr="002B03FC">
              <w:rPr>
                <w:sz w:val="24"/>
              </w:rPr>
              <w:t xml:space="preserve">concerning  </w:t>
            </w:r>
            <w:r w:rsidR="006A6A5F">
              <w:rPr>
                <w:sz w:val="24"/>
              </w:rPr>
              <w:t>i</w:t>
            </w:r>
            <w:r w:rsidR="006A6A5F" w:rsidRPr="002B03FC">
              <w:rPr>
                <w:sz w:val="24"/>
              </w:rPr>
              <w:t>nformation for the RMA review of SOPs related to adverse effects of mefloquine - 4 January 2016</w:t>
            </w:r>
            <w:r w:rsidR="006A6A5F">
              <w:rPr>
                <w:sz w:val="24"/>
              </w:rPr>
              <w:t xml:space="preserve"> (</w:t>
            </w:r>
            <w:r w:rsidR="006A6A5F" w:rsidRPr="002B03FC">
              <w:rPr>
                <w:sz w:val="24"/>
              </w:rPr>
              <w:t>1690R</w:t>
            </w:r>
            <w:r w:rsidR="006A6A5F">
              <w:rPr>
                <w:sz w:val="24"/>
              </w:rPr>
              <w:t>);</w:t>
            </w:r>
          </w:p>
          <w:p w14:paraId="19B83106" w14:textId="77777777" w:rsidR="006A6A5F" w:rsidRDefault="006A6A5F" w:rsidP="006A6A5F">
            <w:pPr>
              <w:numPr>
                <w:ilvl w:val="1"/>
                <w:numId w:val="33"/>
              </w:numPr>
              <w:jc w:val="both"/>
              <w:rPr>
                <w:sz w:val="24"/>
              </w:rPr>
            </w:pPr>
            <w:r>
              <w:rPr>
                <w:sz w:val="24"/>
              </w:rPr>
              <w:t>RMA medical researcher d</w:t>
            </w:r>
            <w:r w:rsidRPr="00FF1044">
              <w:rPr>
                <w:sz w:val="24"/>
              </w:rPr>
              <w:t xml:space="preserve">iscussion paper - evaluation of articles concerning mefloquine toxicity syndrome - February 2016 </w:t>
            </w:r>
            <w:r>
              <w:rPr>
                <w:sz w:val="24"/>
              </w:rPr>
              <w:t>(</w:t>
            </w:r>
            <w:r w:rsidRPr="00FF1044">
              <w:rPr>
                <w:sz w:val="24"/>
              </w:rPr>
              <w:t>16269R</w:t>
            </w:r>
            <w:r>
              <w:rPr>
                <w:sz w:val="24"/>
              </w:rPr>
              <w:t>);</w:t>
            </w:r>
          </w:p>
          <w:p w14:paraId="4A3D7EDB" w14:textId="77777777" w:rsidR="006A6A5F" w:rsidRPr="002B03FC" w:rsidRDefault="006A6A5F" w:rsidP="006A6A5F">
            <w:pPr>
              <w:numPr>
                <w:ilvl w:val="1"/>
                <w:numId w:val="33"/>
              </w:numPr>
              <w:jc w:val="both"/>
              <w:rPr>
                <w:sz w:val="24"/>
              </w:rPr>
            </w:pPr>
            <w:r>
              <w:rPr>
                <w:sz w:val="24"/>
              </w:rPr>
              <w:t>R</w:t>
            </w:r>
            <w:r w:rsidRPr="002B03FC">
              <w:rPr>
                <w:sz w:val="24"/>
              </w:rPr>
              <w:t xml:space="preserve">epatriation Commission &amp; Military Rehabilitation and Compensation Commission (Mr Simon Lewis PSM) </w:t>
            </w:r>
            <w:r>
              <w:rPr>
                <w:sz w:val="24"/>
              </w:rPr>
              <w:t xml:space="preserve">- </w:t>
            </w:r>
            <w:r w:rsidRPr="002B03FC">
              <w:rPr>
                <w:sz w:val="24"/>
              </w:rPr>
              <w:t>request for investigation</w:t>
            </w:r>
            <w:r>
              <w:rPr>
                <w:sz w:val="24"/>
              </w:rPr>
              <w:t xml:space="preserve"> of acquired brain injury and anti-malarial drugs - 6 February 2017</w:t>
            </w:r>
            <w:r w:rsidRPr="002B03FC">
              <w:rPr>
                <w:sz w:val="24"/>
              </w:rPr>
              <w:t xml:space="preserve"> (17823R);</w:t>
            </w:r>
          </w:p>
          <w:p w14:paraId="343882EF" w14:textId="77777777" w:rsidR="006A6A5F" w:rsidRDefault="00BB32A6" w:rsidP="006A6A5F">
            <w:pPr>
              <w:numPr>
                <w:ilvl w:val="1"/>
                <w:numId w:val="33"/>
              </w:numPr>
              <w:jc w:val="both"/>
              <w:rPr>
                <w:sz w:val="24"/>
              </w:rPr>
            </w:pPr>
            <w:r>
              <w:rPr>
                <w:sz w:val="24"/>
                <w:highlight w:val="black"/>
              </w:rPr>
              <w:t xml:space="preserve">                         </w:t>
            </w:r>
            <w:r>
              <w:rPr>
                <w:sz w:val="24"/>
              </w:rPr>
              <w:t xml:space="preserve"> - s</w:t>
            </w:r>
            <w:r w:rsidR="006A6A5F" w:rsidRPr="002B03FC">
              <w:rPr>
                <w:sz w:val="24"/>
              </w:rPr>
              <w:t>ubmission - chemically-acquired brain injury caused by mefloquine, tafenoquine or primaquine - 15 February 2017</w:t>
            </w:r>
            <w:r w:rsidR="006A6A5F">
              <w:rPr>
                <w:sz w:val="24"/>
              </w:rPr>
              <w:t xml:space="preserve"> (</w:t>
            </w:r>
            <w:r w:rsidR="006A6A5F" w:rsidRPr="00E60C26">
              <w:rPr>
                <w:sz w:val="24"/>
              </w:rPr>
              <w:t>172294R</w:t>
            </w:r>
            <w:r w:rsidR="006A6A5F">
              <w:rPr>
                <w:sz w:val="24"/>
              </w:rPr>
              <w:t>);</w:t>
            </w:r>
          </w:p>
          <w:p w14:paraId="7703C976" w14:textId="77777777" w:rsidR="006A6A5F" w:rsidRDefault="00BB32A6" w:rsidP="006A6A5F">
            <w:pPr>
              <w:numPr>
                <w:ilvl w:val="1"/>
                <w:numId w:val="33"/>
              </w:numPr>
              <w:jc w:val="both"/>
              <w:rPr>
                <w:sz w:val="24"/>
              </w:rPr>
            </w:pPr>
            <w:r>
              <w:rPr>
                <w:sz w:val="24"/>
                <w:highlight w:val="black"/>
              </w:rPr>
              <w:t xml:space="preserve">                        </w:t>
            </w:r>
            <w:r w:rsidR="006A6A5F" w:rsidRPr="00E60C26">
              <w:rPr>
                <w:sz w:val="24"/>
              </w:rPr>
              <w:t xml:space="preserve"> </w:t>
            </w:r>
            <w:r>
              <w:rPr>
                <w:sz w:val="24"/>
              </w:rPr>
              <w:t>- s</w:t>
            </w:r>
            <w:r w:rsidR="006A6A5F" w:rsidRPr="00E60C26">
              <w:rPr>
                <w:sz w:val="24"/>
              </w:rPr>
              <w:t xml:space="preserve">ubmission </w:t>
            </w:r>
            <w:r w:rsidR="006A6A5F">
              <w:rPr>
                <w:sz w:val="24"/>
              </w:rPr>
              <w:t>and letter -</w:t>
            </w:r>
            <w:r w:rsidR="006A6A5F" w:rsidRPr="00E60C26">
              <w:rPr>
                <w:sz w:val="24"/>
              </w:rPr>
              <w:t xml:space="preserve"> chemically-acquired brain injury caused by mefloquine, tafenoquine or primaquine - 10 May 2017</w:t>
            </w:r>
            <w:r w:rsidR="006A6A5F">
              <w:rPr>
                <w:sz w:val="24"/>
              </w:rPr>
              <w:t xml:space="preserve"> (</w:t>
            </w:r>
            <w:r w:rsidR="006A6A5F" w:rsidRPr="00E60C26">
              <w:rPr>
                <w:sz w:val="24"/>
              </w:rPr>
              <w:t>172498R</w:t>
            </w:r>
            <w:r w:rsidR="006A6A5F">
              <w:rPr>
                <w:sz w:val="24"/>
              </w:rPr>
              <w:t xml:space="preserve"> &amp; </w:t>
            </w:r>
            <w:r w:rsidR="006A6A5F" w:rsidRPr="00E60C26">
              <w:rPr>
                <w:sz w:val="24"/>
              </w:rPr>
              <w:t>172499R</w:t>
            </w:r>
            <w:r w:rsidR="006A6A5F">
              <w:rPr>
                <w:sz w:val="24"/>
              </w:rPr>
              <w:t xml:space="preserve">); </w:t>
            </w:r>
          </w:p>
          <w:p w14:paraId="6754AE5F" w14:textId="77777777" w:rsidR="006A6A5F" w:rsidRDefault="00BB32A6" w:rsidP="006A6A5F">
            <w:pPr>
              <w:numPr>
                <w:ilvl w:val="1"/>
                <w:numId w:val="33"/>
              </w:numPr>
              <w:jc w:val="both"/>
              <w:rPr>
                <w:sz w:val="24"/>
              </w:rPr>
            </w:pPr>
            <w:r>
              <w:rPr>
                <w:sz w:val="24"/>
                <w:highlight w:val="black"/>
              </w:rPr>
              <w:t xml:space="preserve">                          </w:t>
            </w:r>
            <w:r w:rsidRPr="00BB32A6">
              <w:rPr>
                <w:sz w:val="24"/>
                <w:highlight w:val="black"/>
              </w:rPr>
              <w:t xml:space="preserve">  </w:t>
            </w:r>
            <w:r>
              <w:rPr>
                <w:sz w:val="24"/>
              </w:rPr>
              <w:t xml:space="preserve"> - s</w:t>
            </w:r>
            <w:r w:rsidR="006A6A5F" w:rsidRPr="00EA2EF5">
              <w:rPr>
                <w:sz w:val="24"/>
              </w:rPr>
              <w:t>ubmission - chemically-acquired brain injury caused by mefloquine, tafenoquine or primaquine -10 May 2017</w:t>
            </w:r>
            <w:r w:rsidR="006A6A5F">
              <w:rPr>
                <w:sz w:val="24"/>
              </w:rPr>
              <w:t xml:space="preserve"> (</w:t>
            </w:r>
            <w:r w:rsidR="006A6A5F" w:rsidRPr="00EA2EF5">
              <w:rPr>
                <w:sz w:val="24"/>
              </w:rPr>
              <w:t>172559R</w:t>
            </w:r>
            <w:r w:rsidR="006A6A5F">
              <w:rPr>
                <w:sz w:val="24"/>
              </w:rPr>
              <w:t>);</w:t>
            </w:r>
          </w:p>
          <w:p w14:paraId="36B2721E" w14:textId="77777777" w:rsidR="006A6A5F" w:rsidRDefault="00BB32A6" w:rsidP="006A6A5F">
            <w:pPr>
              <w:numPr>
                <w:ilvl w:val="1"/>
                <w:numId w:val="33"/>
              </w:numPr>
              <w:jc w:val="both"/>
              <w:rPr>
                <w:sz w:val="24"/>
              </w:rPr>
            </w:pPr>
            <w:r>
              <w:rPr>
                <w:sz w:val="24"/>
                <w:highlight w:val="black"/>
              </w:rPr>
              <w:t xml:space="preserve">                       </w:t>
            </w:r>
            <w:r w:rsidRPr="00BB32A6">
              <w:rPr>
                <w:sz w:val="24"/>
                <w:highlight w:val="black"/>
              </w:rPr>
              <w:t xml:space="preserve">  </w:t>
            </w:r>
            <w:r>
              <w:rPr>
                <w:sz w:val="24"/>
              </w:rPr>
              <w:t xml:space="preserve"> - s</w:t>
            </w:r>
            <w:r w:rsidR="006A6A5F" w:rsidRPr="00E60C26">
              <w:rPr>
                <w:sz w:val="24"/>
              </w:rPr>
              <w:t>ubmission - chemically-acquired brain injury - 16 May 2017</w:t>
            </w:r>
            <w:r w:rsidR="006A6A5F">
              <w:rPr>
                <w:sz w:val="24"/>
              </w:rPr>
              <w:t xml:space="preserve"> (</w:t>
            </w:r>
            <w:r w:rsidR="006A6A5F" w:rsidRPr="00E60C26">
              <w:rPr>
                <w:sz w:val="24"/>
              </w:rPr>
              <w:t>172535R</w:t>
            </w:r>
            <w:r w:rsidR="006A6A5F">
              <w:rPr>
                <w:sz w:val="24"/>
              </w:rPr>
              <w:t>);</w:t>
            </w:r>
          </w:p>
          <w:p w14:paraId="76D0A92F" w14:textId="77777777" w:rsidR="006A6A5F" w:rsidRDefault="00BB32A6" w:rsidP="006A6A5F">
            <w:pPr>
              <w:numPr>
                <w:ilvl w:val="1"/>
                <w:numId w:val="33"/>
              </w:numPr>
              <w:jc w:val="both"/>
              <w:rPr>
                <w:sz w:val="24"/>
              </w:rPr>
            </w:pPr>
            <w:r>
              <w:rPr>
                <w:sz w:val="24"/>
                <w:highlight w:val="black"/>
              </w:rPr>
              <w:t xml:space="preserve">                   </w:t>
            </w:r>
            <w:r w:rsidRPr="00BB32A6">
              <w:rPr>
                <w:sz w:val="24"/>
                <w:highlight w:val="black"/>
              </w:rPr>
              <w:t xml:space="preserve">  </w:t>
            </w:r>
            <w:r w:rsidR="006A6A5F" w:rsidRPr="00E60C26">
              <w:rPr>
                <w:sz w:val="24"/>
              </w:rPr>
              <w:t xml:space="preserve"> </w:t>
            </w:r>
            <w:r>
              <w:rPr>
                <w:sz w:val="24"/>
              </w:rPr>
              <w:t xml:space="preserve"> - s</w:t>
            </w:r>
            <w:r w:rsidR="006A6A5F" w:rsidRPr="00E60C26">
              <w:rPr>
                <w:sz w:val="24"/>
              </w:rPr>
              <w:t>ubmission - chemically-acquired brain injury caused by mefloquine, tafenoquine or primaquine - 18 May 2017</w:t>
            </w:r>
            <w:r w:rsidR="006A6A5F">
              <w:rPr>
                <w:sz w:val="24"/>
              </w:rPr>
              <w:t xml:space="preserve"> (</w:t>
            </w:r>
            <w:r w:rsidR="006A6A5F" w:rsidRPr="00E60C26">
              <w:rPr>
                <w:sz w:val="24"/>
              </w:rPr>
              <w:t>172543R</w:t>
            </w:r>
            <w:r w:rsidR="006A6A5F">
              <w:rPr>
                <w:sz w:val="24"/>
              </w:rPr>
              <w:t>);</w:t>
            </w:r>
          </w:p>
          <w:p w14:paraId="3DF76A6F" w14:textId="77777777" w:rsidR="006A6A5F" w:rsidRDefault="00BB32A6" w:rsidP="006A6A5F">
            <w:pPr>
              <w:numPr>
                <w:ilvl w:val="1"/>
                <w:numId w:val="33"/>
              </w:numPr>
              <w:jc w:val="both"/>
              <w:rPr>
                <w:sz w:val="24"/>
              </w:rPr>
            </w:pPr>
            <w:r>
              <w:rPr>
                <w:sz w:val="24"/>
                <w:highlight w:val="black"/>
              </w:rPr>
              <w:t xml:space="preserve">                       </w:t>
            </w:r>
            <w:r w:rsidRPr="00BB32A6">
              <w:rPr>
                <w:sz w:val="24"/>
                <w:highlight w:val="black"/>
              </w:rPr>
              <w:t xml:space="preserve"> </w:t>
            </w:r>
            <w:r w:rsidR="006A6A5F" w:rsidRPr="00E60C26">
              <w:rPr>
                <w:sz w:val="24"/>
              </w:rPr>
              <w:t xml:space="preserve"> - </w:t>
            </w:r>
            <w:r>
              <w:rPr>
                <w:sz w:val="24"/>
              </w:rPr>
              <w:t>s</w:t>
            </w:r>
            <w:r w:rsidR="006A6A5F" w:rsidRPr="00E60C26">
              <w:rPr>
                <w:sz w:val="24"/>
              </w:rPr>
              <w:t>ubmission - chemically acquired brain injury - 1</w:t>
            </w:r>
            <w:r w:rsidR="006A6A5F">
              <w:rPr>
                <w:sz w:val="24"/>
              </w:rPr>
              <w:t>8</w:t>
            </w:r>
            <w:r w:rsidR="006A6A5F" w:rsidRPr="00E60C26">
              <w:rPr>
                <w:sz w:val="24"/>
              </w:rPr>
              <w:t xml:space="preserve"> May 2017</w:t>
            </w:r>
            <w:r w:rsidR="006A6A5F">
              <w:rPr>
                <w:sz w:val="24"/>
              </w:rPr>
              <w:t xml:space="preserve"> (</w:t>
            </w:r>
            <w:r w:rsidR="006A6A5F" w:rsidRPr="00144617">
              <w:rPr>
                <w:sz w:val="24"/>
              </w:rPr>
              <w:t>172557R</w:t>
            </w:r>
            <w:r w:rsidR="006A6A5F">
              <w:rPr>
                <w:sz w:val="24"/>
              </w:rPr>
              <w:t>);</w:t>
            </w:r>
          </w:p>
          <w:p w14:paraId="57BAEFA0" w14:textId="77777777" w:rsidR="006A6A5F" w:rsidRPr="00BB32A6" w:rsidRDefault="005B6F80" w:rsidP="006A6A5F">
            <w:pPr>
              <w:numPr>
                <w:ilvl w:val="1"/>
                <w:numId w:val="33"/>
              </w:numPr>
              <w:jc w:val="both"/>
              <w:rPr>
                <w:sz w:val="24"/>
              </w:rPr>
            </w:pPr>
            <w:r w:rsidRPr="00BB32A6">
              <w:rPr>
                <w:sz w:val="24"/>
                <w:highlight w:val="black"/>
              </w:rPr>
              <w:t xml:space="preserve">                         </w:t>
            </w:r>
            <w:r>
              <w:rPr>
                <w:sz w:val="24"/>
              </w:rPr>
              <w:t xml:space="preserve"> </w:t>
            </w:r>
            <w:r w:rsidR="006A6A5F" w:rsidRPr="00E60C26">
              <w:rPr>
                <w:sz w:val="24"/>
              </w:rPr>
              <w:t xml:space="preserve"> Submission - chemically acquired brain injury - 19 May 2</w:t>
            </w:r>
            <w:r w:rsidR="006A6A5F" w:rsidRPr="00BB32A6">
              <w:rPr>
                <w:sz w:val="24"/>
              </w:rPr>
              <w:t>017 (172550R);</w:t>
            </w:r>
          </w:p>
          <w:p w14:paraId="3987BC05" w14:textId="77777777" w:rsidR="006A6A5F" w:rsidRPr="00BB32A6" w:rsidRDefault="00BB32A6" w:rsidP="006A6A5F">
            <w:pPr>
              <w:numPr>
                <w:ilvl w:val="1"/>
                <w:numId w:val="33"/>
              </w:numPr>
              <w:jc w:val="both"/>
              <w:rPr>
                <w:sz w:val="24"/>
              </w:rPr>
            </w:pPr>
            <w:r w:rsidRPr="00BB32A6">
              <w:rPr>
                <w:sz w:val="24"/>
                <w:highlight w:val="black"/>
              </w:rPr>
              <w:t xml:space="preserve">  </w:t>
            </w:r>
            <w:r>
              <w:rPr>
                <w:sz w:val="24"/>
                <w:highlight w:val="black"/>
              </w:rPr>
              <w:t xml:space="preserve">                                                                       </w:t>
            </w:r>
            <w:r w:rsidR="0002565E">
              <w:rPr>
                <w:sz w:val="24"/>
                <w:highlight w:val="black"/>
              </w:rPr>
              <w:t xml:space="preserve">     &amp;        &amp;       &amp;         &amp;          &amp;                &amp;                  &amp;</w:t>
            </w:r>
            <w:r>
              <w:rPr>
                <w:sz w:val="24"/>
                <w:highlight w:val="black"/>
              </w:rPr>
              <w:t xml:space="preserve">                          </w:t>
            </w:r>
            <w:r w:rsidR="0002565E">
              <w:rPr>
                <w:sz w:val="24"/>
                <w:highlight w:val="black"/>
              </w:rPr>
              <w:t>&amp;                      &amp;      &amp;         &amp;           &amp;              .</w:t>
            </w:r>
            <w:r w:rsidR="006A6A5F" w:rsidRPr="00BB32A6">
              <w:rPr>
                <w:sz w:val="24"/>
              </w:rPr>
              <w:t xml:space="preserve"> </w:t>
            </w:r>
          </w:p>
          <w:p w14:paraId="2744DF10" w14:textId="77777777" w:rsidR="006A6A5F" w:rsidRPr="00DF59E7" w:rsidRDefault="006A6A5F" w:rsidP="006A6A5F">
            <w:pPr>
              <w:spacing w:after="120"/>
              <w:jc w:val="both"/>
              <w:rPr>
                <w:sz w:val="24"/>
              </w:rPr>
            </w:pPr>
          </w:p>
          <w:p w14:paraId="182E3B16" w14:textId="77777777" w:rsidR="00F66D26" w:rsidRPr="008702F5" w:rsidRDefault="00F66D26" w:rsidP="00C6296D">
            <w:pPr>
              <w:pStyle w:val="Heading3"/>
              <w:rPr>
                <w:rFonts w:ascii="Calibri" w:hAnsi="Calibri"/>
                <w:i w:val="0"/>
                <w:sz w:val="24"/>
                <w:szCs w:val="24"/>
              </w:rPr>
            </w:pPr>
          </w:p>
        </w:tc>
      </w:tr>
    </w:tbl>
    <w:p w14:paraId="752D6609" w14:textId="77777777" w:rsidR="006A6A5F" w:rsidRDefault="006A6A5F">
      <w:r>
        <w:rPr>
          <w:b/>
          <w:bCs/>
          <w:i/>
        </w:rPr>
        <w:br w:type="page"/>
      </w:r>
    </w:p>
    <w:tbl>
      <w:tblPr>
        <w:tblW w:w="8250" w:type="dxa"/>
        <w:tblLayout w:type="fixed"/>
        <w:tblCellMar>
          <w:left w:w="30" w:type="dxa"/>
          <w:right w:w="30" w:type="dxa"/>
        </w:tblCellMar>
        <w:tblLook w:val="0000" w:firstRow="0" w:lastRow="0" w:firstColumn="0" w:lastColumn="0" w:noHBand="0" w:noVBand="0"/>
      </w:tblPr>
      <w:tblGrid>
        <w:gridCol w:w="8250"/>
      </w:tblGrid>
      <w:tr w:rsidR="00F66D26" w:rsidRPr="008702F5" w14:paraId="2DD4F1D8" w14:textId="77777777" w:rsidTr="008702F5">
        <w:trPr>
          <w:cantSplit/>
          <w:trHeight w:val="851"/>
        </w:trPr>
        <w:tc>
          <w:tcPr>
            <w:tcW w:w="8250" w:type="dxa"/>
            <w:vAlign w:val="center"/>
          </w:tcPr>
          <w:p w14:paraId="69B05C61" w14:textId="77777777" w:rsidR="00F66D26" w:rsidRPr="008702F5" w:rsidRDefault="006A6A5F" w:rsidP="00C6296D">
            <w:pPr>
              <w:pStyle w:val="Heading3"/>
              <w:rPr>
                <w:rFonts w:ascii="Calibri" w:hAnsi="Calibri"/>
                <w:i w:val="0"/>
                <w:sz w:val="24"/>
                <w:szCs w:val="24"/>
              </w:rPr>
            </w:pPr>
            <w:bookmarkStart w:id="69" w:name="_Toc483923013"/>
            <w:r>
              <w:rPr>
                <w:rFonts w:ascii="Calibri" w:hAnsi="Calibri"/>
                <w:i w:val="0"/>
                <w:sz w:val="24"/>
                <w:szCs w:val="24"/>
              </w:rPr>
              <w:lastRenderedPageBreak/>
              <w:t>B2</w:t>
            </w:r>
            <w:r w:rsidR="00F66D26" w:rsidRPr="008702F5">
              <w:rPr>
                <w:rFonts w:ascii="Calibri" w:hAnsi="Calibri"/>
                <w:i w:val="0"/>
                <w:sz w:val="24"/>
                <w:szCs w:val="24"/>
              </w:rPr>
              <w:t xml:space="preserve"> NEW MATERIAL WHICH WAS NOT BEFORE THE RMA</w:t>
            </w:r>
            <w:bookmarkEnd w:id="69"/>
          </w:p>
        </w:tc>
      </w:tr>
    </w:tbl>
    <w:p w14:paraId="5D4EC7EE" w14:textId="77777777" w:rsidR="00F66D26" w:rsidRPr="00395532" w:rsidRDefault="00F66D26" w:rsidP="00F66D26">
      <w:pPr>
        <w:rPr>
          <w:rFonts w:ascii="Calibri" w:hAnsi="Calibri"/>
          <w:sz w:val="24"/>
        </w:rPr>
      </w:pPr>
    </w:p>
    <w:bookmarkEnd w:id="6"/>
    <w:p w14:paraId="3258D4D9"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Armistead-</w:t>
      </w:r>
      <w:proofErr w:type="spellStart"/>
      <w:r w:rsidRPr="009E3BA7">
        <w:rPr>
          <w:rFonts w:ascii="Calibri" w:hAnsi="Calibri"/>
          <w:sz w:val="24"/>
          <w:szCs w:val="24"/>
        </w:rPr>
        <w:t>Jehle</w:t>
      </w:r>
      <w:proofErr w:type="spellEnd"/>
      <w:r w:rsidRPr="009E3BA7">
        <w:rPr>
          <w:rFonts w:ascii="Calibri" w:hAnsi="Calibri"/>
          <w:sz w:val="24"/>
          <w:szCs w:val="24"/>
        </w:rPr>
        <w:t>, P., et al. (2017). "Unique Aspects of Traumatic Brain Injury in</w:t>
      </w:r>
    </w:p>
    <w:p w14:paraId="14EA4514"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Military and Veteran Populations." Phys Med </w:t>
      </w:r>
      <w:proofErr w:type="spellStart"/>
      <w:r w:rsidRPr="009E3BA7">
        <w:rPr>
          <w:rFonts w:ascii="Calibri" w:hAnsi="Calibri"/>
          <w:sz w:val="24"/>
          <w:szCs w:val="24"/>
        </w:rPr>
        <w:t>Rehabil</w:t>
      </w:r>
      <w:proofErr w:type="spellEnd"/>
      <w:r w:rsidRPr="009E3BA7">
        <w:rPr>
          <w:rFonts w:ascii="Calibri" w:hAnsi="Calibri"/>
          <w:sz w:val="24"/>
          <w:szCs w:val="24"/>
        </w:rPr>
        <w:t xml:space="preserve"> </w:t>
      </w:r>
      <w:proofErr w:type="spellStart"/>
      <w:r w:rsidRPr="009E3BA7">
        <w:rPr>
          <w:rFonts w:ascii="Calibri" w:hAnsi="Calibri"/>
          <w:sz w:val="24"/>
          <w:szCs w:val="24"/>
        </w:rPr>
        <w:t>Clin</w:t>
      </w:r>
      <w:proofErr w:type="spellEnd"/>
      <w:r w:rsidRPr="009E3BA7">
        <w:rPr>
          <w:rFonts w:ascii="Calibri" w:hAnsi="Calibri"/>
          <w:sz w:val="24"/>
          <w:szCs w:val="24"/>
        </w:rPr>
        <w:t xml:space="preserve"> N Am 28(2): 323-337.</w:t>
      </w:r>
    </w:p>
    <w:p w14:paraId="7A68C53D" w14:textId="77777777" w:rsidR="009330B3" w:rsidRPr="009E3BA7" w:rsidRDefault="009330B3" w:rsidP="009330B3">
      <w:pPr>
        <w:pStyle w:val="NumberLevel1"/>
        <w:spacing w:before="0" w:after="0" w:line="240" w:lineRule="auto"/>
        <w:rPr>
          <w:rFonts w:ascii="Calibri" w:hAnsi="Calibri"/>
          <w:sz w:val="24"/>
          <w:szCs w:val="24"/>
        </w:rPr>
      </w:pPr>
    </w:p>
    <w:p w14:paraId="20639F1C"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Bates, M. E., et al. (2002). "Neurocognitive impairment associated with alcohol use</w:t>
      </w:r>
    </w:p>
    <w:p w14:paraId="28DBC905"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disorders: Implications for treatment." Experimental and Clinical</w:t>
      </w:r>
    </w:p>
    <w:p w14:paraId="12BB821C"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Psychopharmacology 10(3): 193-212.</w:t>
      </w:r>
    </w:p>
    <w:p w14:paraId="3E7B35FA" w14:textId="77777777" w:rsidR="009330B3" w:rsidRPr="009E3BA7" w:rsidRDefault="009330B3" w:rsidP="009330B3">
      <w:pPr>
        <w:pStyle w:val="NumberLevel1"/>
        <w:spacing w:before="0" w:after="0" w:line="240" w:lineRule="auto"/>
        <w:rPr>
          <w:rFonts w:ascii="Calibri" w:hAnsi="Calibri"/>
          <w:sz w:val="24"/>
          <w:szCs w:val="24"/>
        </w:rPr>
      </w:pPr>
    </w:p>
    <w:p w14:paraId="17D28E71" w14:textId="77777777" w:rsidR="009330B3" w:rsidRPr="009E3BA7" w:rsidRDefault="009330B3" w:rsidP="009330B3">
      <w:pPr>
        <w:pStyle w:val="NumberLevel1"/>
        <w:spacing w:before="0" w:after="0" w:line="240" w:lineRule="auto"/>
        <w:rPr>
          <w:rFonts w:ascii="Calibri" w:hAnsi="Calibri"/>
          <w:sz w:val="24"/>
          <w:szCs w:val="24"/>
        </w:rPr>
      </w:pPr>
      <w:proofErr w:type="spellStart"/>
      <w:r w:rsidRPr="009E3BA7">
        <w:rPr>
          <w:rFonts w:ascii="Calibri" w:hAnsi="Calibri"/>
          <w:sz w:val="24"/>
          <w:szCs w:val="24"/>
        </w:rPr>
        <w:t>Bolla</w:t>
      </w:r>
      <w:proofErr w:type="spellEnd"/>
      <w:r w:rsidRPr="009E3BA7">
        <w:rPr>
          <w:rFonts w:ascii="Calibri" w:hAnsi="Calibri"/>
          <w:sz w:val="24"/>
          <w:szCs w:val="24"/>
        </w:rPr>
        <w:t>, K. I., et al. (1998). "The neuropsychiatry of chronic cocaine abuse." The</w:t>
      </w:r>
    </w:p>
    <w:p w14:paraId="03AF37A2"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Journal of neuropsychiatry and clinical neurosciences 10(3): 280-289.</w:t>
      </w:r>
    </w:p>
    <w:p w14:paraId="73F5E644" w14:textId="77777777" w:rsidR="009330B3" w:rsidRPr="009E3BA7" w:rsidRDefault="009330B3" w:rsidP="009330B3">
      <w:pPr>
        <w:pStyle w:val="NumberLevel1"/>
        <w:spacing w:before="0" w:after="0" w:line="240" w:lineRule="auto"/>
        <w:rPr>
          <w:rFonts w:ascii="Calibri" w:hAnsi="Calibri"/>
          <w:sz w:val="24"/>
          <w:szCs w:val="24"/>
        </w:rPr>
      </w:pPr>
    </w:p>
    <w:p w14:paraId="3B8FA32F" w14:textId="77777777" w:rsidR="009330B3" w:rsidRPr="009E3BA7" w:rsidRDefault="009330B3" w:rsidP="009330B3">
      <w:pPr>
        <w:pStyle w:val="NumberLevel1"/>
        <w:spacing w:before="0" w:after="0" w:line="240" w:lineRule="auto"/>
        <w:rPr>
          <w:rFonts w:ascii="Calibri" w:hAnsi="Calibri"/>
          <w:sz w:val="24"/>
          <w:szCs w:val="24"/>
        </w:rPr>
      </w:pPr>
      <w:proofErr w:type="spellStart"/>
      <w:r w:rsidRPr="009E3BA7">
        <w:rPr>
          <w:rFonts w:ascii="Calibri" w:hAnsi="Calibri"/>
          <w:sz w:val="24"/>
          <w:szCs w:val="24"/>
        </w:rPr>
        <w:t>Broyd</w:t>
      </w:r>
      <w:proofErr w:type="spellEnd"/>
      <w:r w:rsidRPr="009E3BA7">
        <w:rPr>
          <w:rFonts w:ascii="Calibri" w:hAnsi="Calibri"/>
          <w:sz w:val="24"/>
          <w:szCs w:val="24"/>
        </w:rPr>
        <w:t>. S. J., et al. (2016). "Acute and Chronic Effects of Cannabinoids on Human</w:t>
      </w:r>
    </w:p>
    <w:p w14:paraId="10740BE2"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Cognition-A Systematic Review." Biological Psychiatry 79(7): 557-567.</w:t>
      </w:r>
    </w:p>
    <w:p w14:paraId="4EF88D5B" w14:textId="77777777" w:rsidR="009330B3" w:rsidRPr="009E3BA7" w:rsidRDefault="009330B3" w:rsidP="009330B3">
      <w:pPr>
        <w:pStyle w:val="NumberLevel1"/>
        <w:spacing w:before="0" w:after="0" w:line="240" w:lineRule="auto"/>
        <w:rPr>
          <w:rFonts w:ascii="Calibri" w:hAnsi="Calibri"/>
          <w:sz w:val="24"/>
          <w:szCs w:val="24"/>
        </w:rPr>
      </w:pPr>
    </w:p>
    <w:p w14:paraId="3053B500" w14:textId="77777777" w:rsidR="009330B3" w:rsidRPr="009E3BA7" w:rsidRDefault="009330B3" w:rsidP="009330B3">
      <w:pPr>
        <w:pStyle w:val="NumberLevel1"/>
        <w:spacing w:before="0" w:after="0" w:line="240" w:lineRule="auto"/>
        <w:rPr>
          <w:rFonts w:ascii="Calibri" w:hAnsi="Calibri"/>
          <w:sz w:val="24"/>
          <w:szCs w:val="24"/>
        </w:rPr>
      </w:pPr>
      <w:proofErr w:type="spellStart"/>
      <w:r w:rsidRPr="009E3BA7">
        <w:rPr>
          <w:rFonts w:ascii="Calibri" w:hAnsi="Calibri"/>
          <w:sz w:val="24"/>
          <w:szCs w:val="24"/>
        </w:rPr>
        <w:t>Cannard</w:t>
      </w:r>
      <w:proofErr w:type="spellEnd"/>
      <w:r w:rsidRPr="009E3BA7">
        <w:rPr>
          <w:rFonts w:ascii="Calibri" w:hAnsi="Calibri"/>
          <w:sz w:val="24"/>
          <w:szCs w:val="24"/>
        </w:rPr>
        <w:t>, K. R., et al. (2005). "Mefloquine induces proprioceptive motor system</w:t>
      </w:r>
    </w:p>
    <w:p w14:paraId="16538BC8"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damage in rats." American Journal of Tropical Medicine and </w:t>
      </w:r>
      <w:proofErr w:type="spellStart"/>
      <w:r w:rsidRPr="009E3BA7">
        <w:rPr>
          <w:rFonts w:ascii="Calibri" w:hAnsi="Calibri"/>
          <w:sz w:val="24"/>
          <w:szCs w:val="24"/>
        </w:rPr>
        <w:t>Hveiene</w:t>
      </w:r>
      <w:proofErr w:type="spellEnd"/>
      <w:r w:rsidRPr="009E3BA7">
        <w:rPr>
          <w:rFonts w:ascii="Calibri" w:hAnsi="Calibri"/>
          <w:sz w:val="24"/>
          <w:szCs w:val="24"/>
        </w:rPr>
        <w:t xml:space="preserve"> 73(6): 264-264. (unable to locate)</w:t>
      </w:r>
    </w:p>
    <w:p w14:paraId="1E2635C6" w14:textId="77777777" w:rsidR="009330B3" w:rsidRDefault="009330B3" w:rsidP="009330B3">
      <w:pPr>
        <w:pStyle w:val="NumberLevel1"/>
        <w:spacing w:before="0" w:after="0" w:line="240" w:lineRule="auto"/>
        <w:rPr>
          <w:rFonts w:ascii="Calibri" w:hAnsi="Calibri"/>
          <w:sz w:val="24"/>
          <w:szCs w:val="24"/>
        </w:rPr>
      </w:pPr>
    </w:p>
    <w:p w14:paraId="3AE9B6A9"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Chadwick, 0. F. and H. R. Anderson (1989). "Neuropsychological consequences of</w:t>
      </w:r>
    </w:p>
    <w:p w14:paraId="3311410B"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volatile substance abuse: a review." Hum </w:t>
      </w:r>
      <w:proofErr w:type="spellStart"/>
      <w:r w:rsidRPr="009E3BA7">
        <w:rPr>
          <w:rFonts w:ascii="Calibri" w:hAnsi="Calibri"/>
          <w:sz w:val="24"/>
          <w:szCs w:val="24"/>
        </w:rPr>
        <w:t>Toxicol</w:t>
      </w:r>
      <w:proofErr w:type="spellEnd"/>
      <w:r w:rsidRPr="009E3BA7">
        <w:rPr>
          <w:rFonts w:ascii="Calibri" w:hAnsi="Calibri"/>
          <w:sz w:val="24"/>
          <w:szCs w:val="24"/>
        </w:rPr>
        <w:t xml:space="preserve"> 8(4): 307-312.</w:t>
      </w:r>
    </w:p>
    <w:p w14:paraId="37F9200F" w14:textId="77777777" w:rsidR="009330B3" w:rsidRPr="009E3BA7" w:rsidRDefault="009330B3" w:rsidP="009330B3">
      <w:pPr>
        <w:pStyle w:val="NumberLevel1"/>
        <w:spacing w:before="0" w:after="0" w:line="240" w:lineRule="auto"/>
        <w:rPr>
          <w:rFonts w:ascii="Calibri" w:hAnsi="Calibri"/>
          <w:sz w:val="24"/>
          <w:szCs w:val="24"/>
        </w:rPr>
      </w:pPr>
    </w:p>
    <w:p w14:paraId="6B4FA9DA"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Charles, B. G., et al. (2007). "Population pharmacokinetics of mefloquine in military</w:t>
      </w:r>
    </w:p>
    <w:p w14:paraId="6A33F832"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personnel for prophylaxis against malaria infection during field deployment."</w:t>
      </w:r>
    </w:p>
    <w:p w14:paraId="66C5747F"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European Journal of Clinical Pharmacology 63(3): 271-278.</w:t>
      </w:r>
    </w:p>
    <w:p w14:paraId="40132047" w14:textId="77777777" w:rsidR="009330B3" w:rsidRPr="009E3BA7" w:rsidRDefault="009330B3" w:rsidP="009330B3">
      <w:pPr>
        <w:pStyle w:val="NumberLevel1"/>
        <w:spacing w:before="0" w:after="0" w:line="240" w:lineRule="auto"/>
        <w:rPr>
          <w:rFonts w:ascii="Calibri" w:hAnsi="Calibri"/>
          <w:sz w:val="24"/>
          <w:szCs w:val="24"/>
        </w:rPr>
      </w:pPr>
    </w:p>
    <w:p w14:paraId="38CA0C19"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Charles. B. G.. et al. (2007). "Population pharmacokinetics of tafenoquine during</w:t>
      </w:r>
    </w:p>
    <w:p w14:paraId="3A3EFFC9"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malaria prophylaxis in healthy subjects." Antimicrobial Agents and Chemotherapy</w:t>
      </w:r>
    </w:p>
    <w:p w14:paraId="1DE7A0A8" w14:textId="77777777" w:rsidR="009330B3"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51(8): 2709-2715.</w:t>
      </w:r>
    </w:p>
    <w:p w14:paraId="5A0B1051" w14:textId="77777777" w:rsidR="009330B3" w:rsidRDefault="009330B3" w:rsidP="009330B3">
      <w:pPr>
        <w:pStyle w:val="NumberLevel1"/>
        <w:spacing w:before="0" w:after="0" w:line="240" w:lineRule="auto"/>
        <w:rPr>
          <w:rFonts w:ascii="Calibri" w:hAnsi="Calibri"/>
          <w:sz w:val="24"/>
          <w:szCs w:val="24"/>
        </w:rPr>
      </w:pPr>
    </w:p>
    <w:p w14:paraId="757DD19C" w14:textId="77777777" w:rsidR="009330B3" w:rsidRPr="009E3BA7" w:rsidRDefault="009330B3" w:rsidP="009330B3">
      <w:pPr>
        <w:pStyle w:val="NumberLevel1"/>
        <w:spacing w:before="0" w:after="0" w:line="240" w:lineRule="auto"/>
        <w:rPr>
          <w:rFonts w:ascii="Calibri" w:hAnsi="Calibri"/>
          <w:sz w:val="24"/>
          <w:szCs w:val="24"/>
        </w:rPr>
      </w:pPr>
      <w:proofErr w:type="spellStart"/>
      <w:r w:rsidRPr="009E3BA7">
        <w:rPr>
          <w:rFonts w:ascii="Calibri" w:hAnsi="Calibri"/>
          <w:sz w:val="24"/>
          <w:szCs w:val="24"/>
        </w:rPr>
        <w:t>Crean</w:t>
      </w:r>
      <w:proofErr w:type="spellEnd"/>
      <w:r w:rsidRPr="009E3BA7">
        <w:rPr>
          <w:rFonts w:ascii="Calibri" w:hAnsi="Calibri"/>
          <w:sz w:val="24"/>
          <w:szCs w:val="24"/>
        </w:rPr>
        <w:t>, R. D., et al. (2011). "An Evidence-Based Review of Acute and Long-Term</w:t>
      </w:r>
    </w:p>
    <w:p w14:paraId="76DF33DF"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Effects of Cannabis Use on Executive Cognitive Functions." Journal of Addiction</w:t>
      </w:r>
    </w:p>
    <w:p w14:paraId="6BD5E8EC"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Medicine 5(1): 1-8.</w:t>
      </w:r>
    </w:p>
    <w:p w14:paraId="085589C4" w14:textId="77777777" w:rsidR="009330B3" w:rsidRPr="009E3BA7" w:rsidRDefault="009330B3" w:rsidP="009330B3">
      <w:pPr>
        <w:pStyle w:val="NumberLevel1"/>
        <w:spacing w:before="0" w:after="0" w:line="240" w:lineRule="auto"/>
        <w:rPr>
          <w:rFonts w:ascii="Calibri" w:hAnsi="Calibri"/>
          <w:sz w:val="24"/>
          <w:szCs w:val="24"/>
        </w:rPr>
      </w:pPr>
    </w:p>
    <w:p w14:paraId="5492EA8F"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Meredith, C. W., et al. (2005). "Implications of chronic methamphetamine use: a</w:t>
      </w:r>
    </w:p>
    <w:p w14:paraId="233D5F4B"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literature review." </w:t>
      </w:r>
      <w:proofErr w:type="spellStart"/>
      <w:r w:rsidRPr="009E3BA7">
        <w:rPr>
          <w:rFonts w:ascii="Calibri" w:hAnsi="Calibri"/>
          <w:sz w:val="24"/>
          <w:szCs w:val="24"/>
        </w:rPr>
        <w:t>Harv</w:t>
      </w:r>
      <w:proofErr w:type="spellEnd"/>
      <w:r w:rsidRPr="009E3BA7">
        <w:rPr>
          <w:rFonts w:ascii="Calibri" w:hAnsi="Calibri"/>
          <w:sz w:val="24"/>
          <w:szCs w:val="24"/>
        </w:rPr>
        <w:t xml:space="preserve"> Rev Psychiatry 13(3): 141-154.</w:t>
      </w:r>
    </w:p>
    <w:p w14:paraId="047D96F1" w14:textId="77777777" w:rsidR="009330B3" w:rsidRPr="009E3BA7" w:rsidRDefault="009330B3" w:rsidP="009330B3">
      <w:pPr>
        <w:pStyle w:val="NumberLevel1"/>
        <w:spacing w:before="0" w:after="0" w:line="240" w:lineRule="auto"/>
        <w:rPr>
          <w:rFonts w:ascii="Calibri" w:hAnsi="Calibri"/>
          <w:sz w:val="24"/>
          <w:szCs w:val="24"/>
        </w:rPr>
      </w:pPr>
    </w:p>
    <w:p w14:paraId="61145518"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Nevin RL. </w:t>
      </w:r>
      <w:r>
        <w:rPr>
          <w:rFonts w:ascii="Calibri" w:hAnsi="Calibri"/>
          <w:sz w:val="24"/>
          <w:szCs w:val="24"/>
        </w:rPr>
        <w:t xml:space="preserve">(2015) </w:t>
      </w:r>
      <w:r w:rsidRPr="009E3BA7">
        <w:rPr>
          <w:rFonts w:ascii="Calibri" w:hAnsi="Calibri"/>
          <w:sz w:val="24"/>
          <w:szCs w:val="24"/>
        </w:rPr>
        <w:t>Mefloquine and Posttraumatic Stress Disorder. In: Ritchie EC, ed. Textbook</w:t>
      </w:r>
    </w:p>
    <w:p w14:paraId="641166BD"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 xml:space="preserve">of Military Medicine. Forensic and Ethical Issues in Military </w:t>
      </w:r>
      <w:proofErr w:type="spellStart"/>
      <w:r w:rsidRPr="009E3BA7">
        <w:rPr>
          <w:rFonts w:ascii="Calibri" w:hAnsi="Calibri"/>
          <w:sz w:val="24"/>
          <w:szCs w:val="24"/>
        </w:rPr>
        <w:t>Behavioral</w:t>
      </w:r>
      <w:proofErr w:type="spellEnd"/>
      <w:r w:rsidRPr="009E3BA7">
        <w:rPr>
          <w:rFonts w:ascii="Calibri" w:hAnsi="Calibri"/>
          <w:sz w:val="24"/>
          <w:szCs w:val="24"/>
        </w:rPr>
        <w:t xml:space="preserve"> Health.</w:t>
      </w:r>
    </w:p>
    <w:p w14:paraId="0A9F4584" w14:textId="77777777" w:rsidR="009330B3"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Washington, DC: B</w:t>
      </w:r>
      <w:r>
        <w:rPr>
          <w:rFonts w:ascii="Calibri" w:hAnsi="Calibri"/>
          <w:sz w:val="24"/>
          <w:szCs w:val="24"/>
        </w:rPr>
        <w:t>orden Institute; 2015:277-296.</w:t>
      </w:r>
    </w:p>
    <w:p w14:paraId="1B3A9F2A" w14:textId="77777777" w:rsidR="009330B3" w:rsidRPr="009E3BA7" w:rsidRDefault="009330B3" w:rsidP="009330B3">
      <w:pPr>
        <w:pStyle w:val="NumberLevel1"/>
        <w:spacing w:before="0" w:after="0" w:line="240" w:lineRule="auto"/>
        <w:rPr>
          <w:rFonts w:ascii="Calibri" w:hAnsi="Calibri"/>
          <w:sz w:val="24"/>
          <w:szCs w:val="24"/>
        </w:rPr>
      </w:pPr>
    </w:p>
    <w:p w14:paraId="32F8C94D"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Pan, J., et al. (2016). "Sports-related brain injuries: connecting pathology to</w:t>
      </w:r>
    </w:p>
    <w:p w14:paraId="0D4F6DE9" w14:textId="77777777" w:rsidR="009330B3" w:rsidRPr="00395532"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lastRenderedPageBreak/>
        <w:t>diagnosis." Neurosurgical Focus 40(4).</w:t>
      </w:r>
    </w:p>
    <w:p w14:paraId="3B383C71" w14:textId="77777777" w:rsidR="009330B3" w:rsidRPr="009E3BA7" w:rsidRDefault="009330B3" w:rsidP="009330B3">
      <w:pPr>
        <w:pStyle w:val="NumberLevel1"/>
        <w:spacing w:before="0" w:after="0" w:line="240" w:lineRule="auto"/>
        <w:rPr>
          <w:rFonts w:ascii="Calibri" w:hAnsi="Calibri"/>
          <w:sz w:val="24"/>
          <w:szCs w:val="24"/>
        </w:rPr>
      </w:pPr>
    </w:p>
    <w:p w14:paraId="777388C0" w14:textId="77777777" w:rsidR="009330B3" w:rsidRPr="009E3BA7" w:rsidRDefault="009330B3" w:rsidP="009330B3">
      <w:pPr>
        <w:pStyle w:val="NumberLevel1"/>
        <w:spacing w:before="0" w:after="0" w:line="240" w:lineRule="auto"/>
        <w:rPr>
          <w:rFonts w:ascii="Calibri" w:hAnsi="Calibri"/>
          <w:sz w:val="24"/>
          <w:szCs w:val="24"/>
        </w:rPr>
      </w:pPr>
      <w:proofErr w:type="spellStart"/>
      <w:r w:rsidRPr="009E3BA7">
        <w:rPr>
          <w:rFonts w:ascii="Calibri" w:hAnsi="Calibri"/>
          <w:sz w:val="24"/>
          <w:szCs w:val="24"/>
        </w:rPr>
        <w:t>Verdejo</w:t>
      </w:r>
      <w:proofErr w:type="spellEnd"/>
      <w:r w:rsidRPr="009E3BA7">
        <w:rPr>
          <w:rFonts w:ascii="Calibri" w:hAnsi="Calibri"/>
          <w:sz w:val="24"/>
          <w:szCs w:val="24"/>
        </w:rPr>
        <w:t>-Garcia, A.. et al. (2004). "Clinical implications and methodological</w:t>
      </w:r>
    </w:p>
    <w:p w14:paraId="26521574"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challenges in the study of the neuropsychological correlates of cannabis, stimulant,</w:t>
      </w:r>
    </w:p>
    <w:p w14:paraId="360DC59A"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and opioid abuse." Neur</w:t>
      </w:r>
      <w:r>
        <w:rPr>
          <w:rFonts w:ascii="Calibri" w:hAnsi="Calibri"/>
          <w:sz w:val="24"/>
          <w:szCs w:val="24"/>
        </w:rPr>
        <w:t>opsychology Review 14(1): 1-41.</w:t>
      </w:r>
    </w:p>
    <w:p w14:paraId="49628334" w14:textId="77777777" w:rsidR="009330B3" w:rsidRPr="009E3BA7" w:rsidRDefault="009330B3" w:rsidP="009330B3">
      <w:pPr>
        <w:pStyle w:val="NumberLevel1"/>
        <w:spacing w:before="0" w:after="0" w:line="240" w:lineRule="auto"/>
        <w:rPr>
          <w:rFonts w:ascii="Calibri" w:hAnsi="Calibri"/>
          <w:sz w:val="24"/>
          <w:szCs w:val="24"/>
        </w:rPr>
      </w:pPr>
    </w:p>
    <w:p w14:paraId="63504F0F"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Young, J. S., et al. (2016). "The Impact of Traumatic Brain Injury on the Aging</w:t>
      </w:r>
    </w:p>
    <w:p w14:paraId="1AF5E53E" w14:textId="77777777" w:rsidR="009330B3" w:rsidRPr="009E3BA7" w:rsidRDefault="009330B3" w:rsidP="009330B3">
      <w:pPr>
        <w:pStyle w:val="NumberLevel1"/>
        <w:spacing w:before="0" w:after="0" w:line="240" w:lineRule="auto"/>
        <w:rPr>
          <w:rFonts w:ascii="Calibri" w:hAnsi="Calibri"/>
          <w:sz w:val="24"/>
          <w:szCs w:val="24"/>
        </w:rPr>
      </w:pPr>
      <w:r w:rsidRPr="009E3BA7">
        <w:rPr>
          <w:rFonts w:ascii="Calibri" w:hAnsi="Calibri"/>
          <w:sz w:val="24"/>
          <w:szCs w:val="24"/>
        </w:rPr>
        <w:t>Brain." Current Psychiatry Reports 18(9).</w:t>
      </w:r>
    </w:p>
    <w:p w14:paraId="6668397D" w14:textId="77777777" w:rsidR="009330B3" w:rsidRPr="00395532" w:rsidRDefault="009330B3" w:rsidP="009330B3">
      <w:pPr>
        <w:jc w:val="both"/>
        <w:rPr>
          <w:rFonts w:ascii="Calibri" w:hAnsi="Calibri"/>
          <w:sz w:val="24"/>
        </w:rPr>
      </w:pPr>
    </w:p>
    <w:p w14:paraId="47725291" w14:textId="77777777" w:rsidR="009330B3" w:rsidRPr="00395532" w:rsidRDefault="009330B3" w:rsidP="009330B3">
      <w:pPr>
        <w:rPr>
          <w:rFonts w:ascii="Calibri" w:hAnsi="Calibri"/>
          <w:b/>
          <w:color w:val="0000FF"/>
          <w:sz w:val="24"/>
        </w:rPr>
      </w:pPr>
    </w:p>
    <w:p w14:paraId="07D65C92" w14:textId="77777777" w:rsidR="009330B3" w:rsidRPr="00786897" w:rsidRDefault="009330B3" w:rsidP="009330B3"/>
    <w:p w14:paraId="45AA02FD" w14:textId="77777777" w:rsidR="00786897" w:rsidRPr="00395532" w:rsidRDefault="00786897" w:rsidP="00786897">
      <w:pPr>
        <w:pStyle w:val="NumberLevel1"/>
        <w:rPr>
          <w:rFonts w:ascii="Calibri" w:hAnsi="Calibri"/>
          <w:sz w:val="24"/>
          <w:szCs w:val="24"/>
        </w:rPr>
      </w:pPr>
    </w:p>
    <w:p w14:paraId="2641755C" w14:textId="77777777" w:rsidR="00786897" w:rsidRPr="00395532" w:rsidRDefault="00786897" w:rsidP="00786897">
      <w:pPr>
        <w:jc w:val="both"/>
        <w:rPr>
          <w:rFonts w:ascii="Calibri" w:hAnsi="Calibri"/>
          <w:sz w:val="24"/>
        </w:rPr>
      </w:pPr>
    </w:p>
    <w:p w14:paraId="38400EE8" w14:textId="77777777" w:rsidR="00786897" w:rsidRPr="00395532" w:rsidRDefault="00786897" w:rsidP="00786897">
      <w:pPr>
        <w:rPr>
          <w:rFonts w:ascii="Calibri" w:hAnsi="Calibri"/>
          <w:b/>
          <w:color w:val="0000FF"/>
          <w:sz w:val="24"/>
        </w:rPr>
      </w:pPr>
    </w:p>
    <w:p w14:paraId="0C88B4DF" w14:textId="77777777" w:rsidR="001A3BEC" w:rsidRPr="00786897" w:rsidRDefault="001A3BEC" w:rsidP="00786897"/>
    <w:sectPr w:rsidR="001A3BEC" w:rsidRPr="00786897">
      <w:headerReference w:type="default" r:id="rId10"/>
      <w:footerReference w:type="even" r:id="rId11"/>
      <w:footerReference w:type="default" r:id="rId12"/>
      <w:headerReference w:type="first" r:id="rId13"/>
      <w:footerReference w:type="first" r:id="rId14"/>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EF93" w14:textId="77777777" w:rsidR="00D91907" w:rsidRDefault="00D91907">
      <w:r>
        <w:separator/>
      </w:r>
    </w:p>
  </w:endnote>
  <w:endnote w:type="continuationSeparator" w:id="0">
    <w:p w14:paraId="43A08CC8" w14:textId="77777777" w:rsidR="00D91907" w:rsidRDefault="00D91907">
      <w:r>
        <w:continuationSeparator/>
      </w:r>
    </w:p>
  </w:endnote>
  <w:endnote w:type="continuationNotice" w:id="1">
    <w:p w14:paraId="678C4398" w14:textId="77777777" w:rsidR="00D91907" w:rsidRDefault="00D9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onet (W1)">
    <w:panose1 w:val="00000000000000000000"/>
    <w:charset w:val="00"/>
    <w:family w:val="script"/>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0D0C" w14:textId="77777777" w:rsidR="00D91907" w:rsidRDefault="00D91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BYD\BYD\64615866\1</w:t>
    </w:r>
  </w:p>
  <w:p w14:paraId="46D84FEA" w14:textId="77777777" w:rsidR="00D91907" w:rsidRDefault="00D919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9138" w14:textId="52953629" w:rsidR="00D91907" w:rsidRPr="00530523" w:rsidRDefault="00D91907" w:rsidP="00BA1DBE">
    <w:pPr>
      <w:pStyle w:val="Footer"/>
      <w:pBdr>
        <w:top w:val="single" w:sz="4" w:space="0"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21301D" w:rsidRPr="0021301D">
      <w:rPr>
        <w:rFonts w:ascii="Calibri" w:hAnsi="Calibri" w:cs="Times New Roman"/>
        <w:noProof/>
      </w:rPr>
      <w:t>4</w:t>
    </w:r>
    <w:r w:rsidRPr="00530523">
      <w:rPr>
        <w:rFonts w:ascii="Calibri" w:hAnsi="Calibri" w:cs="Times New Roman"/>
        <w:noProof/>
      </w:rPr>
      <w:fldChar w:fldCharType="end"/>
    </w:r>
  </w:p>
  <w:p w14:paraId="7D00064E" w14:textId="77777777" w:rsidR="00D91907" w:rsidRDefault="00D919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C4A5" w14:textId="77777777" w:rsidR="00D91907" w:rsidRPr="00FB3854" w:rsidRDefault="00D91907" w:rsidP="00FB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E9876" w14:textId="77777777" w:rsidR="00D91907" w:rsidRDefault="00D91907">
      <w:r>
        <w:separator/>
      </w:r>
    </w:p>
  </w:footnote>
  <w:footnote w:type="continuationSeparator" w:id="0">
    <w:p w14:paraId="12220B7F" w14:textId="77777777" w:rsidR="00D91907" w:rsidRDefault="00D91907">
      <w:r>
        <w:continuationSeparator/>
      </w:r>
    </w:p>
  </w:footnote>
  <w:footnote w:type="continuationNotice" w:id="1">
    <w:p w14:paraId="408BBC18" w14:textId="77777777" w:rsidR="00D91907" w:rsidRDefault="00D91907"/>
  </w:footnote>
  <w:footnote w:id="2">
    <w:p w14:paraId="7008E722" w14:textId="77777777" w:rsidR="00D91907" w:rsidRPr="00461882" w:rsidRDefault="00D91907" w:rsidP="008F386E">
      <w:pPr>
        <w:pStyle w:val="Footnote"/>
      </w:pPr>
      <w:r w:rsidRPr="008F386E">
        <w:rPr>
          <w:rStyle w:val="FootnoteReference"/>
          <w:rFonts w:ascii="Calibri" w:hAnsi="Calibri"/>
          <w:sz w:val="18"/>
          <w:szCs w:val="18"/>
        </w:rPr>
        <w:footnoteRef/>
      </w:r>
      <w:r w:rsidRPr="008F386E">
        <w:rPr>
          <w:szCs w:val="18"/>
        </w:rPr>
        <w:t xml:space="preserve">   The SMSE</w:t>
      </w:r>
      <w:r w:rsidRPr="00461882">
        <w:t xml:space="preserve"> is a subset of the available information. It comprises those articles which the Council considers:</w:t>
      </w:r>
    </w:p>
    <w:p w14:paraId="2097EB5B" w14:textId="77777777" w:rsidR="00D91907" w:rsidRPr="00461882" w:rsidRDefault="00D91907" w:rsidP="008F386E">
      <w:pPr>
        <w:pStyle w:val="Footnote"/>
        <w:ind w:left="1275"/>
      </w:pPr>
      <w:r w:rsidRPr="00461882">
        <w:t>a) are relevant to the matters within the proposed scope of review, and</w:t>
      </w:r>
    </w:p>
    <w:p w14:paraId="7F2CBA07" w14:textId="77777777" w:rsidR="00D91907" w:rsidRPr="00461882" w:rsidRDefault="00D91907" w:rsidP="008F386E">
      <w:pPr>
        <w:pStyle w:val="Footnote"/>
        <w:ind w:left="1275"/>
      </w:pPr>
      <w:r w:rsidRPr="00461882">
        <w:t>b) satisfy the definition in the VEA of 'sound medical-scientific evidence'.</w:t>
      </w:r>
    </w:p>
    <w:p w14:paraId="71E992AE" w14:textId="77777777" w:rsidR="00D91907" w:rsidRPr="00461882" w:rsidRDefault="00D91907" w:rsidP="008F386E">
      <w:pPr>
        <w:pStyle w:val="Footnote"/>
        <w:ind w:left="711"/>
      </w:pPr>
      <w:r w:rsidRPr="00461882">
        <w:t xml:space="preserve">Sound medical-scientific evidence is defined in section 5AB(2) of the VEA as follows: </w:t>
      </w:r>
    </w:p>
    <w:p w14:paraId="28AD0C08" w14:textId="77777777" w:rsidR="00D91907" w:rsidRPr="00461882" w:rsidRDefault="00D91907" w:rsidP="008F386E">
      <w:pPr>
        <w:pStyle w:val="Footnote"/>
        <w:ind w:left="711"/>
      </w:pPr>
      <w:r w:rsidRPr="00461882">
        <w:t>“Information about a particular kind of injury, disease or death is taken to be sound medical-scientific evidence if:</w:t>
      </w:r>
    </w:p>
    <w:p w14:paraId="11B35B43" w14:textId="77777777" w:rsidR="00D91907" w:rsidRPr="00461882" w:rsidRDefault="00D91907" w:rsidP="008F386E">
      <w:pPr>
        <w:pStyle w:val="Footnote"/>
        <w:ind w:left="1275"/>
      </w:pPr>
      <w:r w:rsidRPr="00461882">
        <w:t>a) the information:</w:t>
      </w:r>
    </w:p>
    <w:p w14:paraId="28C0D057" w14:textId="77777777" w:rsidR="00D91907" w:rsidRPr="00461882" w:rsidRDefault="00D91907" w:rsidP="008F386E">
      <w:pPr>
        <w:pStyle w:val="Footnote"/>
        <w:ind w:left="1700"/>
      </w:pPr>
      <w:r w:rsidRPr="00461882">
        <w:t>(</w:t>
      </w:r>
      <w:proofErr w:type="spellStart"/>
      <w:r w:rsidRPr="00461882">
        <w:t>i</w:t>
      </w:r>
      <w:proofErr w:type="spellEnd"/>
      <w:r w:rsidRPr="00461882">
        <w:t>) is consistent with material relating to medical-science that has been published in a medical or scientific publication and has been, in the opinion of the Repatriation Medical Authority, subjected to a peer review process; or</w:t>
      </w:r>
    </w:p>
    <w:p w14:paraId="08055986" w14:textId="77777777" w:rsidR="00D91907" w:rsidRPr="00461882" w:rsidRDefault="00D91907" w:rsidP="008F386E">
      <w:pPr>
        <w:pStyle w:val="Footnote"/>
        <w:ind w:left="1700"/>
      </w:pPr>
      <w:r w:rsidRPr="00461882">
        <w:t>(ii) in accordance with generally accepted medical practice, would serve as the basis for the diagnosis and management of a medical condition; and</w:t>
      </w:r>
    </w:p>
    <w:p w14:paraId="50481AD5" w14:textId="77777777" w:rsidR="00D91907" w:rsidRPr="00461882" w:rsidRDefault="00D91907" w:rsidP="008F386E">
      <w:pPr>
        <w:pStyle w:val="Footnote"/>
        <w:ind w:left="1275"/>
      </w:pPr>
      <w:r w:rsidRPr="00461882">
        <w:t>b) in the case of information about how that kind of injury, disease or death may be caused – meets the applicable criteria for assessing causation currently applied in the field of epidemiology.</w:t>
      </w:r>
      <w:r>
        <w:t>”</w:t>
      </w:r>
    </w:p>
    <w:p w14:paraId="793A3D36" w14:textId="77777777" w:rsidR="00D91907" w:rsidRPr="00461882" w:rsidRDefault="00D91907" w:rsidP="008F386E">
      <w:pPr>
        <w:pStyle w:val="Footnote"/>
      </w:pPr>
    </w:p>
    <w:p w14:paraId="4A4B26AB" w14:textId="77777777" w:rsidR="00D91907" w:rsidRPr="00461882" w:rsidRDefault="00D91907" w:rsidP="008F386E">
      <w:pPr>
        <w:pStyle w:val="Footnote"/>
      </w:pPr>
      <w:r w:rsidRPr="00461882">
        <w:t>The lat</w:t>
      </w:r>
      <w:r>
        <w:t>t</w:t>
      </w:r>
      <w:r w:rsidRPr="00461882">
        <w:t>er requirement is held to mean ‘appropriate to be taken into account by epidemiologists’.</w:t>
      </w:r>
    </w:p>
  </w:footnote>
  <w:footnote w:id="3">
    <w:p w14:paraId="1157910D" w14:textId="75F2C6ED" w:rsidR="00D91907" w:rsidRDefault="00D91907" w:rsidP="00E43D78">
      <w:pPr>
        <w:pStyle w:val="FootnoteText"/>
      </w:pPr>
      <w:r>
        <w:rPr>
          <w:rStyle w:val="FootnoteReference"/>
        </w:rPr>
        <w:footnoteRef/>
      </w:r>
      <w:r>
        <w:t xml:space="preserve"> </w:t>
      </w:r>
      <w:r>
        <w:tab/>
        <w:t xml:space="preserve">NHMRC additional levels of evidence and grades for recommendations for developers of guidelines. Available from </w:t>
      </w:r>
      <w:r w:rsidRPr="00067631">
        <w:t>https://www.nhmrc.gov.au/_files_nhmrc/file/guidelines/developers/nhmrc_levels_grades_evidence_120423.pdf</w:t>
      </w:r>
    </w:p>
  </w:footnote>
  <w:footnote w:id="4">
    <w:p w14:paraId="67644F13" w14:textId="228B997F" w:rsidR="00D91907" w:rsidRDefault="00D91907" w:rsidP="00E43D78">
      <w:pPr>
        <w:pStyle w:val="FootnoteText"/>
      </w:pPr>
      <w:r>
        <w:rPr>
          <w:rStyle w:val="FootnoteReference"/>
        </w:rPr>
        <w:footnoteRef/>
      </w:r>
      <w:r>
        <w:t xml:space="preserve"> </w:t>
      </w:r>
      <w:r>
        <w:tab/>
      </w:r>
      <w:r w:rsidRPr="008E0B5A">
        <w:t xml:space="preserve">Diagnostic and Statistical Manual of Mental Disorders, Fifth Edition (DSM-5), (2013) </w:t>
      </w:r>
      <w:r w:rsidRPr="00707D90">
        <w:rPr>
          <w:i/>
        </w:rPr>
        <w:t>American Psychiatric Association</w:t>
      </w:r>
      <w:r w:rsidRPr="008E0B5A">
        <w:t xml:space="preserve">. </w:t>
      </w:r>
      <w:r>
        <w:t xml:space="preserve">Available from </w:t>
      </w:r>
      <w:hyperlink r:id="rId1" w:history="1">
        <w:r w:rsidRPr="00DE0193">
          <w:rPr>
            <w:rStyle w:val="Hyperlink"/>
            <w:noProof w:val="0"/>
          </w:rPr>
          <w:t>https://www.psychiatry.org/psychiatrists/practice/dsm</w:t>
        </w:r>
      </w:hyperlink>
      <w:r>
        <w:t xml:space="preserve"> </w:t>
      </w:r>
    </w:p>
  </w:footnote>
  <w:footnote w:id="5">
    <w:p w14:paraId="0C102B59" w14:textId="0203729D" w:rsidR="00D91907" w:rsidRDefault="00D91907">
      <w:pPr>
        <w:pStyle w:val="FootnoteText"/>
      </w:pPr>
      <w:r>
        <w:rPr>
          <w:rStyle w:val="FootnoteReference"/>
        </w:rPr>
        <w:footnoteRef/>
      </w:r>
      <w:r>
        <w:t xml:space="preserve"> Not elsewhere classified</w:t>
      </w:r>
    </w:p>
  </w:footnote>
  <w:footnote w:id="6">
    <w:p w14:paraId="36E30CB8" w14:textId="77777777" w:rsidR="00D91907" w:rsidRDefault="00D91907" w:rsidP="00786897">
      <w:pPr>
        <w:pStyle w:val="FootnoteText"/>
        <w:rPr>
          <w:szCs w:val="18"/>
        </w:rPr>
      </w:pPr>
      <w:r>
        <w:rPr>
          <w:rStyle w:val="FootnoteReference"/>
        </w:rPr>
        <w:footnoteRef/>
      </w:r>
      <w:r>
        <w:t xml:space="preserve"> </w:t>
      </w:r>
      <w:r>
        <w:tab/>
        <w:t xml:space="preserve">The reasonable hypothesis test is set out in section </w:t>
      </w:r>
      <w:r>
        <w:rPr>
          <w:szCs w:val="18"/>
        </w:rPr>
        <w:t>196B(2) of the VEA which provides;</w:t>
      </w:r>
    </w:p>
    <w:p w14:paraId="3F6BBCC5" w14:textId="77777777" w:rsidR="00D91907" w:rsidRDefault="00D91907" w:rsidP="00786897">
      <w:pPr>
        <w:pStyle w:val="FootnoteText"/>
        <w:tabs>
          <w:tab w:val="clear" w:pos="425"/>
          <w:tab w:val="left" w:pos="720"/>
        </w:tabs>
        <w:ind w:left="540" w:hanging="540"/>
        <w:rPr>
          <w:bCs/>
          <w:szCs w:val="18"/>
        </w:rPr>
      </w:pPr>
      <w:r>
        <w:rPr>
          <w:szCs w:val="18"/>
        </w:rPr>
        <w:tab/>
        <w:t>If the Authority is of the view that there is sound medical</w:t>
      </w:r>
      <w:r>
        <w:rPr>
          <w:szCs w:val="18"/>
        </w:rPr>
        <w:noBreakHyphen/>
        <w:t xml:space="preserve">scientific evidence that indicates that </w:t>
      </w:r>
      <w:r>
        <w:rPr>
          <w:bCs/>
          <w:szCs w:val="18"/>
        </w:rPr>
        <w:t>a particular kind of injury, disease or death can be related to:</w:t>
      </w:r>
    </w:p>
    <w:p w14:paraId="2335A7D0" w14:textId="77777777" w:rsidR="00D91907" w:rsidRDefault="00D91907" w:rsidP="00786897">
      <w:pPr>
        <w:pStyle w:val="FootnoteText"/>
        <w:tabs>
          <w:tab w:val="clear" w:pos="425"/>
          <w:tab w:val="left" w:pos="720"/>
          <w:tab w:val="left" w:pos="1080"/>
        </w:tabs>
        <w:ind w:left="540" w:firstLine="0"/>
        <w:rPr>
          <w:szCs w:val="18"/>
        </w:rPr>
      </w:pPr>
      <w:r>
        <w:rPr>
          <w:szCs w:val="18"/>
        </w:rPr>
        <w:t>(a)</w:t>
      </w:r>
      <w:r>
        <w:rPr>
          <w:szCs w:val="18"/>
        </w:rPr>
        <w:tab/>
        <w:t>operational service rendered by veterans; or</w:t>
      </w:r>
    </w:p>
    <w:p w14:paraId="5C738CA9" w14:textId="77777777" w:rsidR="00D91907" w:rsidRDefault="00D91907" w:rsidP="00786897">
      <w:pPr>
        <w:pStyle w:val="FootnoteText"/>
        <w:tabs>
          <w:tab w:val="clear" w:pos="425"/>
          <w:tab w:val="left" w:pos="720"/>
          <w:tab w:val="left" w:pos="1080"/>
        </w:tabs>
        <w:ind w:left="540" w:firstLine="0"/>
        <w:rPr>
          <w:szCs w:val="18"/>
        </w:rPr>
      </w:pPr>
      <w:r>
        <w:rPr>
          <w:szCs w:val="18"/>
        </w:rPr>
        <w:t>(b)</w:t>
      </w:r>
      <w:r>
        <w:rPr>
          <w:szCs w:val="18"/>
        </w:rPr>
        <w:tab/>
        <w:t>peacekeeping service rendered by members of Peacekeeping Forces; or</w:t>
      </w:r>
    </w:p>
    <w:p w14:paraId="57E80EC7" w14:textId="77777777" w:rsidR="00D91907" w:rsidRDefault="00D91907" w:rsidP="00786897">
      <w:pPr>
        <w:pStyle w:val="FootnoteText"/>
        <w:tabs>
          <w:tab w:val="clear" w:pos="425"/>
          <w:tab w:val="left" w:pos="720"/>
          <w:tab w:val="left" w:pos="1080"/>
        </w:tabs>
        <w:ind w:left="540" w:firstLine="0"/>
        <w:rPr>
          <w:szCs w:val="18"/>
        </w:rPr>
      </w:pPr>
      <w:r>
        <w:rPr>
          <w:szCs w:val="18"/>
        </w:rPr>
        <w:t>(c)</w:t>
      </w:r>
      <w:r>
        <w:rPr>
          <w:szCs w:val="18"/>
        </w:rPr>
        <w:tab/>
        <w:t>hazardous service rendered by members of the Forces; or</w:t>
      </w:r>
    </w:p>
    <w:p w14:paraId="7C8BCAE5" w14:textId="77777777" w:rsidR="00D91907" w:rsidRDefault="00D91907" w:rsidP="00786897">
      <w:pPr>
        <w:pStyle w:val="FootnoteText"/>
        <w:tabs>
          <w:tab w:val="clear" w:pos="425"/>
          <w:tab w:val="left" w:pos="720"/>
          <w:tab w:val="left" w:pos="1080"/>
        </w:tabs>
        <w:ind w:left="540" w:firstLine="0"/>
        <w:rPr>
          <w:szCs w:val="18"/>
        </w:rPr>
      </w:pPr>
      <w:r>
        <w:rPr>
          <w:szCs w:val="18"/>
        </w:rPr>
        <w:t>(</w:t>
      </w:r>
      <w:proofErr w:type="spellStart"/>
      <w:r>
        <w:rPr>
          <w:szCs w:val="18"/>
        </w:rPr>
        <w:t>caa</w:t>
      </w:r>
      <w:proofErr w:type="spellEnd"/>
      <w:r>
        <w:rPr>
          <w:szCs w:val="18"/>
        </w:rPr>
        <w:t>)</w:t>
      </w:r>
      <w:r>
        <w:rPr>
          <w:szCs w:val="18"/>
        </w:rPr>
        <w:tab/>
        <w:t>British nuclear test defence service rendered by members of the Forces; or</w:t>
      </w:r>
    </w:p>
    <w:p w14:paraId="19F3B4E5" w14:textId="77777777" w:rsidR="00D91907" w:rsidRDefault="00D91907" w:rsidP="00786897">
      <w:pPr>
        <w:pStyle w:val="FootnoteText"/>
        <w:tabs>
          <w:tab w:val="clear" w:pos="425"/>
          <w:tab w:val="left" w:pos="720"/>
          <w:tab w:val="left" w:pos="1080"/>
        </w:tabs>
        <w:ind w:left="540" w:firstLine="0"/>
        <w:rPr>
          <w:szCs w:val="18"/>
        </w:rPr>
      </w:pPr>
      <w:r>
        <w:rPr>
          <w:szCs w:val="18"/>
        </w:rPr>
        <w:t>(ca)</w:t>
      </w:r>
      <w:r>
        <w:rPr>
          <w:szCs w:val="18"/>
        </w:rPr>
        <w:tab/>
        <w:t>warlike or non</w:t>
      </w:r>
      <w:r>
        <w:rPr>
          <w:szCs w:val="18"/>
        </w:rPr>
        <w:noBreakHyphen/>
        <w:t>warlike service rendered by members;</w:t>
      </w:r>
    </w:p>
    <w:p w14:paraId="356F78DA" w14:textId="77777777" w:rsidR="00D91907" w:rsidRDefault="00D91907" w:rsidP="00786897">
      <w:pPr>
        <w:pStyle w:val="FootnoteText"/>
        <w:tabs>
          <w:tab w:val="clear" w:pos="425"/>
          <w:tab w:val="left" w:pos="720"/>
        </w:tabs>
        <w:ind w:left="540" w:firstLine="0"/>
        <w:rPr>
          <w:szCs w:val="18"/>
        </w:rPr>
      </w:pPr>
      <w:r>
        <w:rPr>
          <w:szCs w:val="18"/>
        </w:rPr>
        <w:t>the Authority must determine a Statement of Principles in respect of that kind of injury, disease or death setting out:</w:t>
      </w:r>
    </w:p>
    <w:p w14:paraId="107C1DDD" w14:textId="77777777" w:rsidR="00D91907" w:rsidRDefault="00D91907" w:rsidP="00786897">
      <w:pPr>
        <w:pStyle w:val="FootnoteText"/>
        <w:tabs>
          <w:tab w:val="clear" w:pos="425"/>
          <w:tab w:val="left" w:pos="720"/>
          <w:tab w:val="left" w:pos="1080"/>
        </w:tabs>
        <w:ind w:left="540" w:firstLine="0"/>
        <w:rPr>
          <w:szCs w:val="18"/>
        </w:rPr>
      </w:pPr>
      <w:r>
        <w:rPr>
          <w:szCs w:val="18"/>
        </w:rPr>
        <w:t>(d)</w:t>
      </w:r>
      <w:r>
        <w:rPr>
          <w:szCs w:val="18"/>
        </w:rPr>
        <w:tab/>
        <w:t>the factors that must as a minimum exist; and</w:t>
      </w:r>
    </w:p>
    <w:p w14:paraId="04925286" w14:textId="77777777" w:rsidR="00D91907" w:rsidRDefault="00D91907" w:rsidP="00786897">
      <w:pPr>
        <w:pStyle w:val="FootnoteText"/>
        <w:tabs>
          <w:tab w:val="clear" w:pos="425"/>
          <w:tab w:val="left" w:pos="720"/>
          <w:tab w:val="left" w:pos="1080"/>
        </w:tabs>
        <w:ind w:left="540" w:firstLine="0"/>
        <w:rPr>
          <w:szCs w:val="18"/>
        </w:rPr>
      </w:pPr>
      <w:r>
        <w:rPr>
          <w:szCs w:val="18"/>
        </w:rPr>
        <w:t>(e)</w:t>
      </w:r>
      <w:r>
        <w:rPr>
          <w:szCs w:val="18"/>
        </w:rPr>
        <w:tab/>
        <w:t>which of those factors must be related to service rendered by a person;</w:t>
      </w:r>
    </w:p>
    <w:p w14:paraId="7C748ABC" w14:textId="77777777" w:rsidR="00D91907" w:rsidRDefault="00D91907" w:rsidP="00786897">
      <w:pPr>
        <w:pStyle w:val="FootnoteText"/>
      </w:pPr>
      <w:r>
        <w:rPr>
          <w:szCs w:val="18"/>
        </w:rPr>
        <w:tab/>
        <w:t>before it can be said that a reasonable hypothesis has been raised connecting an injury, disease or death of that kind with the circumstances of that service.</w:t>
      </w:r>
    </w:p>
  </w:footnote>
  <w:footnote w:id="7">
    <w:p w14:paraId="1DFB4702" w14:textId="77777777" w:rsidR="00D91907" w:rsidRDefault="00D91907" w:rsidP="00786897">
      <w:pPr>
        <w:pStyle w:val="FootnoteText"/>
      </w:pPr>
      <w:r>
        <w:rPr>
          <w:rStyle w:val="FootnoteReference"/>
        </w:rPr>
        <w:footnoteRef/>
      </w:r>
      <w:r>
        <w:t xml:space="preserve"> </w:t>
      </w:r>
      <w:r>
        <w:tab/>
        <w:t>The balance of probabilities test is set out in section 196B(3) of the VEA which provides:</w:t>
      </w:r>
    </w:p>
    <w:p w14:paraId="4BDFE32E" w14:textId="77777777" w:rsidR="00D91907" w:rsidRDefault="00D91907" w:rsidP="00786897">
      <w:pPr>
        <w:pStyle w:val="FootnoteText"/>
        <w:tabs>
          <w:tab w:val="clear" w:pos="425"/>
          <w:tab w:val="left" w:pos="540"/>
        </w:tabs>
        <w:ind w:left="540" w:firstLine="0"/>
        <w:rPr>
          <w:kern w:val="28"/>
          <w:szCs w:val="18"/>
          <w:lang w:val="en-US"/>
        </w:rPr>
      </w:pPr>
      <w:r>
        <w:rPr>
          <w:kern w:val="28"/>
          <w:szCs w:val="18"/>
          <w:lang w:val="en-US"/>
        </w:rPr>
        <w:t>If the Authority is of the view that on the sound medical</w:t>
      </w:r>
      <w:r>
        <w:rPr>
          <w:kern w:val="28"/>
          <w:szCs w:val="18"/>
          <w:lang w:val="en-US"/>
        </w:rPr>
        <w:noBreakHyphen/>
        <w:t>scientific evidence available it is more probable than not that a particular kind of injury, disease or death can be related to:</w:t>
      </w:r>
    </w:p>
    <w:p w14:paraId="671B322D" w14:textId="77777777" w:rsidR="00D91907" w:rsidRDefault="00D91907" w:rsidP="00786897">
      <w:pPr>
        <w:pStyle w:val="FootnoteText"/>
        <w:tabs>
          <w:tab w:val="clear" w:pos="425"/>
          <w:tab w:val="left" w:pos="540"/>
          <w:tab w:val="left" w:pos="1080"/>
        </w:tabs>
        <w:ind w:left="540" w:firstLine="0"/>
        <w:rPr>
          <w:kern w:val="28"/>
          <w:szCs w:val="18"/>
          <w:lang w:val="en-US"/>
        </w:rPr>
      </w:pPr>
      <w:r>
        <w:rPr>
          <w:kern w:val="28"/>
          <w:szCs w:val="18"/>
          <w:lang w:val="en-US"/>
        </w:rPr>
        <w:t>(a)</w:t>
      </w:r>
      <w:r>
        <w:rPr>
          <w:kern w:val="28"/>
          <w:szCs w:val="18"/>
          <w:lang w:val="en-US"/>
        </w:rPr>
        <w:tab/>
        <w:t>eligible war service (other than operational service) rendered by veterans; or</w:t>
      </w:r>
    </w:p>
    <w:p w14:paraId="1960D9B8" w14:textId="77777777" w:rsidR="00D91907" w:rsidRDefault="00D91907" w:rsidP="00786897">
      <w:pPr>
        <w:pStyle w:val="FootnoteText"/>
        <w:tabs>
          <w:tab w:val="clear" w:pos="425"/>
          <w:tab w:val="left" w:pos="540"/>
          <w:tab w:val="left" w:pos="1080"/>
        </w:tabs>
        <w:ind w:left="1080" w:hanging="540"/>
        <w:rPr>
          <w:kern w:val="28"/>
          <w:szCs w:val="18"/>
          <w:lang w:val="en-US"/>
        </w:rPr>
      </w:pPr>
      <w:r>
        <w:rPr>
          <w:kern w:val="28"/>
          <w:szCs w:val="18"/>
          <w:lang w:val="en-US"/>
        </w:rPr>
        <w:t>(b)</w:t>
      </w:r>
      <w:r>
        <w:rPr>
          <w:kern w:val="28"/>
          <w:szCs w:val="18"/>
          <w:lang w:val="en-US"/>
        </w:rPr>
        <w:tab/>
      </w:r>
      <w:proofErr w:type="spellStart"/>
      <w:r>
        <w:rPr>
          <w:kern w:val="28"/>
          <w:szCs w:val="18"/>
          <w:lang w:val="en-US"/>
        </w:rPr>
        <w:t>defence</w:t>
      </w:r>
      <w:proofErr w:type="spellEnd"/>
      <w:r>
        <w:rPr>
          <w:kern w:val="28"/>
          <w:szCs w:val="18"/>
          <w:lang w:val="en-US"/>
        </w:rPr>
        <w:t xml:space="preserve"> service (other than hazardous service and British nuclear test </w:t>
      </w:r>
      <w:proofErr w:type="spellStart"/>
      <w:r>
        <w:rPr>
          <w:kern w:val="28"/>
          <w:szCs w:val="18"/>
          <w:lang w:val="en-US"/>
        </w:rPr>
        <w:t>defence</w:t>
      </w:r>
      <w:proofErr w:type="spellEnd"/>
      <w:r>
        <w:rPr>
          <w:kern w:val="28"/>
          <w:szCs w:val="18"/>
          <w:lang w:val="en-US"/>
        </w:rPr>
        <w:t xml:space="preserve"> service) rendered by members of the Forces; or</w:t>
      </w:r>
    </w:p>
    <w:p w14:paraId="338D1481" w14:textId="77777777" w:rsidR="00D91907" w:rsidRDefault="00D91907" w:rsidP="00786897">
      <w:pPr>
        <w:pStyle w:val="FootnoteText"/>
        <w:tabs>
          <w:tab w:val="clear" w:pos="425"/>
          <w:tab w:val="left" w:pos="540"/>
          <w:tab w:val="left" w:pos="1080"/>
        </w:tabs>
        <w:ind w:left="540" w:firstLine="0"/>
        <w:rPr>
          <w:kern w:val="28"/>
          <w:szCs w:val="18"/>
          <w:lang w:val="en-US"/>
        </w:rPr>
      </w:pPr>
      <w:r>
        <w:rPr>
          <w:kern w:val="28"/>
          <w:szCs w:val="18"/>
          <w:lang w:val="en-US"/>
        </w:rPr>
        <w:t>(</w:t>
      </w:r>
      <w:proofErr w:type="spellStart"/>
      <w:r>
        <w:rPr>
          <w:kern w:val="28"/>
          <w:szCs w:val="18"/>
          <w:lang w:val="en-US"/>
        </w:rPr>
        <w:t>ba</w:t>
      </w:r>
      <w:proofErr w:type="spellEnd"/>
      <w:r>
        <w:rPr>
          <w:kern w:val="28"/>
          <w:szCs w:val="18"/>
          <w:lang w:val="en-US"/>
        </w:rPr>
        <w:t>)</w:t>
      </w:r>
      <w:r>
        <w:rPr>
          <w:kern w:val="28"/>
          <w:szCs w:val="18"/>
          <w:lang w:val="en-US"/>
        </w:rPr>
        <w:tab/>
        <w:t>peacetime service rendered by members;</w:t>
      </w:r>
    </w:p>
    <w:p w14:paraId="4658563B" w14:textId="77777777" w:rsidR="00D91907" w:rsidRDefault="00D91907" w:rsidP="00786897">
      <w:pPr>
        <w:pStyle w:val="FootnoteText"/>
        <w:tabs>
          <w:tab w:val="clear" w:pos="425"/>
          <w:tab w:val="left" w:pos="540"/>
        </w:tabs>
        <w:spacing w:before="20"/>
        <w:ind w:left="539" w:firstLine="0"/>
        <w:rPr>
          <w:kern w:val="28"/>
          <w:szCs w:val="18"/>
          <w:lang w:val="en-US"/>
        </w:rPr>
      </w:pPr>
      <w:r>
        <w:rPr>
          <w:kern w:val="28"/>
          <w:szCs w:val="18"/>
          <w:lang w:val="en-US"/>
        </w:rPr>
        <w:t>the Authority must determine a Statement of Principles in respect of that kind of injury, disease or death setting out:</w:t>
      </w:r>
    </w:p>
    <w:p w14:paraId="45F0E635" w14:textId="77777777" w:rsidR="00D91907" w:rsidRDefault="00D91907" w:rsidP="00786897">
      <w:pPr>
        <w:pStyle w:val="FootnoteText"/>
        <w:tabs>
          <w:tab w:val="clear" w:pos="425"/>
          <w:tab w:val="left" w:pos="540"/>
          <w:tab w:val="left" w:pos="1080"/>
        </w:tabs>
        <w:ind w:left="540" w:firstLine="0"/>
        <w:rPr>
          <w:kern w:val="28"/>
          <w:szCs w:val="18"/>
          <w:lang w:val="en-US"/>
        </w:rPr>
      </w:pPr>
      <w:r>
        <w:rPr>
          <w:kern w:val="28"/>
          <w:szCs w:val="18"/>
          <w:lang w:val="en-US"/>
        </w:rPr>
        <w:t>(c)</w:t>
      </w:r>
      <w:r>
        <w:rPr>
          <w:kern w:val="28"/>
          <w:szCs w:val="18"/>
          <w:lang w:val="en-US"/>
        </w:rPr>
        <w:tab/>
        <w:t>the factors that must exist; and</w:t>
      </w:r>
    </w:p>
    <w:p w14:paraId="45BC51C0" w14:textId="77777777" w:rsidR="00D91907" w:rsidRDefault="00D91907" w:rsidP="00786897">
      <w:pPr>
        <w:pStyle w:val="FootnoteText"/>
        <w:tabs>
          <w:tab w:val="clear" w:pos="425"/>
          <w:tab w:val="left" w:pos="540"/>
          <w:tab w:val="left" w:pos="1080"/>
        </w:tabs>
        <w:ind w:left="540" w:firstLine="0"/>
        <w:rPr>
          <w:kern w:val="28"/>
          <w:szCs w:val="18"/>
          <w:lang w:val="en-US"/>
        </w:rPr>
      </w:pPr>
      <w:r>
        <w:rPr>
          <w:kern w:val="28"/>
          <w:szCs w:val="18"/>
          <w:lang w:val="en-US"/>
        </w:rPr>
        <w:t>(d)</w:t>
      </w:r>
      <w:r>
        <w:rPr>
          <w:kern w:val="28"/>
          <w:szCs w:val="18"/>
          <w:lang w:val="en-US"/>
        </w:rPr>
        <w:tab/>
        <w:t>which of those factors must be related to service rendered by a person;</w:t>
      </w:r>
    </w:p>
    <w:p w14:paraId="64990C10" w14:textId="77777777" w:rsidR="00D91907" w:rsidRDefault="00D91907" w:rsidP="00786897">
      <w:pPr>
        <w:pStyle w:val="FootnoteText"/>
        <w:tabs>
          <w:tab w:val="clear" w:pos="425"/>
          <w:tab w:val="left" w:pos="540"/>
        </w:tabs>
        <w:ind w:left="540" w:firstLine="0"/>
      </w:pPr>
      <w:r>
        <w:rPr>
          <w:kern w:val="28"/>
          <w:szCs w:val="18"/>
          <w:lang w:val="en-US"/>
        </w:rPr>
        <w:t>before it can be said that, on the balance of probabilities, an injury, disease or death of that kind is connected with the circumstances of that service.</w:t>
      </w:r>
    </w:p>
  </w:footnote>
  <w:footnote w:id="8">
    <w:p w14:paraId="5E70AF6E" w14:textId="77777777" w:rsidR="00D91907" w:rsidRDefault="00D91907" w:rsidP="00786897">
      <w:pPr>
        <w:pStyle w:val="FootnoteText"/>
        <w:tabs>
          <w:tab w:val="right" w:pos="8220"/>
        </w:tabs>
      </w:pPr>
      <w:r>
        <w:rPr>
          <w:rStyle w:val="FootnoteReference"/>
          <w:szCs w:val="18"/>
        </w:rPr>
        <w:footnoteRef/>
      </w:r>
      <w:r>
        <w:rPr>
          <w:szCs w:val="18"/>
        </w:rPr>
        <w:tab/>
        <w:t>See sections 120, 120A and 120B of the VEA and sections 335, 338 and 339 of the MRCA.</w:t>
      </w:r>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112A" w14:textId="35AE70F4" w:rsidR="00D91907" w:rsidRDefault="00D91907">
    <w:pPr>
      <w:pStyle w:val="Draftin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A432" w14:textId="6F258322" w:rsidR="00D91907" w:rsidRDefault="00D91907">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150"/>
    <w:multiLevelType w:val="hybridMultilevel"/>
    <w:tmpl w:val="2D70767A"/>
    <w:lvl w:ilvl="0" w:tplc="E5EE698C">
      <w:start w:val="1"/>
      <w:numFmt w:val="bullet"/>
      <w:lvlText w:val="–"/>
      <w:lvlJc w:val="left"/>
      <w:pPr>
        <w:ind w:left="1647" w:hanging="360"/>
      </w:pPr>
      <w:rPr>
        <w:rFonts w:ascii="Coronet (W1)" w:hAnsi="Coronet (W1)" w:hint="default"/>
        <w:sz w:val="24"/>
        <w:szCs w:val="22"/>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 w15:restartNumberingAfterBreak="0">
    <w:nsid w:val="00F44617"/>
    <w:multiLevelType w:val="hybridMultilevel"/>
    <w:tmpl w:val="22F214BE"/>
    <w:lvl w:ilvl="0" w:tplc="E5EE698C">
      <w:start w:val="1"/>
      <w:numFmt w:val="bullet"/>
      <w:lvlText w:val="–"/>
      <w:lvlJc w:val="left"/>
      <w:pPr>
        <w:ind w:left="720" w:hanging="360"/>
      </w:pPr>
      <w:rPr>
        <w:rFonts w:ascii="Coronet (W1)" w:hAnsi="Coronet (W1)" w:hint="default"/>
        <w:sz w:val="24"/>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3"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4"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15:restartNumberingAfterBreak="0">
    <w:nsid w:val="060B130B"/>
    <w:multiLevelType w:val="hybridMultilevel"/>
    <w:tmpl w:val="6F4AEBDE"/>
    <w:lvl w:ilvl="0" w:tplc="960A910A">
      <w:start w:val="1"/>
      <w:numFmt w:val="decimal"/>
      <w:lvlText w:val="%1."/>
      <w:lvlJc w:val="left"/>
      <w:pPr>
        <w:ind w:left="1210" w:hanging="360"/>
      </w:pPr>
      <w:rPr>
        <w:sz w:val="22"/>
        <w:szCs w:val="22"/>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6" w15:restartNumberingAfterBreak="0">
    <w:nsid w:val="06134204"/>
    <w:multiLevelType w:val="hybridMultilevel"/>
    <w:tmpl w:val="A9BC20F2"/>
    <w:lvl w:ilvl="0" w:tplc="EEDAD856">
      <w:start w:val="1"/>
      <w:numFmt w:val="upperLetter"/>
      <w:pStyle w:val="NormalAlpha"/>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7"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082765D6"/>
    <w:multiLevelType w:val="hybridMultilevel"/>
    <w:tmpl w:val="02EC9AC4"/>
    <w:lvl w:ilvl="0" w:tplc="E5EE698C">
      <w:start w:val="1"/>
      <w:numFmt w:val="bullet"/>
      <w:lvlText w:val="–"/>
      <w:lvlJc w:val="left"/>
      <w:pPr>
        <w:ind w:left="720" w:hanging="360"/>
      </w:pPr>
      <w:rPr>
        <w:rFonts w:ascii="Coronet (W1)" w:hAnsi="Coronet (W1)" w:hint="default"/>
        <w:sz w:val="24"/>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0"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1"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2"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3"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250396C"/>
    <w:multiLevelType w:val="hybridMultilevel"/>
    <w:tmpl w:val="E974A812"/>
    <w:lvl w:ilvl="0" w:tplc="249E1280">
      <w:start w:val="1"/>
      <w:numFmt w:val="lowerLetter"/>
      <w:pStyle w:val="NormalAlphaLow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5" w15:restartNumberingAfterBreak="0">
    <w:nsid w:val="13F01A65"/>
    <w:multiLevelType w:val="hybridMultilevel"/>
    <w:tmpl w:val="B9CC46B2"/>
    <w:lvl w:ilvl="0" w:tplc="960A910A">
      <w:start w:val="1"/>
      <w:numFmt w:val="decimal"/>
      <w:lvlText w:val="%1."/>
      <w:lvlJc w:val="left"/>
      <w:pPr>
        <w:ind w:left="36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9F05FB"/>
    <w:multiLevelType w:val="hybridMultilevel"/>
    <w:tmpl w:val="17881BA2"/>
    <w:lvl w:ilvl="0" w:tplc="E5EE698C">
      <w:start w:val="1"/>
      <w:numFmt w:val="bullet"/>
      <w:lvlText w:val="–"/>
      <w:lvlJc w:val="left"/>
      <w:pPr>
        <w:ind w:left="720" w:hanging="360"/>
      </w:pPr>
      <w:rPr>
        <w:rFonts w:ascii="Coronet (W1)" w:hAnsi="Coronet (W1)" w:hint="default"/>
        <w:sz w:val="24"/>
        <w:szCs w:val="2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962AAF"/>
    <w:multiLevelType w:val="hybridMultilevel"/>
    <w:tmpl w:val="56E61482"/>
    <w:name w:val="AGSCorp"/>
    <w:lvl w:ilvl="0" w:tplc="E182EB26">
      <w:start w:val="109"/>
      <w:numFmt w:val="decimal"/>
      <w:lvlText w:val="%1."/>
      <w:lvlJc w:val="right"/>
      <w:pPr>
        <w:tabs>
          <w:tab w:val="num" w:pos="720"/>
        </w:tabs>
        <w:ind w:left="720" w:hanging="363"/>
      </w:pPr>
      <w:rPr>
        <w:rFonts w:hint="default"/>
      </w:rPr>
    </w:lvl>
    <w:lvl w:ilvl="1" w:tplc="BC0EE7F2" w:tentative="1">
      <w:start w:val="1"/>
      <w:numFmt w:val="lowerLetter"/>
      <w:lvlText w:val="%2."/>
      <w:lvlJc w:val="left"/>
      <w:pPr>
        <w:tabs>
          <w:tab w:val="num" w:pos="1440"/>
        </w:tabs>
        <w:ind w:left="1440" w:hanging="360"/>
      </w:pPr>
    </w:lvl>
    <w:lvl w:ilvl="2" w:tplc="CB8C6EB8" w:tentative="1">
      <w:start w:val="1"/>
      <w:numFmt w:val="lowerRoman"/>
      <w:lvlText w:val="%3."/>
      <w:lvlJc w:val="right"/>
      <w:pPr>
        <w:tabs>
          <w:tab w:val="num" w:pos="2160"/>
        </w:tabs>
        <w:ind w:left="2160" w:hanging="180"/>
      </w:pPr>
    </w:lvl>
    <w:lvl w:ilvl="3" w:tplc="F2A2C12C" w:tentative="1">
      <w:start w:val="1"/>
      <w:numFmt w:val="decimal"/>
      <w:lvlText w:val="%4."/>
      <w:lvlJc w:val="left"/>
      <w:pPr>
        <w:tabs>
          <w:tab w:val="num" w:pos="2880"/>
        </w:tabs>
        <w:ind w:left="2880" w:hanging="360"/>
      </w:pPr>
    </w:lvl>
    <w:lvl w:ilvl="4" w:tplc="3996A338" w:tentative="1">
      <w:start w:val="1"/>
      <w:numFmt w:val="lowerLetter"/>
      <w:lvlText w:val="%5."/>
      <w:lvlJc w:val="left"/>
      <w:pPr>
        <w:tabs>
          <w:tab w:val="num" w:pos="3600"/>
        </w:tabs>
        <w:ind w:left="3600" w:hanging="360"/>
      </w:pPr>
    </w:lvl>
    <w:lvl w:ilvl="5" w:tplc="0546B7FE" w:tentative="1">
      <w:start w:val="1"/>
      <w:numFmt w:val="lowerRoman"/>
      <w:lvlText w:val="%6."/>
      <w:lvlJc w:val="right"/>
      <w:pPr>
        <w:tabs>
          <w:tab w:val="num" w:pos="4320"/>
        </w:tabs>
        <w:ind w:left="4320" w:hanging="180"/>
      </w:pPr>
    </w:lvl>
    <w:lvl w:ilvl="6" w:tplc="1D9A2238" w:tentative="1">
      <w:start w:val="1"/>
      <w:numFmt w:val="decimal"/>
      <w:lvlText w:val="%7."/>
      <w:lvlJc w:val="left"/>
      <w:pPr>
        <w:tabs>
          <w:tab w:val="num" w:pos="5040"/>
        </w:tabs>
        <w:ind w:left="5040" w:hanging="360"/>
      </w:pPr>
    </w:lvl>
    <w:lvl w:ilvl="7" w:tplc="0B3A2870" w:tentative="1">
      <w:start w:val="1"/>
      <w:numFmt w:val="lowerLetter"/>
      <w:lvlText w:val="%8."/>
      <w:lvlJc w:val="left"/>
      <w:pPr>
        <w:tabs>
          <w:tab w:val="num" w:pos="5760"/>
        </w:tabs>
        <w:ind w:left="5760" w:hanging="360"/>
      </w:pPr>
    </w:lvl>
    <w:lvl w:ilvl="8" w:tplc="BFEC51C4" w:tentative="1">
      <w:start w:val="1"/>
      <w:numFmt w:val="lowerRoman"/>
      <w:lvlText w:val="%9."/>
      <w:lvlJc w:val="right"/>
      <w:pPr>
        <w:tabs>
          <w:tab w:val="num" w:pos="6480"/>
        </w:tabs>
        <w:ind w:left="6480" w:hanging="180"/>
      </w:pPr>
    </w:lvl>
  </w:abstractNum>
  <w:abstractNum w:abstractNumId="1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9"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0"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1"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15:restartNumberingAfterBreak="0">
    <w:nsid w:val="24311C27"/>
    <w:multiLevelType w:val="hybridMultilevel"/>
    <w:tmpl w:val="5CBAAE16"/>
    <w:lvl w:ilvl="0" w:tplc="E5EE698C">
      <w:start w:val="1"/>
      <w:numFmt w:val="bullet"/>
      <w:lvlText w:val="–"/>
      <w:lvlJc w:val="left"/>
      <w:pPr>
        <w:ind w:left="720" w:hanging="360"/>
      </w:pPr>
      <w:rPr>
        <w:rFonts w:ascii="Coronet (W1)" w:hAnsi="Coronet (W1)" w:hint="default"/>
        <w:sz w:val="24"/>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C53852"/>
    <w:multiLevelType w:val="hybridMultilevel"/>
    <w:tmpl w:val="C53AC504"/>
    <w:name w:val="AGSTableDash"/>
    <w:lvl w:ilvl="0" w:tplc="9DE25B96">
      <w:start w:val="1"/>
      <w:numFmt w:val="bullet"/>
      <w:lvlText w:val="–"/>
      <w:lvlJc w:val="left"/>
      <w:pPr>
        <w:tabs>
          <w:tab w:val="num" w:pos="757"/>
        </w:tabs>
        <w:ind w:left="757" w:hanging="360"/>
      </w:pPr>
      <w:rPr>
        <w:rFonts w:ascii="Coronet (W1)" w:hAnsi="Coronet (W1)" w:hint="default"/>
        <w:sz w:val="24"/>
      </w:rPr>
    </w:lvl>
    <w:lvl w:ilvl="1" w:tplc="1B865AC6" w:tentative="1">
      <w:start w:val="1"/>
      <w:numFmt w:val="bullet"/>
      <w:lvlText w:val="o"/>
      <w:lvlJc w:val="left"/>
      <w:pPr>
        <w:tabs>
          <w:tab w:val="num" w:pos="1440"/>
        </w:tabs>
        <w:ind w:left="1440" w:hanging="360"/>
      </w:pPr>
      <w:rPr>
        <w:rFonts w:ascii="Courier New" w:hAnsi="Courier New" w:cs="Courier New" w:hint="default"/>
      </w:rPr>
    </w:lvl>
    <w:lvl w:ilvl="2" w:tplc="D64CD984" w:tentative="1">
      <w:start w:val="1"/>
      <w:numFmt w:val="bullet"/>
      <w:lvlText w:val=""/>
      <w:lvlJc w:val="left"/>
      <w:pPr>
        <w:tabs>
          <w:tab w:val="num" w:pos="2160"/>
        </w:tabs>
        <w:ind w:left="2160" w:hanging="360"/>
      </w:pPr>
      <w:rPr>
        <w:rFonts w:ascii="Wingdings" w:hAnsi="Wingdings" w:hint="default"/>
      </w:rPr>
    </w:lvl>
    <w:lvl w:ilvl="3" w:tplc="23A6E18C" w:tentative="1">
      <w:start w:val="1"/>
      <w:numFmt w:val="bullet"/>
      <w:lvlText w:val=""/>
      <w:lvlJc w:val="left"/>
      <w:pPr>
        <w:tabs>
          <w:tab w:val="num" w:pos="2880"/>
        </w:tabs>
        <w:ind w:left="2880" w:hanging="360"/>
      </w:pPr>
      <w:rPr>
        <w:rFonts w:ascii="Symbol" w:hAnsi="Symbol" w:hint="default"/>
      </w:rPr>
    </w:lvl>
    <w:lvl w:ilvl="4" w:tplc="77743EF2" w:tentative="1">
      <w:start w:val="1"/>
      <w:numFmt w:val="bullet"/>
      <w:lvlText w:val="o"/>
      <w:lvlJc w:val="left"/>
      <w:pPr>
        <w:tabs>
          <w:tab w:val="num" w:pos="3600"/>
        </w:tabs>
        <w:ind w:left="3600" w:hanging="360"/>
      </w:pPr>
      <w:rPr>
        <w:rFonts w:ascii="Courier New" w:hAnsi="Courier New" w:cs="Courier New" w:hint="default"/>
      </w:rPr>
    </w:lvl>
    <w:lvl w:ilvl="5" w:tplc="28362CF4" w:tentative="1">
      <w:start w:val="1"/>
      <w:numFmt w:val="bullet"/>
      <w:lvlText w:val=""/>
      <w:lvlJc w:val="left"/>
      <w:pPr>
        <w:tabs>
          <w:tab w:val="num" w:pos="4320"/>
        </w:tabs>
        <w:ind w:left="4320" w:hanging="360"/>
      </w:pPr>
      <w:rPr>
        <w:rFonts w:ascii="Wingdings" w:hAnsi="Wingdings" w:hint="default"/>
      </w:rPr>
    </w:lvl>
    <w:lvl w:ilvl="6" w:tplc="11BA4C0E" w:tentative="1">
      <w:start w:val="1"/>
      <w:numFmt w:val="bullet"/>
      <w:lvlText w:val=""/>
      <w:lvlJc w:val="left"/>
      <w:pPr>
        <w:tabs>
          <w:tab w:val="num" w:pos="5040"/>
        </w:tabs>
        <w:ind w:left="5040" w:hanging="360"/>
      </w:pPr>
      <w:rPr>
        <w:rFonts w:ascii="Symbol" w:hAnsi="Symbol" w:hint="default"/>
      </w:rPr>
    </w:lvl>
    <w:lvl w:ilvl="7" w:tplc="35265176" w:tentative="1">
      <w:start w:val="1"/>
      <w:numFmt w:val="bullet"/>
      <w:lvlText w:val="o"/>
      <w:lvlJc w:val="left"/>
      <w:pPr>
        <w:tabs>
          <w:tab w:val="num" w:pos="5760"/>
        </w:tabs>
        <w:ind w:left="5760" w:hanging="360"/>
      </w:pPr>
      <w:rPr>
        <w:rFonts w:ascii="Courier New" w:hAnsi="Courier New" w:cs="Courier New" w:hint="default"/>
      </w:rPr>
    </w:lvl>
    <w:lvl w:ilvl="8" w:tplc="917A683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5" w15:restartNumberingAfterBreak="0">
    <w:nsid w:val="26FE078F"/>
    <w:multiLevelType w:val="hybridMultilevel"/>
    <w:tmpl w:val="B2063814"/>
    <w:lvl w:ilvl="0" w:tplc="E5EE698C">
      <w:start w:val="1"/>
      <w:numFmt w:val="bullet"/>
      <w:lvlText w:val="–"/>
      <w:lvlJc w:val="left"/>
      <w:pPr>
        <w:ind w:left="1647" w:hanging="360"/>
      </w:pPr>
      <w:rPr>
        <w:rFonts w:ascii="Coronet (W1)" w:hAnsi="Coronet (W1)" w:hint="default"/>
        <w:sz w:val="24"/>
        <w:szCs w:val="22"/>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6" w15:restartNumberingAfterBreak="0">
    <w:nsid w:val="2765064C"/>
    <w:multiLevelType w:val="hybridMultilevel"/>
    <w:tmpl w:val="A34632EC"/>
    <w:lvl w:ilvl="0" w:tplc="960A910A">
      <w:start w:val="1"/>
      <w:numFmt w:val="decimal"/>
      <w:lvlText w:val="%1."/>
      <w:lvlJc w:val="left"/>
      <w:pPr>
        <w:ind w:left="785" w:hanging="360"/>
      </w:pPr>
      <w:rPr>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9"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0"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1"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4A97A8B"/>
    <w:multiLevelType w:val="hybridMultilevel"/>
    <w:tmpl w:val="D3C6E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305088"/>
    <w:multiLevelType w:val="hybridMultilevel"/>
    <w:tmpl w:val="7B6C4818"/>
    <w:lvl w:ilvl="0" w:tplc="0C090001">
      <w:start w:val="1"/>
      <w:numFmt w:val="bullet"/>
      <w:lvlText w:val=""/>
      <w:lvlJc w:val="left"/>
      <w:pPr>
        <w:ind w:left="1210" w:hanging="360"/>
      </w:pPr>
      <w:rPr>
        <w:rFonts w:ascii="Symbol" w:hAnsi="Symbol" w:hint="default"/>
        <w:b w:val="0"/>
        <w:sz w:val="24"/>
      </w:rPr>
    </w:lvl>
    <w:lvl w:ilvl="1" w:tplc="E5EE698C">
      <w:start w:val="1"/>
      <w:numFmt w:val="bullet"/>
      <w:lvlText w:val="–"/>
      <w:lvlJc w:val="left"/>
      <w:pPr>
        <w:ind w:left="1788" w:hanging="360"/>
      </w:pPr>
      <w:rPr>
        <w:rFonts w:ascii="Coronet (W1)" w:hAnsi="Coronet (W1)" w:hint="default"/>
        <w:sz w:val="24"/>
        <w:szCs w:val="22"/>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4" w15:restartNumberingAfterBreak="0">
    <w:nsid w:val="42B85A5E"/>
    <w:multiLevelType w:val="hybridMultilevel"/>
    <w:tmpl w:val="0582AD74"/>
    <w:name w:val="AGSTableHang"/>
    <w:lvl w:ilvl="0" w:tplc="54862354">
      <w:start w:val="2"/>
      <w:numFmt w:val="bullet"/>
      <w:lvlText w:val="–"/>
      <w:lvlJc w:val="left"/>
      <w:pPr>
        <w:tabs>
          <w:tab w:val="num" w:pos="720"/>
        </w:tabs>
        <w:ind w:left="720" w:hanging="360"/>
      </w:pPr>
      <w:rPr>
        <w:rFonts w:ascii="Arial" w:eastAsia="Times New Roman" w:hAnsi="Arial" w:cs="Arial" w:hint="default"/>
      </w:rPr>
    </w:lvl>
    <w:lvl w:ilvl="1" w:tplc="D5DCFBAE" w:tentative="1">
      <w:start w:val="1"/>
      <w:numFmt w:val="bullet"/>
      <w:lvlText w:val="o"/>
      <w:lvlJc w:val="left"/>
      <w:pPr>
        <w:tabs>
          <w:tab w:val="num" w:pos="1440"/>
        </w:tabs>
        <w:ind w:left="1440" w:hanging="360"/>
      </w:pPr>
      <w:rPr>
        <w:rFonts w:ascii="Courier New" w:hAnsi="Courier New" w:cs="Courier New" w:hint="default"/>
      </w:rPr>
    </w:lvl>
    <w:lvl w:ilvl="2" w:tplc="CDE8F37E" w:tentative="1">
      <w:start w:val="1"/>
      <w:numFmt w:val="bullet"/>
      <w:lvlText w:val=""/>
      <w:lvlJc w:val="left"/>
      <w:pPr>
        <w:tabs>
          <w:tab w:val="num" w:pos="2160"/>
        </w:tabs>
        <w:ind w:left="2160" w:hanging="360"/>
      </w:pPr>
      <w:rPr>
        <w:rFonts w:ascii="Wingdings" w:hAnsi="Wingdings" w:hint="default"/>
      </w:rPr>
    </w:lvl>
    <w:lvl w:ilvl="3" w:tplc="E35257B8" w:tentative="1">
      <w:start w:val="1"/>
      <w:numFmt w:val="bullet"/>
      <w:lvlText w:val=""/>
      <w:lvlJc w:val="left"/>
      <w:pPr>
        <w:tabs>
          <w:tab w:val="num" w:pos="2880"/>
        </w:tabs>
        <w:ind w:left="2880" w:hanging="360"/>
      </w:pPr>
      <w:rPr>
        <w:rFonts w:ascii="Symbol" w:hAnsi="Symbol" w:hint="default"/>
      </w:rPr>
    </w:lvl>
    <w:lvl w:ilvl="4" w:tplc="9E5E16F8" w:tentative="1">
      <w:start w:val="1"/>
      <w:numFmt w:val="bullet"/>
      <w:lvlText w:val="o"/>
      <w:lvlJc w:val="left"/>
      <w:pPr>
        <w:tabs>
          <w:tab w:val="num" w:pos="3600"/>
        </w:tabs>
        <w:ind w:left="3600" w:hanging="360"/>
      </w:pPr>
      <w:rPr>
        <w:rFonts w:ascii="Courier New" w:hAnsi="Courier New" w:cs="Courier New" w:hint="default"/>
      </w:rPr>
    </w:lvl>
    <w:lvl w:ilvl="5" w:tplc="9FB8C41C" w:tentative="1">
      <w:start w:val="1"/>
      <w:numFmt w:val="bullet"/>
      <w:lvlText w:val=""/>
      <w:lvlJc w:val="left"/>
      <w:pPr>
        <w:tabs>
          <w:tab w:val="num" w:pos="4320"/>
        </w:tabs>
        <w:ind w:left="4320" w:hanging="360"/>
      </w:pPr>
      <w:rPr>
        <w:rFonts w:ascii="Wingdings" w:hAnsi="Wingdings" w:hint="default"/>
      </w:rPr>
    </w:lvl>
    <w:lvl w:ilvl="6" w:tplc="1CE6F96A" w:tentative="1">
      <w:start w:val="1"/>
      <w:numFmt w:val="bullet"/>
      <w:lvlText w:val=""/>
      <w:lvlJc w:val="left"/>
      <w:pPr>
        <w:tabs>
          <w:tab w:val="num" w:pos="5040"/>
        </w:tabs>
        <w:ind w:left="5040" w:hanging="360"/>
      </w:pPr>
      <w:rPr>
        <w:rFonts w:ascii="Symbol" w:hAnsi="Symbol" w:hint="default"/>
      </w:rPr>
    </w:lvl>
    <w:lvl w:ilvl="7" w:tplc="E2E0399A" w:tentative="1">
      <w:start w:val="1"/>
      <w:numFmt w:val="bullet"/>
      <w:lvlText w:val="o"/>
      <w:lvlJc w:val="left"/>
      <w:pPr>
        <w:tabs>
          <w:tab w:val="num" w:pos="5760"/>
        </w:tabs>
        <w:ind w:left="5760" w:hanging="360"/>
      </w:pPr>
      <w:rPr>
        <w:rFonts w:ascii="Courier New" w:hAnsi="Courier New" w:cs="Courier New" w:hint="default"/>
      </w:rPr>
    </w:lvl>
    <w:lvl w:ilvl="8" w:tplc="419ED7D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36" w15:restartNumberingAfterBreak="0">
    <w:nsid w:val="47E727A0"/>
    <w:multiLevelType w:val="hybridMultilevel"/>
    <w:tmpl w:val="523409E6"/>
    <w:name w:val="AGSClause"/>
    <w:lvl w:ilvl="0" w:tplc="A780514E">
      <w:start w:val="1"/>
      <w:numFmt w:val="decimal"/>
      <w:pStyle w:val="Keryl"/>
      <w:lvlText w:val="%1."/>
      <w:lvlJc w:val="left"/>
      <w:pPr>
        <w:tabs>
          <w:tab w:val="num" w:pos="720"/>
        </w:tabs>
        <w:ind w:left="927" w:hanging="567"/>
      </w:pPr>
      <w:rPr>
        <w:rFonts w:hint="default"/>
        <w:b w:val="0"/>
      </w:rPr>
    </w:lvl>
    <w:lvl w:ilvl="1" w:tplc="95FC7A2C">
      <w:start w:val="1"/>
      <w:numFmt w:val="lowerLetter"/>
      <w:lvlText w:val="%2."/>
      <w:lvlJc w:val="left"/>
      <w:pPr>
        <w:tabs>
          <w:tab w:val="num" w:pos="1440"/>
        </w:tabs>
        <w:ind w:left="1440" w:hanging="360"/>
      </w:pPr>
    </w:lvl>
    <w:lvl w:ilvl="2" w:tplc="5E4ABD4C">
      <w:start w:val="1"/>
      <w:numFmt w:val="lowerRoman"/>
      <w:lvlText w:val="%3."/>
      <w:lvlJc w:val="right"/>
      <w:pPr>
        <w:tabs>
          <w:tab w:val="num" w:pos="2160"/>
        </w:tabs>
        <w:ind w:left="2160" w:hanging="180"/>
      </w:pPr>
      <w:rPr>
        <w:rFonts w:hint="default"/>
        <w:b w:val="0"/>
      </w:rPr>
    </w:lvl>
    <w:lvl w:ilvl="3" w:tplc="C4767AE6" w:tentative="1">
      <w:start w:val="1"/>
      <w:numFmt w:val="decimal"/>
      <w:lvlText w:val="%4."/>
      <w:lvlJc w:val="left"/>
      <w:pPr>
        <w:tabs>
          <w:tab w:val="num" w:pos="2880"/>
        </w:tabs>
        <w:ind w:left="2880" w:hanging="360"/>
      </w:pPr>
    </w:lvl>
    <w:lvl w:ilvl="4" w:tplc="48E4B808" w:tentative="1">
      <w:start w:val="1"/>
      <w:numFmt w:val="lowerLetter"/>
      <w:lvlText w:val="%5."/>
      <w:lvlJc w:val="left"/>
      <w:pPr>
        <w:tabs>
          <w:tab w:val="num" w:pos="3600"/>
        </w:tabs>
        <w:ind w:left="3600" w:hanging="360"/>
      </w:pPr>
    </w:lvl>
    <w:lvl w:ilvl="5" w:tplc="C346F670" w:tentative="1">
      <w:start w:val="1"/>
      <w:numFmt w:val="lowerRoman"/>
      <w:lvlText w:val="%6."/>
      <w:lvlJc w:val="right"/>
      <w:pPr>
        <w:tabs>
          <w:tab w:val="num" w:pos="4320"/>
        </w:tabs>
        <w:ind w:left="4320" w:hanging="180"/>
      </w:pPr>
    </w:lvl>
    <w:lvl w:ilvl="6" w:tplc="C1A0B868" w:tentative="1">
      <w:start w:val="1"/>
      <w:numFmt w:val="decimal"/>
      <w:lvlText w:val="%7."/>
      <w:lvlJc w:val="left"/>
      <w:pPr>
        <w:tabs>
          <w:tab w:val="num" w:pos="5040"/>
        </w:tabs>
        <w:ind w:left="5040" w:hanging="360"/>
      </w:pPr>
    </w:lvl>
    <w:lvl w:ilvl="7" w:tplc="E95E472C" w:tentative="1">
      <w:start w:val="1"/>
      <w:numFmt w:val="lowerLetter"/>
      <w:lvlText w:val="%8."/>
      <w:lvlJc w:val="left"/>
      <w:pPr>
        <w:tabs>
          <w:tab w:val="num" w:pos="5760"/>
        </w:tabs>
        <w:ind w:left="5760" w:hanging="360"/>
      </w:pPr>
    </w:lvl>
    <w:lvl w:ilvl="8" w:tplc="B04CF0D8" w:tentative="1">
      <w:start w:val="1"/>
      <w:numFmt w:val="lowerRoman"/>
      <w:lvlText w:val="%9."/>
      <w:lvlJc w:val="right"/>
      <w:pPr>
        <w:tabs>
          <w:tab w:val="num" w:pos="6480"/>
        </w:tabs>
        <w:ind w:left="6480" w:hanging="180"/>
      </w:pPr>
    </w:lvl>
  </w:abstractNum>
  <w:abstractNum w:abstractNumId="37" w15:restartNumberingAfterBreak="0">
    <w:nsid w:val="4B9A0695"/>
    <w:multiLevelType w:val="hybridMultilevel"/>
    <w:tmpl w:val="A2A29D3C"/>
    <w:lvl w:ilvl="0" w:tplc="E5EE698C">
      <w:start w:val="1"/>
      <w:numFmt w:val="bullet"/>
      <w:lvlText w:val="–"/>
      <w:lvlJc w:val="left"/>
      <w:pPr>
        <w:tabs>
          <w:tab w:val="num" w:pos="785"/>
        </w:tabs>
        <w:ind w:left="785" w:hanging="360"/>
      </w:pPr>
      <w:rPr>
        <w:rFonts w:ascii="Coronet (W1)" w:hAnsi="Coronet (W1)" w:hint="default"/>
        <w:sz w:val="24"/>
        <w:szCs w:val="22"/>
      </w:rPr>
    </w:lvl>
    <w:lvl w:ilvl="1" w:tplc="F558B176">
      <w:start w:val="1"/>
      <w:numFmt w:val="decimal"/>
      <w:lvlText w:val="%2."/>
      <w:lvlJc w:val="left"/>
      <w:pPr>
        <w:tabs>
          <w:tab w:val="num" w:pos="785"/>
        </w:tabs>
        <w:ind w:left="785" w:hanging="360"/>
      </w:pPr>
      <w:rPr>
        <w:rFonts w:hint="default"/>
        <w:sz w:val="22"/>
        <w:szCs w:val="22"/>
      </w:rPr>
    </w:lvl>
    <w:lvl w:ilvl="2" w:tplc="0C09001B">
      <w:start w:val="1"/>
      <w:numFmt w:val="bullet"/>
      <w:lvlText w:val=""/>
      <w:lvlJc w:val="left"/>
      <w:pPr>
        <w:tabs>
          <w:tab w:val="num" w:pos="1001"/>
        </w:tabs>
        <w:ind w:left="1001" w:hanging="576"/>
      </w:pPr>
      <w:rPr>
        <w:rFonts w:ascii="Symbol" w:hAnsi="Symbol" w:hint="default"/>
        <w:color w:val="auto"/>
        <w:sz w:val="16"/>
        <w:szCs w:val="22"/>
      </w:rPr>
    </w:lvl>
    <w:lvl w:ilvl="3" w:tplc="0C09000F">
      <w:start w:val="1"/>
      <w:numFmt w:val="decimal"/>
      <w:lvlText w:val="(%4)"/>
      <w:lvlJc w:val="left"/>
      <w:pPr>
        <w:tabs>
          <w:tab w:val="num" w:pos="2945"/>
        </w:tabs>
        <w:ind w:left="2945" w:hanging="360"/>
      </w:pPr>
      <w:rPr>
        <w:rFonts w:hint="default"/>
      </w:rPr>
    </w:lvl>
    <w:lvl w:ilvl="4" w:tplc="0C090019" w:tentative="1">
      <w:start w:val="1"/>
      <w:numFmt w:val="lowerLetter"/>
      <w:lvlText w:val="%5."/>
      <w:lvlJc w:val="left"/>
      <w:pPr>
        <w:tabs>
          <w:tab w:val="num" w:pos="3665"/>
        </w:tabs>
        <w:ind w:left="3665" w:hanging="360"/>
      </w:pPr>
    </w:lvl>
    <w:lvl w:ilvl="5" w:tplc="0C09001B" w:tentative="1">
      <w:start w:val="1"/>
      <w:numFmt w:val="lowerRoman"/>
      <w:lvlText w:val="%6."/>
      <w:lvlJc w:val="right"/>
      <w:pPr>
        <w:tabs>
          <w:tab w:val="num" w:pos="4385"/>
        </w:tabs>
        <w:ind w:left="4385" w:hanging="180"/>
      </w:pPr>
    </w:lvl>
    <w:lvl w:ilvl="6" w:tplc="0C09000F" w:tentative="1">
      <w:start w:val="1"/>
      <w:numFmt w:val="decimal"/>
      <w:lvlText w:val="%7."/>
      <w:lvlJc w:val="left"/>
      <w:pPr>
        <w:tabs>
          <w:tab w:val="num" w:pos="5105"/>
        </w:tabs>
        <w:ind w:left="5105" w:hanging="360"/>
      </w:pPr>
    </w:lvl>
    <w:lvl w:ilvl="7" w:tplc="0C090019" w:tentative="1">
      <w:start w:val="1"/>
      <w:numFmt w:val="lowerLetter"/>
      <w:lvlText w:val="%8."/>
      <w:lvlJc w:val="left"/>
      <w:pPr>
        <w:tabs>
          <w:tab w:val="num" w:pos="5825"/>
        </w:tabs>
        <w:ind w:left="5825" w:hanging="360"/>
      </w:pPr>
    </w:lvl>
    <w:lvl w:ilvl="8" w:tplc="0C09001B" w:tentative="1">
      <w:start w:val="1"/>
      <w:numFmt w:val="lowerRoman"/>
      <w:lvlText w:val="%9."/>
      <w:lvlJc w:val="right"/>
      <w:pPr>
        <w:tabs>
          <w:tab w:val="num" w:pos="6545"/>
        </w:tabs>
        <w:ind w:left="6545" w:hanging="180"/>
      </w:pPr>
    </w:lvl>
  </w:abstractNum>
  <w:abstractNum w:abstractNumId="38"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40"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1" w15:restartNumberingAfterBreak="0">
    <w:nsid w:val="58BC722D"/>
    <w:multiLevelType w:val="hybridMultilevel"/>
    <w:tmpl w:val="F4C2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812915"/>
    <w:multiLevelType w:val="hybridMultilevel"/>
    <w:tmpl w:val="7E4EF706"/>
    <w:lvl w:ilvl="0" w:tplc="E5EE698C">
      <w:start w:val="1"/>
      <w:numFmt w:val="bullet"/>
      <w:lvlText w:val="–"/>
      <w:lvlJc w:val="left"/>
      <w:pPr>
        <w:ind w:left="785" w:hanging="360"/>
      </w:pPr>
      <w:rPr>
        <w:rFonts w:ascii="Coronet (W1)" w:hAnsi="Coronet (W1)" w:hint="default"/>
        <w:sz w:val="24"/>
        <w:szCs w:val="22"/>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5E2F720D"/>
    <w:multiLevelType w:val="multilevel"/>
    <w:tmpl w:val="C4ACA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F0056CC"/>
    <w:multiLevelType w:val="hybridMultilevel"/>
    <w:tmpl w:val="0CD4855A"/>
    <w:lvl w:ilvl="0" w:tplc="E5EE698C">
      <w:start w:val="1"/>
      <w:numFmt w:val="bullet"/>
      <w:lvlText w:val="–"/>
      <w:lvlJc w:val="left"/>
      <w:pPr>
        <w:ind w:left="1145" w:hanging="360"/>
      </w:pPr>
      <w:rPr>
        <w:rFonts w:ascii="Coronet (W1)" w:hAnsi="Coronet (W1)" w:hint="default"/>
        <w:sz w:val="24"/>
        <w:szCs w:val="22"/>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5"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46" w15:restartNumberingAfterBreak="0">
    <w:nsid w:val="62312B81"/>
    <w:multiLevelType w:val="hybridMultilevel"/>
    <w:tmpl w:val="137AA87C"/>
    <w:lvl w:ilvl="0" w:tplc="18747572">
      <w:start w:val="1"/>
      <w:numFmt w:val="decimal"/>
      <w:lvlText w:val="%1."/>
      <w:lvlJc w:val="left"/>
      <w:pPr>
        <w:ind w:left="360" w:hanging="360"/>
      </w:pPr>
      <w:rPr>
        <w:i w:val="0"/>
        <w:sz w:val="22"/>
        <w:szCs w:val="22"/>
      </w:rPr>
    </w:lvl>
    <w:lvl w:ilvl="1" w:tplc="E5EE698C">
      <w:start w:val="1"/>
      <w:numFmt w:val="bullet"/>
      <w:lvlText w:val="–"/>
      <w:lvlJc w:val="left"/>
      <w:pPr>
        <w:ind w:left="1080" w:hanging="360"/>
      </w:pPr>
      <w:rPr>
        <w:rFonts w:ascii="Coronet (W1)" w:hAnsi="Coronet (W1)" w:hint="default"/>
        <w:sz w:val="24"/>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6016E7C"/>
    <w:multiLevelType w:val="hybridMultilevel"/>
    <w:tmpl w:val="CED43940"/>
    <w:lvl w:ilvl="0" w:tplc="0C090001">
      <w:start w:val="1"/>
      <w:numFmt w:val="bullet"/>
      <w:lvlText w:val=""/>
      <w:lvlJc w:val="left"/>
      <w:pPr>
        <w:ind w:left="785" w:hanging="360"/>
      </w:pPr>
      <w:rPr>
        <w:rFonts w:ascii="Symbol" w:hAnsi="Symbol" w:hint="default"/>
        <w:b w:val="0"/>
        <w:sz w:val="24"/>
      </w:rPr>
    </w:lvl>
    <w:lvl w:ilvl="1" w:tplc="E5EE698C">
      <w:start w:val="1"/>
      <w:numFmt w:val="bullet"/>
      <w:lvlText w:val="–"/>
      <w:lvlJc w:val="left"/>
      <w:pPr>
        <w:ind w:left="1363" w:hanging="360"/>
      </w:pPr>
      <w:rPr>
        <w:rFonts w:ascii="Coronet (W1)" w:hAnsi="Coronet (W1)" w:hint="default"/>
        <w:sz w:val="24"/>
        <w:szCs w:val="22"/>
      </w:rPr>
    </w:lvl>
    <w:lvl w:ilvl="2" w:tplc="0C09001B">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8" w15:restartNumberingAfterBreak="0">
    <w:nsid w:val="6B7D7421"/>
    <w:multiLevelType w:val="hybridMultilevel"/>
    <w:tmpl w:val="EA369EFA"/>
    <w:lvl w:ilvl="0" w:tplc="5F48AB22">
      <w:start w:val="1"/>
      <w:numFmt w:val="lowerRoman"/>
      <w:pStyle w:val="NormalI"/>
      <w:lvlText w:val="%1."/>
      <w:lvlJc w:val="righ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9" w15:restartNumberingAfterBreak="0">
    <w:nsid w:val="6C9146F0"/>
    <w:multiLevelType w:val="hybridMultilevel"/>
    <w:tmpl w:val="6AB621E6"/>
    <w:lvl w:ilvl="0" w:tplc="960A910A">
      <w:start w:val="1"/>
      <w:numFmt w:val="decimal"/>
      <w:lvlText w:val="%1."/>
      <w:lvlJc w:val="left"/>
      <w:pPr>
        <w:ind w:left="1068" w:hanging="360"/>
      </w:pPr>
      <w:rPr>
        <w:sz w:val="22"/>
        <w:szCs w:val="22"/>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50" w15:restartNumberingAfterBreak="0">
    <w:nsid w:val="6F1A0C0B"/>
    <w:multiLevelType w:val="hybridMultilevel"/>
    <w:tmpl w:val="62721164"/>
    <w:name w:val="AGSHL"/>
    <w:lvl w:ilvl="0" w:tplc="913420B6">
      <w:start w:val="1"/>
      <w:numFmt w:val="decimal"/>
      <w:lvlText w:val="%1."/>
      <w:lvlJc w:val="left"/>
      <w:pPr>
        <w:tabs>
          <w:tab w:val="num" w:pos="360"/>
        </w:tabs>
        <w:ind w:left="360" w:hanging="360"/>
      </w:pPr>
      <w:rPr>
        <w:rFonts w:hint="default"/>
        <w:sz w:val="22"/>
        <w:szCs w:val="22"/>
      </w:rPr>
    </w:lvl>
    <w:lvl w:ilvl="1" w:tplc="5D1EB880" w:tentative="1">
      <w:start w:val="1"/>
      <w:numFmt w:val="lowerLetter"/>
      <w:lvlText w:val="%2."/>
      <w:lvlJc w:val="left"/>
      <w:pPr>
        <w:tabs>
          <w:tab w:val="num" w:pos="1440"/>
        </w:tabs>
        <w:ind w:left="1440" w:hanging="360"/>
      </w:pPr>
    </w:lvl>
    <w:lvl w:ilvl="2" w:tplc="BF4C600A" w:tentative="1">
      <w:start w:val="1"/>
      <w:numFmt w:val="lowerRoman"/>
      <w:lvlText w:val="%3."/>
      <w:lvlJc w:val="right"/>
      <w:pPr>
        <w:tabs>
          <w:tab w:val="num" w:pos="2160"/>
        </w:tabs>
        <w:ind w:left="2160" w:hanging="180"/>
      </w:pPr>
    </w:lvl>
    <w:lvl w:ilvl="3" w:tplc="F1FE61E8" w:tentative="1">
      <w:start w:val="1"/>
      <w:numFmt w:val="decimal"/>
      <w:lvlText w:val="%4."/>
      <w:lvlJc w:val="left"/>
      <w:pPr>
        <w:tabs>
          <w:tab w:val="num" w:pos="2880"/>
        </w:tabs>
        <w:ind w:left="2880" w:hanging="360"/>
      </w:pPr>
    </w:lvl>
    <w:lvl w:ilvl="4" w:tplc="7AB88774" w:tentative="1">
      <w:start w:val="1"/>
      <w:numFmt w:val="lowerLetter"/>
      <w:lvlText w:val="%5."/>
      <w:lvlJc w:val="left"/>
      <w:pPr>
        <w:tabs>
          <w:tab w:val="num" w:pos="3600"/>
        </w:tabs>
        <w:ind w:left="3600" w:hanging="360"/>
      </w:pPr>
    </w:lvl>
    <w:lvl w:ilvl="5" w:tplc="086089B6" w:tentative="1">
      <w:start w:val="1"/>
      <w:numFmt w:val="lowerRoman"/>
      <w:lvlText w:val="%6."/>
      <w:lvlJc w:val="right"/>
      <w:pPr>
        <w:tabs>
          <w:tab w:val="num" w:pos="4320"/>
        </w:tabs>
        <w:ind w:left="4320" w:hanging="180"/>
      </w:pPr>
    </w:lvl>
    <w:lvl w:ilvl="6" w:tplc="739EDF88" w:tentative="1">
      <w:start w:val="1"/>
      <w:numFmt w:val="decimal"/>
      <w:lvlText w:val="%7."/>
      <w:lvlJc w:val="left"/>
      <w:pPr>
        <w:tabs>
          <w:tab w:val="num" w:pos="5040"/>
        </w:tabs>
        <w:ind w:left="5040" w:hanging="360"/>
      </w:pPr>
    </w:lvl>
    <w:lvl w:ilvl="7" w:tplc="E910AD6C" w:tentative="1">
      <w:start w:val="1"/>
      <w:numFmt w:val="lowerLetter"/>
      <w:lvlText w:val="%8."/>
      <w:lvlJc w:val="left"/>
      <w:pPr>
        <w:tabs>
          <w:tab w:val="num" w:pos="5760"/>
        </w:tabs>
        <w:ind w:left="5760" w:hanging="360"/>
      </w:pPr>
    </w:lvl>
    <w:lvl w:ilvl="8" w:tplc="8E106932" w:tentative="1">
      <w:start w:val="1"/>
      <w:numFmt w:val="lowerRoman"/>
      <w:lvlText w:val="%9."/>
      <w:lvlJc w:val="right"/>
      <w:pPr>
        <w:tabs>
          <w:tab w:val="num" w:pos="6480"/>
        </w:tabs>
        <w:ind w:left="6480" w:hanging="180"/>
      </w:pPr>
    </w:lvl>
  </w:abstractNum>
  <w:abstractNum w:abstractNumId="51" w15:restartNumberingAfterBreak="0">
    <w:nsid w:val="73C934BC"/>
    <w:multiLevelType w:val="hybridMultilevel"/>
    <w:tmpl w:val="9DE86C9E"/>
    <w:lvl w:ilvl="0" w:tplc="E5EE698C">
      <w:start w:val="1"/>
      <w:numFmt w:val="bullet"/>
      <w:lvlText w:val="–"/>
      <w:lvlJc w:val="left"/>
      <w:pPr>
        <w:ind w:left="720" w:hanging="360"/>
      </w:pPr>
      <w:rPr>
        <w:rFonts w:ascii="Coronet (W1)" w:hAnsi="Coronet (W1)" w:hint="default"/>
        <w:sz w:val="24"/>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D3519B"/>
    <w:multiLevelType w:val="multilevel"/>
    <w:tmpl w:val="74CADF34"/>
    <w:lvl w:ilvl="0">
      <w:start w:val="1"/>
      <w:numFmt w:val="decimal"/>
      <w:lvlText w:val="%1."/>
      <w:lvlJc w:val="left"/>
      <w:pPr>
        <w:ind w:left="360" w:hanging="360"/>
      </w:pPr>
      <w:rPr>
        <w:rFonts w:hint="default"/>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7E14122"/>
    <w:multiLevelType w:val="hybridMultilevel"/>
    <w:tmpl w:val="513A7B7A"/>
    <w:lvl w:ilvl="0" w:tplc="40C645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5" w15:restartNumberingAfterBreak="0">
    <w:nsid w:val="7AC22CE9"/>
    <w:multiLevelType w:val="hybridMultilevel"/>
    <w:tmpl w:val="568A5C1A"/>
    <w:lvl w:ilvl="0" w:tplc="960A910A">
      <w:start w:val="1"/>
      <w:numFmt w:val="decimal"/>
      <w:lvlText w:val="%1."/>
      <w:lvlJc w:val="left"/>
      <w:pPr>
        <w:ind w:left="1068" w:hanging="360"/>
      </w:pPr>
      <w:rPr>
        <w:sz w:val="22"/>
        <w:szCs w:val="22"/>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56" w15:restartNumberingAfterBreak="0">
    <w:nsid w:val="7BDD1D47"/>
    <w:multiLevelType w:val="hybridMultilevel"/>
    <w:tmpl w:val="ACACE59C"/>
    <w:name w:val="AGSTBDash"/>
    <w:lvl w:ilvl="0" w:tplc="E188BD52">
      <w:start w:val="1"/>
      <w:numFmt w:val="bullet"/>
      <w:lvlText w:val="–"/>
      <w:lvlJc w:val="left"/>
      <w:pPr>
        <w:tabs>
          <w:tab w:val="num" w:pos="1440"/>
        </w:tabs>
        <w:ind w:left="1440" w:hanging="360"/>
      </w:pPr>
      <w:rPr>
        <w:rFonts w:ascii="Coronet (W1)" w:hAnsi="Coronet (W1)" w:hint="default"/>
        <w:sz w:val="24"/>
      </w:rPr>
    </w:lvl>
    <w:lvl w:ilvl="1" w:tplc="68447A50" w:tentative="1">
      <w:start w:val="1"/>
      <w:numFmt w:val="bullet"/>
      <w:lvlText w:val="o"/>
      <w:lvlJc w:val="left"/>
      <w:pPr>
        <w:tabs>
          <w:tab w:val="num" w:pos="2123"/>
        </w:tabs>
        <w:ind w:left="2123" w:hanging="360"/>
      </w:pPr>
      <w:rPr>
        <w:rFonts w:ascii="Courier New" w:hAnsi="Courier New" w:cs="Courier New" w:hint="default"/>
      </w:rPr>
    </w:lvl>
    <w:lvl w:ilvl="2" w:tplc="C974F9D2" w:tentative="1">
      <w:start w:val="1"/>
      <w:numFmt w:val="bullet"/>
      <w:lvlText w:val=""/>
      <w:lvlJc w:val="left"/>
      <w:pPr>
        <w:tabs>
          <w:tab w:val="num" w:pos="2843"/>
        </w:tabs>
        <w:ind w:left="2843" w:hanging="360"/>
      </w:pPr>
      <w:rPr>
        <w:rFonts w:ascii="Wingdings" w:hAnsi="Wingdings" w:hint="default"/>
      </w:rPr>
    </w:lvl>
    <w:lvl w:ilvl="3" w:tplc="9E861DFA" w:tentative="1">
      <w:start w:val="1"/>
      <w:numFmt w:val="bullet"/>
      <w:lvlText w:val=""/>
      <w:lvlJc w:val="left"/>
      <w:pPr>
        <w:tabs>
          <w:tab w:val="num" w:pos="3563"/>
        </w:tabs>
        <w:ind w:left="3563" w:hanging="360"/>
      </w:pPr>
      <w:rPr>
        <w:rFonts w:ascii="Symbol" w:hAnsi="Symbol" w:hint="default"/>
      </w:rPr>
    </w:lvl>
    <w:lvl w:ilvl="4" w:tplc="5BDC7850" w:tentative="1">
      <w:start w:val="1"/>
      <w:numFmt w:val="bullet"/>
      <w:lvlText w:val="o"/>
      <w:lvlJc w:val="left"/>
      <w:pPr>
        <w:tabs>
          <w:tab w:val="num" w:pos="4283"/>
        </w:tabs>
        <w:ind w:left="4283" w:hanging="360"/>
      </w:pPr>
      <w:rPr>
        <w:rFonts w:ascii="Courier New" w:hAnsi="Courier New" w:cs="Courier New" w:hint="default"/>
      </w:rPr>
    </w:lvl>
    <w:lvl w:ilvl="5" w:tplc="0276DB9A" w:tentative="1">
      <w:start w:val="1"/>
      <w:numFmt w:val="bullet"/>
      <w:lvlText w:val=""/>
      <w:lvlJc w:val="left"/>
      <w:pPr>
        <w:tabs>
          <w:tab w:val="num" w:pos="5003"/>
        </w:tabs>
        <w:ind w:left="5003" w:hanging="360"/>
      </w:pPr>
      <w:rPr>
        <w:rFonts w:ascii="Wingdings" w:hAnsi="Wingdings" w:hint="default"/>
      </w:rPr>
    </w:lvl>
    <w:lvl w:ilvl="6" w:tplc="3B2A2684" w:tentative="1">
      <w:start w:val="1"/>
      <w:numFmt w:val="bullet"/>
      <w:lvlText w:val=""/>
      <w:lvlJc w:val="left"/>
      <w:pPr>
        <w:tabs>
          <w:tab w:val="num" w:pos="5723"/>
        </w:tabs>
        <w:ind w:left="5723" w:hanging="360"/>
      </w:pPr>
      <w:rPr>
        <w:rFonts w:ascii="Symbol" w:hAnsi="Symbol" w:hint="default"/>
      </w:rPr>
    </w:lvl>
    <w:lvl w:ilvl="7" w:tplc="1BCCBB38" w:tentative="1">
      <w:start w:val="1"/>
      <w:numFmt w:val="bullet"/>
      <w:lvlText w:val="o"/>
      <w:lvlJc w:val="left"/>
      <w:pPr>
        <w:tabs>
          <w:tab w:val="num" w:pos="6443"/>
        </w:tabs>
        <w:ind w:left="6443" w:hanging="360"/>
      </w:pPr>
      <w:rPr>
        <w:rFonts w:ascii="Courier New" w:hAnsi="Courier New" w:cs="Courier New" w:hint="default"/>
      </w:rPr>
    </w:lvl>
    <w:lvl w:ilvl="8" w:tplc="F830CCF4" w:tentative="1">
      <w:start w:val="1"/>
      <w:numFmt w:val="bullet"/>
      <w:lvlText w:val=""/>
      <w:lvlJc w:val="left"/>
      <w:pPr>
        <w:tabs>
          <w:tab w:val="num" w:pos="7163"/>
        </w:tabs>
        <w:ind w:left="7163" w:hanging="360"/>
      </w:pPr>
      <w:rPr>
        <w:rFonts w:ascii="Wingdings" w:hAnsi="Wingdings" w:hint="default"/>
      </w:rPr>
    </w:lvl>
  </w:abstractNum>
  <w:abstractNum w:abstractNumId="57"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7EF964FC"/>
    <w:multiLevelType w:val="hybridMultilevel"/>
    <w:tmpl w:val="6B7CEEDA"/>
    <w:lvl w:ilvl="0" w:tplc="0C090001">
      <w:start w:val="1"/>
      <w:numFmt w:val="bullet"/>
      <w:lvlText w:val=""/>
      <w:lvlJc w:val="left"/>
      <w:pPr>
        <w:ind w:left="1210" w:hanging="360"/>
      </w:pPr>
      <w:rPr>
        <w:rFonts w:ascii="Symbol" w:hAnsi="Symbol" w:hint="default"/>
        <w:b w:val="0"/>
        <w:sz w:val="24"/>
      </w:rPr>
    </w:lvl>
    <w:lvl w:ilvl="1" w:tplc="0C090001">
      <w:start w:val="1"/>
      <w:numFmt w:val="bullet"/>
      <w:lvlText w:val=""/>
      <w:lvlJc w:val="left"/>
      <w:pPr>
        <w:ind w:left="1788" w:hanging="360"/>
      </w:pPr>
      <w:rPr>
        <w:rFonts w:ascii="Symbol" w:hAnsi="Symbol" w:hint="default"/>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num w:numId="1">
    <w:abstractNumId w:val="24"/>
  </w:num>
  <w:num w:numId="2">
    <w:abstractNumId w:val="28"/>
  </w:num>
  <w:num w:numId="3">
    <w:abstractNumId w:val="21"/>
  </w:num>
  <w:num w:numId="4">
    <w:abstractNumId w:val="3"/>
  </w:num>
  <w:num w:numId="5">
    <w:abstractNumId w:val="12"/>
  </w:num>
  <w:num w:numId="6">
    <w:abstractNumId w:val="30"/>
  </w:num>
  <w:num w:numId="7">
    <w:abstractNumId w:val="4"/>
  </w:num>
  <w:num w:numId="8">
    <w:abstractNumId w:val="19"/>
  </w:num>
  <w:num w:numId="9">
    <w:abstractNumId w:val="29"/>
  </w:num>
  <w:num w:numId="10">
    <w:abstractNumId w:val="11"/>
  </w:num>
  <w:num w:numId="11">
    <w:abstractNumId w:val="18"/>
  </w:num>
  <w:num w:numId="12">
    <w:abstractNumId w:val="10"/>
  </w:num>
  <w:num w:numId="13">
    <w:abstractNumId w:val="35"/>
  </w:num>
  <w:num w:numId="14">
    <w:abstractNumId w:val="9"/>
  </w:num>
  <w:num w:numId="15">
    <w:abstractNumId w:val="45"/>
  </w:num>
  <w:num w:numId="16">
    <w:abstractNumId w:val="2"/>
  </w:num>
  <w:num w:numId="17">
    <w:abstractNumId w:val="36"/>
  </w:num>
  <w:num w:numId="18">
    <w:abstractNumId w:val="37"/>
  </w:num>
  <w:num w:numId="19">
    <w:abstractNumId w:val="48"/>
  </w:num>
  <w:num w:numId="20">
    <w:abstractNumId w:val="6"/>
  </w:num>
  <w:num w:numId="21">
    <w:abstractNumId w:val="40"/>
  </w:num>
  <w:num w:numId="22">
    <w:abstractNumId w:val="14"/>
  </w:num>
  <w:num w:numId="23">
    <w:abstractNumId w:val="25"/>
  </w:num>
  <w:num w:numId="24">
    <w:abstractNumId w:val="58"/>
  </w:num>
  <w:num w:numId="25">
    <w:abstractNumId w:val="53"/>
  </w:num>
  <w:num w:numId="26">
    <w:abstractNumId w:val="42"/>
  </w:num>
  <w:num w:numId="27">
    <w:abstractNumId w:val="1"/>
  </w:num>
  <w:num w:numId="28">
    <w:abstractNumId w:val="51"/>
  </w:num>
  <w:num w:numId="29">
    <w:abstractNumId w:val="22"/>
  </w:num>
  <w:num w:numId="30">
    <w:abstractNumId w:val="8"/>
  </w:num>
  <w:num w:numId="31">
    <w:abstractNumId w:val="0"/>
  </w:num>
  <w:num w:numId="32">
    <w:abstractNumId w:val="31"/>
  </w:num>
  <w:num w:numId="33">
    <w:abstractNumId w:val="43"/>
  </w:num>
  <w:num w:numId="34">
    <w:abstractNumId w:val="32"/>
  </w:num>
  <w:num w:numId="35">
    <w:abstractNumId w:val="52"/>
  </w:num>
  <w:num w:numId="36">
    <w:abstractNumId w:val="58"/>
    <w:lvlOverride w:ilvl="0">
      <w:lvl w:ilvl="0" w:tplc="0C090001">
        <w:start w:val="1"/>
        <w:numFmt w:val="decimal"/>
        <w:suff w:val="space"/>
        <w:lvlText w:val="%1."/>
        <w:lvlJc w:val="left"/>
        <w:pPr>
          <w:ind w:left="360" w:hanging="360"/>
        </w:pPr>
        <w:rPr>
          <w:rFonts w:hint="default"/>
          <w:b w:val="0"/>
          <w:sz w:val="24"/>
        </w:rPr>
      </w:lvl>
    </w:lvlOverride>
    <w:lvlOverride w:ilvl="1">
      <w:lvl w:ilvl="1" w:tplc="0C090001"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46"/>
  </w:num>
  <w:num w:numId="38">
    <w:abstractNumId w:val="41"/>
  </w:num>
  <w:num w:numId="39">
    <w:abstractNumId w:val="16"/>
  </w:num>
  <w:num w:numId="40">
    <w:abstractNumId w:val="49"/>
  </w:num>
  <w:num w:numId="41">
    <w:abstractNumId w:val="55"/>
  </w:num>
  <w:num w:numId="42">
    <w:abstractNumId w:val="26"/>
  </w:num>
  <w:num w:numId="43">
    <w:abstractNumId w:val="15"/>
  </w:num>
  <w:num w:numId="44">
    <w:abstractNumId w:val="5"/>
  </w:num>
  <w:num w:numId="45">
    <w:abstractNumId w:val="33"/>
  </w:num>
  <w:num w:numId="46">
    <w:abstractNumId w:val="47"/>
  </w:num>
  <w:num w:numId="47">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activeWritingStyle w:appName="MSWord" w:lang="en-AU"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st55a9nr9dvkezr5axtf54zw2aed0r52dz&quot;&gt;Chemically acquired brain injury&lt;record-ids&gt;&lt;item&gt;27&lt;/item&gt;&lt;/record-ids&gt;&lt;/item&gt;&lt;/Libraries&gt;"/>
    <w:docVar w:name="filename" w:val="BYD\BYD\64615866\1"/>
  </w:docVars>
  <w:rsids>
    <w:rsidRoot w:val="00865B09"/>
    <w:rsid w:val="00006789"/>
    <w:rsid w:val="00012275"/>
    <w:rsid w:val="00012350"/>
    <w:rsid w:val="000131AE"/>
    <w:rsid w:val="00013A9E"/>
    <w:rsid w:val="00013AC7"/>
    <w:rsid w:val="00017B9E"/>
    <w:rsid w:val="00020E92"/>
    <w:rsid w:val="00021009"/>
    <w:rsid w:val="00022CFE"/>
    <w:rsid w:val="00024900"/>
    <w:rsid w:val="00024D4A"/>
    <w:rsid w:val="0002565E"/>
    <w:rsid w:val="0003380D"/>
    <w:rsid w:val="00035EAA"/>
    <w:rsid w:val="000431F1"/>
    <w:rsid w:val="00047815"/>
    <w:rsid w:val="00057F4C"/>
    <w:rsid w:val="00067631"/>
    <w:rsid w:val="00067A41"/>
    <w:rsid w:val="0007093F"/>
    <w:rsid w:val="000732A5"/>
    <w:rsid w:val="000744A6"/>
    <w:rsid w:val="00081E31"/>
    <w:rsid w:val="000830DA"/>
    <w:rsid w:val="000844AC"/>
    <w:rsid w:val="00087BE9"/>
    <w:rsid w:val="000905B9"/>
    <w:rsid w:val="00093972"/>
    <w:rsid w:val="000A1F8A"/>
    <w:rsid w:val="000A238D"/>
    <w:rsid w:val="000A239A"/>
    <w:rsid w:val="000A41B5"/>
    <w:rsid w:val="000A555A"/>
    <w:rsid w:val="000B4E41"/>
    <w:rsid w:val="000B50F0"/>
    <w:rsid w:val="000C3E9C"/>
    <w:rsid w:val="000C4F6B"/>
    <w:rsid w:val="000C7FDA"/>
    <w:rsid w:val="000D27FE"/>
    <w:rsid w:val="000D3193"/>
    <w:rsid w:val="000D33C1"/>
    <w:rsid w:val="000D399A"/>
    <w:rsid w:val="000D493F"/>
    <w:rsid w:val="000D7F66"/>
    <w:rsid w:val="000E0642"/>
    <w:rsid w:val="000E217A"/>
    <w:rsid w:val="000E3F0E"/>
    <w:rsid w:val="000E4E49"/>
    <w:rsid w:val="000E5512"/>
    <w:rsid w:val="000E5EB6"/>
    <w:rsid w:val="000E6351"/>
    <w:rsid w:val="000F1329"/>
    <w:rsid w:val="000F1894"/>
    <w:rsid w:val="000F2928"/>
    <w:rsid w:val="000F5DF7"/>
    <w:rsid w:val="000F7FF8"/>
    <w:rsid w:val="00104A32"/>
    <w:rsid w:val="00107A5D"/>
    <w:rsid w:val="00110F83"/>
    <w:rsid w:val="0012633F"/>
    <w:rsid w:val="00127ABF"/>
    <w:rsid w:val="00131B71"/>
    <w:rsid w:val="00137C51"/>
    <w:rsid w:val="00142457"/>
    <w:rsid w:val="00144130"/>
    <w:rsid w:val="001446FE"/>
    <w:rsid w:val="00150FBA"/>
    <w:rsid w:val="00151D01"/>
    <w:rsid w:val="001521DD"/>
    <w:rsid w:val="0015413B"/>
    <w:rsid w:val="001578C3"/>
    <w:rsid w:val="00167253"/>
    <w:rsid w:val="0017009D"/>
    <w:rsid w:val="00170F18"/>
    <w:rsid w:val="00173A7C"/>
    <w:rsid w:val="00183BC8"/>
    <w:rsid w:val="00186015"/>
    <w:rsid w:val="001A1CAF"/>
    <w:rsid w:val="001A3BEC"/>
    <w:rsid w:val="001A6232"/>
    <w:rsid w:val="001A66F9"/>
    <w:rsid w:val="001B0D8D"/>
    <w:rsid w:val="001B6AE4"/>
    <w:rsid w:val="001D157D"/>
    <w:rsid w:val="001D3DD1"/>
    <w:rsid w:val="001D6763"/>
    <w:rsid w:val="001E0FD9"/>
    <w:rsid w:val="001E4B25"/>
    <w:rsid w:val="001F508F"/>
    <w:rsid w:val="001F58D5"/>
    <w:rsid w:val="002036DA"/>
    <w:rsid w:val="0021016A"/>
    <w:rsid w:val="0021301D"/>
    <w:rsid w:val="00214F5D"/>
    <w:rsid w:val="00222BC3"/>
    <w:rsid w:val="00226FBD"/>
    <w:rsid w:val="0023071B"/>
    <w:rsid w:val="0023235F"/>
    <w:rsid w:val="002366B7"/>
    <w:rsid w:val="00247872"/>
    <w:rsid w:val="002538E0"/>
    <w:rsid w:val="00254882"/>
    <w:rsid w:val="00255C6D"/>
    <w:rsid w:val="00257D4D"/>
    <w:rsid w:val="002625BE"/>
    <w:rsid w:val="00262C30"/>
    <w:rsid w:val="00272393"/>
    <w:rsid w:val="00275B43"/>
    <w:rsid w:val="00280FB2"/>
    <w:rsid w:val="0028198A"/>
    <w:rsid w:val="00284AC5"/>
    <w:rsid w:val="00285CF2"/>
    <w:rsid w:val="00291678"/>
    <w:rsid w:val="00293424"/>
    <w:rsid w:val="00295736"/>
    <w:rsid w:val="0029667B"/>
    <w:rsid w:val="002A1074"/>
    <w:rsid w:val="002A1DEB"/>
    <w:rsid w:val="002A2FE1"/>
    <w:rsid w:val="002A5343"/>
    <w:rsid w:val="002A6498"/>
    <w:rsid w:val="002B06A8"/>
    <w:rsid w:val="002B0C3D"/>
    <w:rsid w:val="002B1526"/>
    <w:rsid w:val="002B4D38"/>
    <w:rsid w:val="002B65B4"/>
    <w:rsid w:val="002C2420"/>
    <w:rsid w:val="002C2D15"/>
    <w:rsid w:val="002D182F"/>
    <w:rsid w:val="002D33C7"/>
    <w:rsid w:val="002E158E"/>
    <w:rsid w:val="002E193E"/>
    <w:rsid w:val="002E72DB"/>
    <w:rsid w:val="002F063B"/>
    <w:rsid w:val="002F0E97"/>
    <w:rsid w:val="002F7C9F"/>
    <w:rsid w:val="00301F07"/>
    <w:rsid w:val="003023D3"/>
    <w:rsid w:val="00302401"/>
    <w:rsid w:val="00302E39"/>
    <w:rsid w:val="00312731"/>
    <w:rsid w:val="0031458D"/>
    <w:rsid w:val="0032026D"/>
    <w:rsid w:val="003208A5"/>
    <w:rsid w:val="00324169"/>
    <w:rsid w:val="0032716B"/>
    <w:rsid w:val="003277E0"/>
    <w:rsid w:val="00331ACF"/>
    <w:rsid w:val="00331BC6"/>
    <w:rsid w:val="0034747B"/>
    <w:rsid w:val="003501B2"/>
    <w:rsid w:val="003606A5"/>
    <w:rsid w:val="003642A8"/>
    <w:rsid w:val="00373DAF"/>
    <w:rsid w:val="003747DF"/>
    <w:rsid w:val="00375738"/>
    <w:rsid w:val="003768D6"/>
    <w:rsid w:val="00385C64"/>
    <w:rsid w:val="00396E66"/>
    <w:rsid w:val="003A5775"/>
    <w:rsid w:val="003C2CA2"/>
    <w:rsid w:val="003E3D0A"/>
    <w:rsid w:val="003E42B9"/>
    <w:rsid w:val="003F7C4D"/>
    <w:rsid w:val="00400F98"/>
    <w:rsid w:val="00401A50"/>
    <w:rsid w:val="00405C03"/>
    <w:rsid w:val="004073D1"/>
    <w:rsid w:val="004305F0"/>
    <w:rsid w:val="00433ECB"/>
    <w:rsid w:val="00435879"/>
    <w:rsid w:val="00440042"/>
    <w:rsid w:val="00442C66"/>
    <w:rsid w:val="00450BDC"/>
    <w:rsid w:val="004632D2"/>
    <w:rsid w:val="00463F0A"/>
    <w:rsid w:val="0047162A"/>
    <w:rsid w:val="00472586"/>
    <w:rsid w:val="004775B9"/>
    <w:rsid w:val="00483DE7"/>
    <w:rsid w:val="00493AF4"/>
    <w:rsid w:val="0049594D"/>
    <w:rsid w:val="00497AAF"/>
    <w:rsid w:val="004A326C"/>
    <w:rsid w:val="004A3CDE"/>
    <w:rsid w:val="004B3C96"/>
    <w:rsid w:val="004B5013"/>
    <w:rsid w:val="004B56EE"/>
    <w:rsid w:val="004C0BDF"/>
    <w:rsid w:val="004C5A9B"/>
    <w:rsid w:val="004C7221"/>
    <w:rsid w:val="004D3C94"/>
    <w:rsid w:val="004D755C"/>
    <w:rsid w:val="004E3FFE"/>
    <w:rsid w:val="004F1D88"/>
    <w:rsid w:val="004F2F76"/>
    <w:rsid w:val="004F35E7"/>
    <w:rsid w:val="00500331"/>
    <w:rsid w:val="00500ED0"/>
    <w:rsid w:val="00502C6D"/>
    <w:rsid w:val="00502C82"/>
    <w:rsid w:val="005077C6"/>
    <w:rsid w:val="00507FF5"/>
    <w:rsid w:val="00513820"/>
    <w:rsid w:val="00514D29"/>
    <w:rsid w:val="00515F5C"/>
    <w:rsid w:val="0052191D"/>
    <w:rsid w:val="00523D6F"/>
    <w:rsid w:val="00525362"/>
    <w:rsid w:val="00530523"/>
    <w:rsid w:val="00530DB5"/>
    <w:rsid w:val="0053131D"/>
    <w:rsid w:val="00533C9B"/>
    <w:rsid w:val="0053787C"/>
    <w:rsid w:val="0054005D"/>
    <w:rsid w:val="00540F45"/>
    <w:rsid w:val="00556611"/>
    <w:rsid w:val="00556E5B"/>
    <w:rsid w:val="00557775"/>
    <w:rsid w:val="00557A89"/>
    <w:rsid w:val="00560A0C"/>
    <w:rsid w:val="00561886"/>
    <w:rsid w:val="00574443"/>
    <w:rsid w:val="00577C75"/>
    <w:rsid w:val="0058089C"/>
    <w:rsid w:val="005832A7"/>
    <w:rsid w:val="0058643B"/>
    <w:rsid w:val="005874C1"/>
    <w:rsid w:val="005949AC"/>
    <w:rsid w:val="005A1BEB"/>
    <w:rsid w:val="005B01EF"/>
    <w:rsid w:val="005B0FB9"/>
    <w:rsid w:val="005B4D08"/>
    <w:rsid w:val="005B5A05"/>
    <w:rsid w:val="005B6F80"/>
    <w:rsid w:val="005C7130"/>
    <w:rsid w:val="005C7915"/>
    <w:rsid w:val="005D078F"/>
    <w:rsid w:val="005D3389"/>
    <w:rsid w:val="005D4CD3"/>
    <w:rsid w:val="005E6A46"/>
    <w:rsid w:val="005E7420"/>
    <w:rsid w:val="005F0D59"/>
    <w:rsid w:val="005F4186"/>
    <w:rsid w:val="005F5FDD"/>
    <w:rsid w:val="00606751"/>
    <w:rsid w:val="00607DD7"/>
    <w:rsid w:val="006101D8"/>
    <w:rsid w:val="00615237"/>
    <w:rsid w:val="006237EF"/>
    <w:rsid w:val="0062414E"/>
    <w:rsid w:val="0062459D"/>
    <w:rsid w:val="006251A3"/>
    <w:rsid w:val="006279C7"/>
    <w:rsid w:val="006301B2"/>
    <w:rsid w:val="006316E6"/>
    <w:rsid w:val="0064040F"/>
    <w:rsid w:val="00642C2B"/>
    <w:rsid w:val="00644C46"/>
    <w:rsid w:val="006519C2"/>
    <w:rsid w:val="00661CF1"/>
    <w:rsid w:val="00667648"/>
    <w:rsid w:val="00670A64"/>
    <w:rsid w:val="0068099A"/>
    <w:rsid w:val="00681C57"/>
    <w:rsid w:val="0068700F"/>
    <w:rsid w:val="006928E9"/>
    <w:rsid w:val="00692F36"/>
    <w:rsid w:val="006944FA"/>
    <w:rsid w:val="006A089D"/>
    <w:rsid w:val="006A303C"/>
    <w:rsid w:val="006A37C4"/>
    <w:rsid w:val="006A4913"/>
    <w:rsid w:val="006A6A5F"/>
    <w:rsid w:val="006B1202"/>
    <w:rsid w:val="006C0A2E"/>
    <w:rsid w:val="006D05FC"/>
    <w:rsid w:val="006D3043"/>
    <w:rsid w:val="006D335E"/>
    <w:rsid w:val="006D3FC5"/>
    <w:rsid w:val="006D4FE9"/>
    <w:rsid w:val="006D7B37"/>
    <w:rsid w:val="006E22AC"/>
    <w:rsid w:val="006E6FCD"/>
    <w:rsid w:val="006F4E5E"/>
    <w:rsid w:val="00702E39"/>
    <w:rsid w:val="007039CB"/>
    <w:rsid w:val="00703A5B"/>
    <w:rsid w:val="00711B4A"/>
    <w:rsid w:val="007162A6"/>
    <w:rsid w:val="007301FA"/>
    <w:rsid w:val="00733975"/>
    <w:rsid w:val="0073466C"/>
    <w:rsid w:val="00736908"/>
    <w:rsid w:val="00743D07"/>
    <w:rsid w:val="00745C20"/>
    <w:rsid w:val="00750977"/>
    <w:rsid w:val="00750B2A"/>
    <w:rsid w:val="00753B6D"/>
    <w:rsid w:val="007569AB"/>
    <w:rsid w:val="0076599C"/>
    <w:rsid w:val="00770EE7"/>
    <w:rsid w:val="0077584A"/>
    <w:rsid w:val="0078286C"/>
    <w:rsid w:val="00783E7B"/>
    <w:rsid w:val="007841A3"/>
    <w:rsid w:val="0078491A"/>
    <w:rsid w:val="007857AC"/>
    <w:rsid w:val="00786897"/>
    <w:rsid w:val="007961CF"/>
    <w:rsid w:val="00796389"/>
    <w:rsid w:val="007A5A86"/>
    <w:rsid w:val="007A72B5"/>
    <w:rsid w:val="007B16B0"/>
    <w:rsid w:val="007B6847"/>
    <w:rsid w:val="007D2E78"/>
    <w:rsid w:val="007D5052"/>
    <w:rsid w:val="007D510B"/>
    <w:rsid w:val="007E0AE5"/>
    <w:rsid w:val="007E1924"/>
    <w:rsid w:val="007E2D4E"/>
    <w:rsid w:val="007E4540"/>
    <w:rsid w:val="007E5FBF"/>
    <w:rsid w:val="007F7301"/>
    <w:rsid w:val="007F7512"/>
    <w:rsid w:val="007F784F"/>
    <w:rsid w:val="00801BEC"/>
    <w:rsid w:val="00802850"/>
    <w:rsid w:val="00805132"/>
    <w:rsid w:val="00810719"/>
    <w:rsid w:val="00811404"/>
    <w:rsid w:val="00812A33"/>
    <w:rsid w:val="00813C99"/>
    <w:rsid w:val="00816030"/>
    <w:rsid w:val="0081779E"/>
    <w:rsid w:val="00830658"/>
    <w:rsid w:val="00830F39"/>
    <w:rsid w:val="00832387"/>
    <w:rsid w:val="00832F3C"/>
    <w:rsid w:val="00840089"/>
    <w:rsid w:val="00845003"/>
    <w:rsid w:val="00847C5B"/>
    <w:rsid w:val="00855A25"/>
    <w:rsid w:val="00860835"/>
    <w:rsid w:val="0086253E"/>
    <w:rsid w:val="0086258A"/>
    <w:rsid w:val="0086518D"/>
    <w:rsid w:val="00865B09"/>
    <w:rsid w:val="008702F5"/>
    <w:rsid w:val="00873D54"/>
    <w:rsid w:val="00876235"/>
    <w:rsid w:val="00885E01"/>
    <w:rsid w:val="008867C3"/>
    <w:rsid w:val="008905BC"/>
    <w:rsid w:val="00890894"/>
    <w:rsid w:val="00890E66"/>
    <w:rsid w:val="00891E54"/>
    <w:rsid w:val="008A4285"/>
    <w:rsid w:val="008A77FE"/>
    <w:rsid w:val="008A796B"/>
    <w:rsid w:val="008B08EE"/>
    <w:rsid w:val="008B2AD7"/>
    <w:rsid w:val="008B3702"/>
    <w:rsid w:val="008B586F"/>
    <w:rsid w:val="008B6785"/>
    <w:rsid w:val="008D6AE5"/>
    <w:rsid w:val="008E19D7"/>
    <w:rsid w:val="008E44AA"/>
    <w:rsid w:val="008E456E"/>
    <w:rsid w:val="008E5D6B"/>
    <w:rsid w:val="008E6FA0"/>
    <w:rsid w:val="008E7160"/>
    <w:rsid w:val="008F1311"/>
    <w:rsid w:val="008F1491"/>
    <w:rsid w:val="008F3410"/>
    <w:rsid w:val="008F386E"/>
    <w:rsid w:val="008F3BFE"/>
    <w:rsid w:val="008F50F1"/>
    <w:rsid w:val="008F75FF"/>
    <w:rsid w:val="009000A9"/>
    <w:rsid w:val="00907D59"/>
    <w:rsid w:val="00920A2F"/>
    <w:rsid w:val="009246E7"/>
    <w:rsid w:val="00927E3D"/>
    <w:rsid w:val="009330B3"/>
    <w:rsid w:val="00933C60"/>
    <w:rsid w:val="009360DE"/>
    <w:rsid w:val="00942530"/>
    <w:rsid w:val="00947F50"/>
    <w:rsid w:val="009551FC"/>
    <w:rsid w:val="00956FB3"/>
    <w:rsid w:val="00970005"/>
    <w:rsid w:val="009723E8"/>
    <w:rsid w:val="0097248E"/>
    <w:rsid w:val="009758CB"/>
    <w:rsid w:val="00980C15"/>
    <w:rsid w:val="00983733"/>
    <w:rsid w:val="00983990"/>
    <w:rsid w:val="00985BD3"/>
    <w:rsid w:val="00986E8D"/>
    <w:rsid w:val="00996EAC"/>
    <w:rsid w:val="009A1100"/>
    <w:rsid w:val="009B15CC"/>
    <w:rsid w:val="009B29B6"/>
    <w:rsid w:val="009B63CA"/>
    <w:rsid w:val="009C6E21"/>
    <w:rsid w:val="009C6F42"/>
    <w:rsid w:val="009C7106"/>
    <w:rsid w:val="009D0370"/>
    <w:rsid w:val="009D5049"/>
    <w:rsid w:val="009E0092"/>
    <w:rsid w:val="009E50DC"/>
    <w:rsid w:val="009E56B2"/>
    <w:rsid w:val="009E6BF3"/>
    <w:rsid w:val="009F1DFB"/>
    <w:rsid w:val="009F2EB0"/>
    <w:rsid w:val="009F4E9E"/>
    <w:rsid w:val="009F637F"/>
    <w:rsid w:val="00A05A9D"/>
    <w:rsid w:val="00A07F03"/>
    <w:rsid w:val="00A11501"/>
    <w:rsid w:val="00A22C0F"/>
    <w:rsid w:val="00A2470B"/>
    <w:rsid w:val="00A25051"/>
    <w:rsid w:val="00A25B9E"/>
    <w:rsid w:val="00A27E58"/>
    <w:rsid w:val="00A32228"/>
    <w:rsid w:val="00A33493"/>
    <w:rsid w:val="00A54889"/>
    <w:rsid w:val="00A602A1"/>
    <w:rsid w:val="00A60CE3"/>
    <w:rsid w:val="00A618AA"/>
    <w:rsid w:val="00A65E7C"/>
    <w:rsid w:val="00A6708C"/>
    <w:rsid w:val="00A67660"/>
    <w:rsid w:val="00A75E11"/>
    <w:rsid w:val="00A77FF5"/>
    <w:rsid w:val="00A805E5"/>
    <w:rsid w:val="00A90934"/>
    <w:rsid w:val="00A91310"/>
    <w:rsid w:val="00A91E23"/>
    <w:rsid w:val="00A92A57"/>
    <w:rsid w:val="00A92ED8"/>
    <w:rsid w:val="00AA3E01"/>
    <w:rsid w:val="00AA4348"/>
    <w:rsid w:val="00AA6128"/>
    <w:rsid w:val="00AC06E3"/>
    <w:rsid w:val="00AC09AE"/>
    <w:rsid w:val="00AC4831"/>
    <w:rsid w:val="00AE0AE3"/>
    <w:rsid w:val="00AE1105"/>
    <w:rsid w:val="00AE3301"/>
    <w:rsid w:val="00AE443F"/>
    <w:rsid w:val="00AE46BD"/>
    <w:rsid w:val="00B00C75"/>
    <w:rsid w:val="00B02128"/>
    <w:rsid w:val="00B0599E"/>
    <w:rsid w:val="00B06B11"/>
    <w:rsid w:val="00B07C05"/>
    <w:rsid w:val="00B10DF1"/>
    <w:rsid w:val="00B11D2B"/>
    <w:rsid w:val="00B132B4"/>
    <w:rsid w:val="00B208CF"/>
    <w:rsid w:val="00B24A8E"/>
    <w:rsid w:val="00B26496"/>
    <w:rsid w:val="00B3008D"/>
    <w:rsid w:val="00B36A85"/>
    <w:rsid w:val="00B40ADC"/>
    <w:rsid w:val="00B528A3"/>
    <w:rsid w:val="00B54770"/>
    <w:rsid w:val="00B56334"/>
    <w:rsid w:val="00B57F06"/>
    <w:rsid w:val="00B77451"/>
    <w:rsid w:val="00B834E3"/>
    <w:rsid w:val="00B8450C"/>
    <w:rsid w:val="00B9791E"/>
    <w:rsid w:val="00BA1DBE"/>
    <w:rsid w:val="00BB100D"/>
    <w:rsid w:val="00BB1871"/>
    <w:rsid w:val="00BB32A6"/>
    <w:rsid w:val="00BB63E3"/>
    <w:rsid w:val="00BE38F3"/>
    <w:rsid w:val="00BF1F67"/>
    <w:rsid w:val="00BF2901"/>
    <w:rsid w:val="00C0493C"/>
    <w:rsid w:val="00C07349"/>
    <w:rsid w:val="00C205C2"/>
    <w:rsid w:val="00C23545"/>
    <w:rsid w:val="00C309AA"/>
    <w:rsid w:val="00C45479"/>
    <w:rsid w:val="00C5142E"/>
    <w:rsid w:val="00C51B7D"/>
    <w:rsid w:val="00C6296D"/>
    <w:rsid w:val="00C65402"/>
    <w:rsid w:val="00C6762F"/>
    <w:rsid w:val="00C67E3C"/>
    <w:rsid w:val="00C7004B"/>
    <w:rsid w:val="00C755BA"/>
    <w:rsid w:val="00C76BF0"/>
    <w:rsid w:val="00C82C5F"/>
    <w:rsid w:val="00C83F04"/>
    <w:rsid w:val="00C84F86"/>
    <w:rsid w:val="00C85043"/>
    <w:rsid w:val="00C86EC9"/>
    <w:rsid w:val="00C87279"/>
    <w:rsid w:val="00C91AC8"/>
    <w:rsid w:val="00C95F76"/>
    <w:rsid w:val="00C9767A"/>
    <w:rsid w:val="00CA22D1"/>
    <w:rsid w:val="00CA48A2"/>
    <w:rsid w:val="00CB1393"/>
    <w:rsid w:val="00CB2EB0"/>
    <w:rsid w:val="00CB423B"/>
    <w:rsid w:val="00CB56DE"/>
    <w:rsid w:val="00CB633F"/>
    <w:rsid w:val="00CC1FA8"/>
    <w:rsid w:val="00CC4550"/>
    <w:rsid w:val="00CD2D49"/>
    <w:rsid w:val="00CD5619"/>
    <w:rsid w:val="00CD622D"/>
    <w:rsid w:val="00CE3C7A"/>
    <w:rsid w:val="00CE3EEB"/>
    <w:rsid w:val="00CE67D9"/>
    <w:rsid w:val="00CE7994"/>
    <w:rsid w:val="00CE7E27"/>
    <w:rsid w:val="00CF286B"/>
    <w:rsid w:val="00CF3F65"/>
    <w:rsid w:val="00CF77ED"/>
    <w:rsid w:val="00D00A7D"/>
    <w:rsid w:val="00D02B89"/>
    <w:rsid w:val="00D0314F"/>
    <w:rsid w:val="00D0321A"/>
    <w:rsid w:val="00D238AC"/>
    <w:rsid w:val="00D308A9"/>
    <w:rsid w:val="00D30EEE"/>
    <w:rsid w:val="00D352DF"/>
    <w:rsid w:val="00D35E01"/>
    <w:rsid w:val="00D3671F"/>
    <w:rsid w:val="00D43D82"/>
    <w:rsid w:val="00D47B89"/>
    <w:rsid w:val="00D5220F"/>
    <w:rsid w:val="00D5227B"/>
    <w:rsid w:val="00D535CA"/>
    <w:rsid w:val="00D63C38"/>
    <w:rsid w:val="00D65135"/>
    <w:rsid w:val="00D6691B"/>
    <w:rsid w:val="00D80C71"/>
    <w:rsid w:val="00D81A07"/>
    <w:rsid w:val="00D8302A"/>
    <w:rsid w:val="00D8653A"/>
    <w:rsid w:val="00D87E1D"/>
    <w:rsid w:val="00D91907"/>
    <w:rsid w:val="00D919CE"/>
    <w:rsid w:val="00D91B77"/>
    <w:rsid w:val="00D929D9"/>
    <w:rsid w:val="00DA3AE7"/>
    <w:rsid w:val="00DA4040"/>
    <w:rsid w:val="00DB2BAC"/>
    <w:rsid w:val="00DB6BD9"/>
    <w:rsid w:val="00DB6F76"/>
    <w:rsid w:val="00DC02D8"/>
    <w:rsid w:val="00DC08B2"/>
    <w:rsid w:val="00DC1836"/>
    <w:rsid w:val="00DC3F1E"/>
    <w:rsid w:val="00DD00D6"/>
    <w:rsid w:val="00DD054B"/>
    <w:rsid w:val="00DD0838"/>
    <w:rsid w:val="00DD2E54"/>
    <w:rsid w:val="00DD31C9"/>
    <w:rsid w:val="00DD40A4"/>
    <w:rsid w:val="00DD7049"/>
    <w:rsid w:val="00DE4D96"/>
    <w:rsid w:val="00DE4E6D"/>
    <w:rsid w:val="00DF3612"/>
    <w:rsid w:val="00E03188"/>
    <w:rsid w:val="00E05ECA"/>
    <w:rsid w:val="00E069A4"/>
    <w:rsid w:val="00E10B2B"/>
    <w:rsid w:val="00E120A1"/>
    <w:rsid w:val="00E22267"/>
    <w:rsid w:val="00E23853"/>
    <w:rsid w:val="00E247BA"/>
    <w:rsid w:val="00E248DE"/>
    <w:rsid w:val="00E24DE9"/>
    <w:rsid w:val="00E24F5C"/>
    <w:rsid w:val="00E26CBB"/>
    <w:rsid w:val="00E3107A"/>
    <w:rsid w:val="00E34043"/>
    <w:rsid w:val="00E37B78"/>
    <w:rsid w:val="00E415C1"/>
    <w:rsid w:val="00E42912"/>
    <w:rsid w:val="00E43D78"/>
    <w:rsid w:val="00E462F5"/>
    <w:rsid w:val="00E50F75"/>
    <w:rsid w:val="00E5778B"/>
    <w:rsid w:val="00E62668"/>
    <w:rsid w:val="00E65673"/>
    <w:rsid w:val="00E6572D"/>
    <w:rsid w:val="00E659F0"/>
    <w:rsid w:val="00E7460C"/>
    <w:rsid w:val="00E808BA"/>
    <w:rsid w:val="00E80A89"/>
    <w:rsid w:val="00E8261C"/>
    <w:rsid w:val="00E9461E"/>
    <w:rsid w:val="00E95B81"/>
    <w:rsid w:val="00E95F79"/>
    <w:rsid w:val="00E97820"/>
    <w:rsid w:val="00E97F67"/>
    <w:rsid w:val="00EA192E"/>
    <w:rsid w:val="00EA610D"/>
    <w:rsid w:val="00EA7DE6"/>
    <w:rsid w:val="00EB354B"/>
    <w:rsid w:val="00EB5580"/>
    <w:rsid w:val="00EB70D9"/>
    <w:rsid w:val="00EB7412"/>
    <w:rsid w:val="00ED0D0A"/>
    <w:rsid w:val="00ED0EA9"/>
    <w:rsid w:val="00ED11FE"/>
    <w:rsid w:val="00ED231E"/>
    <w:rsid w:val="00ED2E10"/>
    <w:rsid w:val="00ED61A6"/>
    <w:rsid w:val="00ED6BDA"/>
    <w:rsid w:val="00ED7458"/>
    <w:rsid w:val="00EF0348"/>
    <w:rsid w:val="00EF1AF0"/>
    <w:rsid w:val="00EF20D3"/>
    <w:rsid w:val="00EF43A3"/>
    <w:rsid w:val="00F017F9"/>
    <w:rsid w:val="00F076F8"/>
    <w:rsid w:val="00F102BB"/>
    <w:rsid w:val="00F107F5"/>
    <w:rsid w:val="00F10D5C"/>
    <w:rsid w:val="00F30FEF"/>
    <w:rsid w:val="00F313D7"/>
    <w:rsid w:val="00F36168"/>
    <w:rsid w:val="00F37886"/>
    <w:rsid w:val="00F405AD"/>
    <w:rsid w:val="00F40B5E"/>
    <w:rsid w:val="00F41737"/>
    <w:rsid w:val="00F52A7A"/>
    <w:rsid w:val="00F532C3"/>
    <w:rsid w:val="00F5611F"/>
    <w:rsid w:val="00F579EB"/>
    <w:rsid w:val="00F6001F"/>
    <w:rsid w:val="00F62E52"/>
    <w:rsid w:val="00F65679"/>
    <w:rsid w:val="00F66D26"/>
    <w:rsid w:val="00F82B5E"/>
    <w:rsid w:val="00F8598D"/>
    <w:rsid w:val="00F85A53"/>
    <w:rsid w:val="00F85C5F"/>
    <w:rsid w:val="00F8660C"/>
    <w:rsid w:val="00F86C5C"/>
    <w:rsid w:val="00F979A3"/>
    <w:rsid w:val="00FA2594"/>
    <w:rsid w:val="00FA387A"/>
    <w:rsid w:val="00FA4C74"/>
    <w:rsid w:val="00FB3854"/>
    <w:rsid w:val="00FC15D9"/>
    <w:rsid w:val="00FC5C28"/>
    <w:rsid w:val="00FD0D76"/>
    <w:rsid w:val="00FD35C1"/>
    <w:rsid w:val="00FD7DAC"/>
    <w:rsid w:val="00FF5DA7"/>
    <w:rsid w:val="00FF6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2D52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94"/>
    <w:rPr>
      <w:rFonts w:ascii="Arial" w:hAnsi="Arial" w:cs="Arial"/>
      <w:sz w:val="22"/>
      <w:szCs w:val="24"/>
    </w:rPr>
  </w:style>
  <w:style w:type="paragraph" w:styleId="Heading1">
    <w:name w:val="heading 1"/>
    <w:basedOn w:val="HeadingBase"/>
    <w:next w:val="NumberLevel1"/>
    <w:link w:val="Heading1Char"/>
    <w:uiPriority w:val="9"/>
    <w:qFormat/>
    <w:pPr>
      <w:keepNext/>
      <w:keepLines/>
      <w:outlineLvl w:val="0"/>
    </w:pPr>
    <w:rPr>
      <w:b/>
      <w:bCs/>
      <w:caps/>
      <w:kern w:val="32"/>
      <w:szCs w:val="32"/>
    </w:rPr>
  </w:style>
  <w:style w:type="paragraph" w:styleId="Heading2">
    <w:name w:val="heading 2"/>
    <w:basedOn w:val="HeadingBase"/>
    <w:next w:val="NumberLevel1"/>
    <w:link w:val="Heading2Char"/>
    <w:uiPriority w:val="9"/>
    <w:qFormat/>
    <w:pPr>
      <w:keepNext/>
      <w:keepLines/>
      <w:outlineLvl w:val="1"/>
    </w:pPr>
    <w:rPr>
      <w:b/>
      <w:bCs/>
      <w:iCs/>
      <w:sz w:val="22"/>
      <w:szCs w:val="28"/>
    </w:rPr>
  </w:style>
  <w:style w:type="paragraph" w:styleId="Heading3">
    <w:name w:val="heading 3"/>
    <w:basedOn w:val="HeadingBase"/>
    <w:next w:val="NumberLevel1"/>
    <w:link w:val="Heading3Char"/>
    <w:uiPriority w:val="9"/>
    <w:qFormat/>
    <w:pPr>
      <w:keepNext/>
      <w:keepLines/>
      <w:outlineLvl w:val="2"/>
    </w:pPr>
    <w:rPr>
      <w:b/>
      <w:bCs/>
      <w:i/>
      <w:szCs w:val="26"/>
    </w:rPr>
  </w:style>
  <w:style w:type="paragraph" w:styleId="Heading4">
    <w:name w:val="heading 4"/>
    <w:basedOn w:val="HeadingBase"/>
    <w:next w:val="NumberLevel1"/>
    <w:link w:val="Heading4Char"/>
    <w:uiPriority w:val="9"/>
    <w:qFormat/>
    <w:pPr>
      <w:keepNext/>
      <w:keepLines/>
      <w:outlineLvl w:val="3"/>
    </w:pPr>
    <w:rPr>
      <w:bCs/>
      <w:i/>
      <w:szCs w:val="28"/>
    </w:rPr>
  </w:style>
  <w:style w:type="paragraph" w:styleId="Heading5">
    <w:name w:val="heading 5"/>
    <w:basedOn w:val="HeadingBase"/>
    <w:next w:val="NumberLevel1"/>
    <w:link w:val="Heading5Char"/>
    <w:uiPriority w:val="9"/>
    <w:qFormat/>
    <w:pPr>
      <w:keepNext/>
      <w:keepLines/>
      <w:outlineLvl w:val="4"/>
    </w:pPr>
    <w:rPr>
      <w:b/>
      <w:bCs/>
      <w:iCs/>
      <w:sz w:val="18"/>
      <w:szCs w:val="26"/>
    </w:rPr>
  </w:style>
  <w:style w:type="paragraph" w:styleId="Heading6">
    <w:name w:val="heading 6"/>
    <w:basedOn w:val="Normal"/>
    <w:next w:val="Normal"/>
    <w:qFormat/>
    <w:pPr>
      <w:keepNext/>
      <w:outlineLvl w:val="5"/>
    </w:pPr>
    <w:rPr>
      <w:b/>
      <w:szCs w:val="22"/>
    </w:rPr>
  </w:style>
  <w:style w:type="paragraph" w:styleId="Heading7">
    <w:name w:val="heading 7"/>
    <w:basedOn w:val="Normal"/>
    <w:next w:val="Normal"/>
    <w:qFormat/>
    <w:pPr>
      <w:keepNext/>
      <w:widowControl w:val="0"/>
      <w:jc w:val="center"/>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rPr>
  </w:style>
  <w:style w:type="paragraph" w:customStyle="1" w:styleId="HeadingBase">
    <w:name w:val="Heading Base"/>
    <w:link w:val="HeadingBaseChar"/>
    <w:semiHidden/>
    <w:pPr>
      <w:spacing w:before="200" w:line="280" w:lineRule="atLeast"/>
    </w:pPr>
    <w:rPr>
      <w:rFonts w:ascii="Arial" w:hAnsi="Arial" w:cs="Arial"/>
      <w:szCs w:val="22"/>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link w:val="Quotation1Char1"/>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link w:val="NumberLevel1Char1"/>
  </w:style>
  <w:style w:type="paragraph" w:customStyle="1" w:styleId="NumberLevel2">
    <w:name w:val="Number Level 2"/>
    <w:basedOn w:val="PlainParagraph"/>
    <w:link w:val="NumberLevel2Char"/>
  </w:style>
  <w:style w:type="paragraph" w:customStyle="1" w:styleId="NumberLevel3">
    <w:name w:val="Number Level 3"/>
    <w:basedOn w:val="PlainParagraph"/>
  </w:style>
  <w:style w:type="paragraph" w:customStyle="1" w:styleId="NumberLevel4">
    <w:name w:val="Number Level 4"/>
    <w:basedOn w:val="PlainParagraph"/>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2"/>
      </w:numPr>
      <w:spacing w:before="0"/>
    </w:pPr>
  </w:style>
  <w:style w:type="paragraph" w:customStyle="1" w:styleId="DashEm1">
    <w:name w:val="Dash: Em 1"/>
    <w:basedOn w:val="PlainParagraph"/>
    <w:pPr>
      <w:numPr>
        <w:ilvl w:val="1"/>
        <w:numId w:val="2"/>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3"/>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4"/>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5"/>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6"/>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uiPriority w:val="99"/>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uiPriority w:val="99"/>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pPr>
      <w:spacing w:before="360"/>
    </w:pPr>
    <w:rPr>
      <w:rFonts w:ascii="Arial" w:hAnsi="Arial" w:cs="Arial"/>
      <w:b/>
      <w:bCs/>
      <w:caps/>
      <w:sz w:val="24"/>
      <w:szCs w:val="24"/>
    </w:rPr>
  </w:style>
  <w:style w:type="paragraph" w:styleId="TOC2">
    <w:name w:val="toc 2"/>
    <w:basedOn w:val="TOC1"/>
    <w:next w:val="Normal"/>
    <w:autoRedefine/>
    <w:uiPriority w:val="39"/>
    <w:pPr>
      <w:spacing w:before="240"/>
    </w:pPr>
    <w:rPr>
      <w:rFonts w:ascii="Times New Roman" w:hAnsi="Times New Roman" w:cs="Times New Roman"/>
      <w:caps w:val="0"/>
      <w:sz w:val="20"/>
      <w:szCs w:val="20"/>
    </w:rPr>
  </w:style>
  <w:style w:type="paragraph" w:styleId="TOC3">
    <w:name w:val="toc 3"/>
    <w:basedOn w:val="TOC2"/>
    <w:next w:val="Normal"/>
    <w:pPr>
      <w:spacing w:before="0"/>
      <w:ind w:left="220"/>
    </w:pPr>
    <w:rPr>
      <w:b w:val="0"/>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7"/>
      </w:numPr>
    </w:pPr>
  </w:style>
  <w:style w:type="paragraph" w:customStyle="1" w:styleId="TableNumberLevel2">
    <w:name w:val="Table: Number Level 2"/>
    <w:basedOn w:val="TablePlainParagraph"/>
    <w:pPr>
      <w:numPr>
        <w:ilvl w:val="1"/>
        <w:numId w:val="7"/>
      </w:numPr>
    </w:pPr>
  </w:style>
  <w:style w:type="paragraph" w:customStyle="1" w:styleId="TableNumberLevel3">
    <w:name w:val="Table: Number Level 3"/>
    <w:basedOn w:val="TablePlainParagraph"/>
    <w:pPr>
      <w:numPr>
        <w:ilvl w:val="2"/>
        <w:numId w:val="7"/>
      </w:numPr>
    </w:pPr>
  </w:style>
  <w:style w:type="paragraph" w:customStyle="1" w:styleId="TableNumberLevel4">
    <w:name w:val="Table: Number Level 4"/>
    <w:basedOn w:val="TablePlainParagraph"/>
    <w:pPr>
      <w:numPr>
        <w:ilvl w:val="3"/>
        <w:numId w:val="7"/>
      </w:numPr>
      <w:spacing w:before="0"/>
    </w:pPr>
  </w:style>
  <w:style w:type="paragraph" w:customStyle="1" w:styleId="TableNumberLevel5">
    <w:name w:val="Table: Number Level 5"/>
    <w:basedOn w:val="TablePlainParagraph"/>
    <w:semiHidden/>
    <w:pPr>
      <w:numPr>
        <w:ilvl w:val="4"/>
        <w:numId w:val="7"/>
      </w:numPr>
      <w:spacing w:before="0"/>
    </w:pPr>
  </w:style>
  <w:style w:type="paragraph" w:customStyle="1" w:styleId="TableNumberLevel6">
    <w:name w:val="Table: Number Level 6"/>
    <w:basedOn w:val="TablePlainParagraph"/>
    <w:semiHidden/>
    <w:pPr>
      <w:numPr>
        <w:ilvl w:val="5"/>
        <w:numId w:val="7"/>
      </w:numPr>
      <w:spacing w:before="0"/>
    </w:pPr>
  </w:style>
  <w:style w:type="paragraph" w:customStyle="1" w:styleId="TableNumberLevel7">
    <w:name w:val="Table: Number Level 7"/>
    <w:basedOn w:val="TablePlainParagraph"/>
    <w:semiHidden/>
    <w:pPr>
      <w:numPr>
        <w:ilvl w:val="6"/>
        <w:numId w:val="7"/>
      </w:numPr>
      <w:spacing w:before="0"/>
    </w:pPr>
  </w:style>
  <w:style w:type="paragraph" w:customStyle="1" w:styleId="TableNumberLevel8">
    <w:name w:val="Table: Number Level 8"/>
    <w:basedOn w:val="TablePlainParagraph"/>
    <w:semiHidden/>
    <w:pPr>
      <w:numPr>
        <w:ilvl w:val="7"/>
        <w:numId w:val="7"/>
      </w:numPr>
      <w:spacing w:before="0"/>
    </w:pPr>
  </w:style>
  <w:style w:type="paragraph" w:customStyle="1" w:styleId="TableNumberLevel9">
    <w:name w:val="Table: Number Level 9"/>
    <w:basedOn w:val="TablePlainParagraph"/>
    <w:semiHidden/>
    <w:pPr>
      <w:numPr>
        <w:ilvl w:val="8"/>
        <w:numId w:val="7"/>
      </w:numPr>
      <w:spacing w:before="0"/>
    </w:pPr>
  </w:style>
  <w:style w:type="paragraph" w:customStyle="1" w:styleId="TableDashEm">
    <w:name w:val="Table: Dash: Em"/>
    <w:basedOn w:val="TablePlainParagraph"/>
    <w:semiHidden/>
    <w:pPr>
      <w:numPr>
        <w:numId w:val="8"/>
      </w:numPr>
      <w:spacing w:before="0"/>
    </w:pPr>
  </w:style>
  <w:style w:type="paragraph" w:customStyle="1" w:styleId="TableDashEm1">
    <w:name w:val="Table: Dash: Em 1"/>
    <w:basedOn w:val="TablePlainParagraph"/>
    <w:pPr>
      <w:numPr>
        <w:ilvl w:val="1"/>
        <w:numId w:val="8"/>
      </w:numPr>
      <w:spacing w:before="0"/>
    </w:pPr>
  </w:style>
  <w:style w:type="paragraph" w:customStyle="1" w:styleId="TableDashEn1">
    <w:name w:val="Table: Dash: En 1"/>
    <w:basedOn w:val="TablePlainParagraph"/>
    <w:pPr>
      <w:numPr>
        <w:ilvl w:val="2"/>
        <w:numId w:val="8"/>
      </w:numPr>
      <w:spacing w:before="0"/>
    </w:pPr>
  </w:style>
  <w:style w:type="paragraph" w:customStyle="1" w:styleId="TableDashEn2">
    <w:name w:val="Table: Dash: En 2"/>
    <w:basedOn w:val="TablePlainParagraph"/>
    <w:semiHidden/>
    <w:pPr>
      <w:numPr>
        <w:ilvl w:val="3"/>
        <w:numId w:val="8"/>
      </w:numPr>
      <w:spacing w:before="0"/>
    </w:pPr>
  </w:style>
  <w:style w:type="paragraph" w:customStyle="1" w:styleId="TableDashEn3">
    <w:name w:val="Table: Dash: En 3"/>
    <w:basedOn w:val="TablePlainParagraph"/>
    <w:semiHidden/>
    <w:pPr>
      <w:numPr>
        <w:ilvl w:val="4"/>
        <w:numId w:val="8"/>
      </w:numPr>
      <w:spacing w:before="0"/>
    </w:pPr>
  </w:style>
  <w:style w:type="paragraph" w:customStyle="1" w:styleId="TableDashEn4">
    <w:name w:val="Table: Dash: En 4"/>
    <w:basedOn w:val="TablePlainParagraph"/>
    <w:semiHidden/>
    <w:pPr>
      <w:numPr>
        <w:ilvl w:val="5"/>
        <w:numId w:val="8"/>
      </w:numPr>
      <w:spacing w:before="0"/>
    </w:pPr>
  </w:style>
  <w:style w:type="paragraph" w:customStyle="1" w:styleId="TableDashEn5">
    <w:name w:val="Table: Dash: En 5"/>
    <w:basedOn w:val="TablePlainParagraph"/>
    <w:semiHidden/>
    <w:pPr>
      <w:numPr>
        <w:ilvl w:val="6"/>
        <w:numId w:val="8"/>
      </w:numPr>
      <w:spacing w:before="0"/>
    </w:pPr>
  </w:style>
  <w:style w:type="paragraph" w:customStyle="1" w:styleId="TableDashEn6">
    <w:name w:val="Table: Dash: En 6"/>
    <w:basedOn w:val="TablePlainParagraph"/>
    <w:semiHidden/>
    <w:pPr>
      <w:numPr>
        <w:ilvl w:val="7"/>
        <w:numId w:val="8"/>
      </w:numPr>
      <w:spacing w:before="0"/>
    </w:pPr>
  </w:style>
  <w:style w:type="paragraph" w:customStyle="1" w:styleId="TableDashEn7">
    <w:name w:val="Table: Dash: En 7"/>
    <w:basedOn w:val="TablePlainParagraph"/>
    <w:semiHidden/>
    <w:pPr>
      <w:numPr>
        <w:ilvl w:val="8"/>
        <w:numId w:val="8"/>
      </w:numPr>
      <w:spacing w:before="0"/>
    </w:pPr>
  </w:style>
  <w:style w:type="paragraph" w:customStyle="1" w:styleId="TableIndentHanging">
    <w:name w:val="Table: Indent: Hanging"/>
    <w:basedOn w:val="TablePlainParagraph"/>
    <w:semiHidden/>
    <w:pPr>
      <w:numPr>
        <w:numId w:val="9"/>
      </w:numPr>
      <w:tabs>
        <w:tab w:val="left" w:pos="283"/>
      </w:tabs>
      <w:spacing w:before="0"/>
    </w:pPr>
  </w:style>
  <w:style w:type="paragraph" w:customStyle="1" w:styleId="TableIndentHanging1">
    <w:name w:val="Table: Indent: Hanging 1"/>
    <w:basedOn w:val="TablePlainParagraph"/>
    <w:pPr>
      <w:numPr>
        <w:ilvl w:val="1"/>
        <w:numId w:val="9"/>
      </w:numPr>
      <w:tabs>
        <w:tab w:val="left" w:pos="283"/>
      </w:tabs>
      <w:spacing w:before="0"/>
    </w:pPr>
  </w:style>
  <w:style w:type="paragraph" w:customStyle="1" w:styleId="TableIndentHanging2">
    <w:name w:val="Table: Indent: Hanging 2"/>
    <w:basedOn w:val="TablePlainParagraph"/>
    <w:semiHidden/>
    <w:pPr>
      <w:numPr>
        <w:ilvl w:val="2"/>
        <w:numId w:val="9"/>
      </w:numPr>
      <w:tabs>
        <w:tab w:val="left" w:pos="567"/>
      </w:tabs>
      <w:spacing w:before="0"/>
    </w:pPr>
  </w:style>
  <w:style w:type="paragraph" w:customStyle="1" w:styleId="TableIndentHanging3">
    <w:name w:val="Table: Indent: Hanging 3"/>
    <w:basedOn w:val="TablePlainParagraph"/>
    <w:semiHidden/>
    <w:pPr>
      <w:numPr>
        <w:ilvl w:val="3"/>
        <w:numId w:val="9"/>
      </w:numPr>
      <w:tabs>
        <w:tab w:val="left" w:pos="850"/>
      </w:tabs>
      <w:spacing w:before="0"/>
    </w:pPr>
  </w:style>
  <w:style w:type="paragraph" w:customStyle="1" w:styleId="TableIndentHanging4">
    <w:name w:val="Table: Indent: Hanging 4"/>
    <w:basedOn w:val="TablePlainParagraph"/>
    <w:semiHidden/>
    <w:pPr>
      <w:numPr>
        <w:ilvl w:val="4"/>
        <w:numId w:val="9"/>
      </w:numPr>
      <w:tabs>
        <w:tab w:val="left" w:pos="1134"/>
      </w:tabs>
      <w:spacing w:before="0"/>
    </w:pPr>
  </w:style>
  <w:style w:type="paragraph" w:customStyle="1" w:styleId="TableIndentHanging5">
    <w:name w:val="Table: Indent: Hanging 5"/>
    <w:basedOn w:val="TablePlainParagraph"/>
    <w:semiHidden/>
    <w:pPr>
      <w:numPr>
        <w:ilvl w:val="5"/>
        <w:numId w:val="9"/>
      </w:numPr>
      <w:tabs>
        <w:tab w:val="left" w:pos="1417"/>
      </w:tabs>
      <w:spacing w:before="0"/>
    </w:pPr>
  </w:style>
  <w:style w:type="paragraph" w:customStyle="1" w:styleId="TableIndentHanging6">
    <w:name w:val="Table: Indent: Hanging 6"/>
    <w:basedOn w:val="TablePlainParagraph"/>
    <w:semiHidden/>
    <w:pPr>
      <w:numPr>
        <w:ilvl w:val="6"/>
        <w:numId w:val="9"/>
      </w:numPr>
      <w:tabs>
        <w:tab w:val="left" w:pos="1701"/>
      </w:tabs>
      <w:spacing w:before="0"/>
    </w:pPr>
  </w:style>
  <w:style w:type="paragraph" w:customStyle="1" w:styleId="TableIndentHanging7">
    <w:name w:val="Table: Indent: Hanging 7"/>
    <w:basedOn w:val="TablePlainParagraph"/>
    <w:semiHidden/>
    <w:pPr>
      <w:numPr>
        <w:ilvl w:val="7"/>
        <w:numId w:val="9"/>
      </w:numPr>
      <w:tabs>
        <w:tab w:val="left" w:pos="1984"/>
      </w:tabs>
      <w:spacing w:before="0"/>
    </w:pPr>
  </w:style>
  <w:style w:type="paragraph" w:customStyle="1" w:styleId="TableIndentHanging8">
    <w:name w:val="Table: Indent: Hanging 8"/>
    <w:basedOn w:val="TablePlainParagraph"/>
    <w:semiHidden/>
    <w:pPr>
      <w:numPr>
        <w:ilvl w:val="8"/>
        <w:numId w:val="9"/>
      </w:numPr>
      <w:tabs>
        <w:tab w:val="left" w:pos="2268"/>
      </w:tabs>
      <w:spacing w:before="0"/>
    </w:pPr>
  </w:style>
  <w:style w:type="paragraph" w:customStyle="1" w:styleId="TableIndentFull">
    <w:name w:val="Table: Indent: Full"/>
    <w:basedOn w:val="TablePlainParagraph"/>
    <w:semiHidden/>
    <w:pPr>
      <w:numPr>
        <w:numId w:val="10"/>
      </w:numPr>
      <w:spacing w:before="0"/>
    </w:pPr>
  </w:style>
  <w:style w:type="paragraph" w:customStyle="1" w:styleId="TableIndentFull1">
    <w:name w:val="Table: Indent: Full 1"/>
    <w:basedOn w:val="TablePlainParagraph"/>
    <w:pPr>
      <w:numPr>
        <w:ilvl w:val="1"/>
        <w:numId w:val="10"/>
      </w:numPr>
      <w:spacing w:before="0"/>
    </w:pPr>
  </w:style>
  <w:style w:type="paragraph" w:customStyle="1" w:styleId="TableIndentFull2">
    <w:name w:val="Table: Indent: Full 2"/>
    <w:basedOn w:val="TablePlainParagraph"/>
    <w:semiHidden/>
    <w:pPr>
      <w:numPr>
        <w:ilvl w:val="2"/>
        <w:numId w:val="10"/>
      </w:numPr>
      <w:spacing w:before="0"/>
    </w:pPr>
  </w:style>
  <w:style w:type="paragraph" w:customStyle="1" w:styleId="TableIndentFull3">
    <w:name w:val="Table: Indent: Full 3"/>
    <w:basedOn w:val="TablePlainParagraph"/>
    <w:semiHidden/>
    <w:pPr>
      <w:numPr>
        <w:ilvl w:val="3"/>
        <w:numId w:val="10"/>
      </w:numPr>
      <w:spacing w:before="0"/>
    </w:pPr>
  </w:style>
  <w:style w:type="paragraph" w:customStyle="1" w:styleId="TableIndentFull4">
    <w:name w:val="Table: Indent: Full 4"/>
    <w:basedOn w:val="TablePlainParagraph"/>
    <w:semiHidden/>
    <w:pPr>
      <w:numPr>
        <w:ilvl w:val="4"/>
        <w:numId w:val="10"/>
      </w:numPr>
      <w:spacing w:before="0"/>
    </w:pPr>
  </w:style>
  <w:style w:type="paragraph" w:customStyle="1" w:styleId="TableIndentFull5">
    <w:name w:val="Table: Indent: Full 5"/>
    <w:basedOn w:val="TablePlainParagraph"/>
    <w:semiHidden/>
    <w:pPr>
      <w:numPr>
        <w:ilvl w:val="5"/>
        <w:numId w:val="10"/>
      </w:numPr>
      <w:spacing w:before="0"/>
    </w:pPr>
  </w:style>
  <w:style w:type="paragraph" w:customStyle="1" w:styleId="TableIndentFull6">
    <w:name w:val="Table: Indent: Full 6"/>
    <w:basedOn w:val="TablePlainParagraph"/>
    <w:semiHidden/>
    <w:pPr>
      <w:numPr>
        <w:ilvl w:val="6"/>
        <w:numId w:val="10"/>
      </w:numPr>
      <w:spacing w:before="0"/>
    </w:pPr>
  </w:style>
  <w:style w:type="paragraph" w:customStyle="1" w:styleId="TableIndentFull7">
    <w:name w:val="Table: Indent: Full 7"/>
    <w:basedOn w:val="TablePlainParagraph"/>
    <w:semiHidden/>
    <w:pPr>
      <w:numPr>
        <w:ilvl w:val="7"/>
        <w:numId w:val="10"/>
      </w:numPr>
      <w:spacing w:before="0"/>
    </w:pPr>
  </w:style>
  <w:style w:type="paragraph" w:customStyle="1" w:styleId="TableIndentFull8">
    <w:name w:val="Table: Indent: Full 8"/>
    <w:basedOn w:val="TablePlainParagraph"/>
    <w:semiHidden/>
    <w:pPr>
      <w:numPr>
        <w:ilvl w:val="8"/>
        <w:numId w:val="10"/>
      </w:numPr>
      <w:spacing w:before="0"/>
    </w:pPr>
  </w:style>
  <w:style w:type="paragraph" w:customStyle="1" w:styleId="TableNumberedList1">
    <w:name w:val="Table: Numbered List: 1)"/>
    <w:basedOn w:val="TablePlainParagraph"/>
    <w:semiHidden/>
    <w:pPr>
      <w:numPr>
        <w:numId w:val="11"/>
      </w:numPr>
      <w:spacing w:before="0"/>
    </w:pPr>
  </w:style>
  <w:style w:type="paragraph" w:customStyle="1" w:styleId="TableNumberedList11">
    <w:name w:val="Table: Numbered List: 1) 1"/>
    <w:basedOn w:val="TablePlainParagraph"/>
    <w:pPr>
      <w:numPr>
        <w:ilvl w:val="1"/>
        <w:numId w:val="11"/>
      </w:numPr>
      <w:spacing w:before="0"/>
    </w:pPr>
  </w:style>
  <w:style w:type="paragraph" w:customStyle="1" w:styleId="TableNumberedList12">
    <w:name w:val="Table: Numbered List: 1) 2"/>
    <w:basedOn w:val="TablePlainParagraph"/>
    <w:semiHidden/>
    <w:pPr>
      <w:numPr>
        <w:ilvl w:val="2"/>
        <w:numId w:val="11"/>
      </w:numPr>
      <w:spacing w:before="0"/>
    </w:pPr>
  </w:style>
  <w:style w:type="paragraph" w:customStyle="1" w:styleId="TableNumberedList13">
    <w:name w:val="Table: Numbered List: 1) 3"/>
    <w:basedOn w:val="TablePlainParagraph"/>
    <w:semiHidden/>
    <w:pPr>
      <w:numPr>
        <w:ilvl w:val="3"/>
        <w:numId w:val="11"/>
      </w:numPr>
      <w:spacing w:before="0"/>
    </w:pPr>
  </w:style>
  <w:style w:type="paragraph" w:customStyle="1" w:styleId="TableNumberedList14">
    <w:name w:val="Table: Numbered List: 1) 4"/>
    <w:basedOn w:val="TablePlainParagraph"/>
    <w:semiHidden/>
    <w:pPr>
      <w:numPr>
        <w:ilvl w:val="4"/>
        <w:numId w:val="11"/>
      </w:numPr>
      <w:spacing w:before="0"/>
    </w:pPr>
  </w:style>
  <w:style w:type="paragraph" w:customStyle="1" w:styleId="TableNumberedList15">
    <w:name w:val="Table: Numbered List: 1) 5"/>
    <w:basedOn w:val="TablePlainParagraph"/>
    <w:semiHidden/>
    <w:pPr>
      <w:numPr>
        <w:ilvl w:val="5"/>
        <w:numId w:val="11"/>
      </w:numPr>
      <w:spacing w:before="0"/>
    </w:pPr>
  </w:style>
  <w:style w:type="paragraph" w:customStyle="1" w:styleId="TableNumberedList16">
    <w:name w:val="Table: Numbered List: 1) 6"/>
    <w:basedOn w:val="TablePlainParagraph"/>
    <w:semiHidden/>
    <w:pPr>
      <w:numPr>
        <w:ilvl w:val="6"/>
        <w:numId w:val="11"/>
      </w:numPr>
      <w:spacing w:before="0"/>
    </w:pPr>
  </w:style>
  <w:style w:type="paragraph" w:customStyle="1" w:styleId="TableNumberedList17">
    <w:name w:val="Table: Numbered List: 1) 7"/>
    <w:basedOn w:val="TablePlainParagraph"/>
    <w:semiHidden/>
    <w:pPr>
      <w:numPr>
        <w:ilvl w:val="7"/>
        <w:numId w:val="11"/>
      </w:numPr>
      <w:spacing w:before="0"/>
    </w:pPr>
  </w:style>
  <w:style w:type="paragraph" w:customStyle="1" w:styleId="TableNumberedList18">
    <w:name w:val="Table: Numbered List: 1) 8"/>
    <w:basedOn w:val="TablePlainParagraph"/>
    <w:semiHidden/>
    <w:pPr>
      <w:numPr>
        <w:ilvl w:val="8"/>
        <w:numId w:val="11"/>
      </w:numPr>
      <w:spacing w:before="0"/>
    </w:pPr>
  </w:style>
  <w:style w:type="paragraph" w:customStyle="1" w:styleId="TableNumberedLista">
    <w:name w:val="Table: Numbered List: a)"/>
    <w:basedOn w:val="TablePlainParagraph"/>
    <w:semiHidden/>
    <w:pPr>
      <w:numPr>
        <w:numId w:val="12"/>
      </w:numPr>
      <w:spacing w:before="0"/>
    </w:pPr>
  </w:style>
  <w:style w:type="paragraph" w:customStyle="1" w:styleId="TableNumberedLista1">
    <w:name w:val="Table: Numbered List: a) 1"/>
    <w:basedOn w:val="TablePlainParagraph"/>
    <w:pPr>
      <w:numPr>
        <w:ilvl w:val="1"/>
        <w:numId w:val="12"/>
      </w:numPr>
      <w:spacing w:before="0"/>
    </w:pPr>
  </w:style>
  <w:style w:type="paragraph" w:customStyle="1" w:styleId="TableNumberedLista2">
    <w:name w:val="Table: Numbered List: a) 2"/>
    <w:basedOn w:val="TablePlainParagraph"/>
    <w:semiHidden/>
    <w:pPr>
      <w:numPr>
        <w:ilvl w:val="2"/>
        <w:numId w:val="12"/>
      </w:numPr>
      <w:spacing w:before="0"/>
    </w:pPr>
  </w:style>
  <w:style w:type="paragraph" w:customStyle="1" w:styleId="TableNumberedLista3">
    <w:name w:val="Table: Numbered List: a) 3"/>
    <w:basedOn w:val="TablePlainParagraph"/>
    <w:semiHidden/>
    <w:pPr>
      <w:numPr>
        <w:ilvl w:val="3"/>
        <w:numId w:val="12"/>
      </w:numPr>
      <w:spacing w:before="0"/>
    </w:pPr>
  </w:style>
  <w:style w:type="paragraph" w:customStyle="1" w:styleId="TableNumberedLista4">
    <w:name w:val="Table: Numbered List: a) 4"/>
    <w:basedOn w:val="TablePlainParagraph"/>
    <w:semiHidden/>
    <w:pPr>
      <w:numPr>
        <w:ilvl w:val="4"/>
        <w:numId w:val="12"/>
      </w:numPr>
      <w:spacing w:before="0"/>
    </w:pPr>
  </w:style>
  <w:style w:type="paragraph" w:customStyle="1" w:styleId="TableNumberedLista5">
    <w:name w:val="Table: Numbered List: a) 5"/>
    <w:basedOn w:val="TablePlainParagraph"/>
    <w:semiHidden/>
    <w:pPr>
      <w:numPr>
        <w:ilvl w:val="5"/>
        <w:numId w:val="12"/>
      </w:numPr>
      <w:spacing w:before="0"/>
    </w:pPr>
  </w:style>
  <w:style w:type="paragraph" w:customStyle="1" w:styleId="TableNumberedLista6">
    <w:name w:val="Table: Numbered List: a) 6"/>
    <w:basedOn w:val="TablePlainParagraph"/>
    <w:semiHidden/>
    <w:pPr>
      <w:numPr>
        <w:ilvl w:val="6"/>
        <w:numId w:val="12"/>
      </w:numPr>
      <w:spacing w:before="0"/>
    </w:pPr>
  </w:style>
  <w:style w:type="paragraph" w:customStyle="1" w:styleId="TableNumberedLista7">
    <w:name w:val="Table: Numbered List: a) 7"/>
    <w:basedOn w:val="TablePlainParagraph"/>
    <w:semiHidden/>
    <w:pPr>
      <w:numPr>
        <w:ilvl w:val="7"/>
        <w:numId w:val="12"/>
      </w:numPr>
      <w:spacing w:before="0"/>
    </w:pPr>
  </w:style>
  <w:style w:type="paragraph" w:customStyle="1" w:styleId="TableNumberedLista8">
    <w:name w:val="Table: Numbered List: a) 8"/>
    <w:basedOn w:val="TablePlainParagraph"/>
    <w:semiHidden/>
    <w:pPr>
      <w:numPr>
        <w:ilvl w:val="8"/>
        <w:numId w:val="12"/>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tblPr/>
  </w:style>
  <w:style w:type="paragraph" w:styleId="BodyTextIndent">
    <w:name w:val="Body Text Indent"/>
    <w:basedOn w:val="Normal"/>
    <w:pPr>
      <w:ind w:left="2160"/>
      <w:jc w:val="both"/>
    </w:pPr>
    <w:rPr>
      <w:i/>
      <w:szCs w:val="22"/>
    </w:rPr>
  </w:style>
  <w:style w:type="paragraph" w:styleId="TOC4">
    <w:name w:val="toc 4"/>
    <w:basedOn w:val="Normal"/>
    <w:next w:val="Normal"/>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link w:val="BodyTextChar"/>
    <w:uiPriority w:val="99"/>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basedOn w:val="NormalBaseChar"/>
    <w:rPr>
      <w:rFonts w:ascii="Arial" w:hAnsi="Arial" w:cs="Arial"/>
      <w:sz w:val="22"/>
      <w:szCs w:val="22"/>
      <w:lang w:val="en-AU" w:eastAsia="en-AU" w:bidi="ar-SA"/>
    </w:rPr>
  </w:style>
  <w:style w:type="character" w:customStyle="1" w:styleId="DashEmChar">
    <w:name w:val="Dash: Em Char"/>
    <w:basedOn w:val="PlainParagraphChar"/>
    <w:rPr>
      <w:rFonts w:ascii="Arial" w:hAnsi="Arial" w:cs="Arial"/>
      <w:sz w:val="22"/>
      <w:szCs w:val="22"/>
      <w:lang w:val="en-AU" w:eastAsia="en-AU" w:bidi="ar-SA"/>
    </w:rPr>
  </w:style>
  <w:style w:type="character" w:customStyle="1" w:styleId="DashEn1Char">
    <w:name w:val="Dash: En 1 Char"/>
    <w:basedOn w:val="DashEm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basedOn w:val="NormalBaseChar1"/>
    <w:rPr>
      <w:rFonts w:ascii="Arial" w:hAnsi="Arial" w:cs="Arial"/>
      <w:sz w:val="22"/>
      <w:szCs w:val="22"/>
      <w:lang w:val="en-AU" w:eastAsia="en-AU" w:bidi="ar-SA"/>
    </w:rPr>
  </w:style>
  <w:style w:type="character" w:customStyle="1" w:styleId="NumberLevel1Char">
    <w:name w:val="Number Level 1 Char"/>
    <w:basedOn w:val="PlainParagraphChar1"/>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rPr>
  </w:style>
  <w:style w:type="paragraph" w:customStyle="1" w:styleId="subsection">
    <w:name w:val="subsection"/>
    <w:aliases w:val="ss"/>
    <w:pPr>
      <w:tabs>
        <w:tab w:val="right" w:pos="1021"/>
      </w:tabs>
      <w:spacing w:before="180"/>
      <w:ind w:left="1134" w:hanging="1134"/>
    </w:pPr>
    <w:rPr>
      <w:rFonts w:ascii="Arial" w:hAnsi="Arial" w:cs="Arial"/>
      <w:sz w:val="22"/>
      <w:szCs w:val="24"/>
    </w:rPr>
  </w:style>
  <w:style w:type="paragraph" w:customStyle="1" w:styleId="paragraph">
    <w:name w:val="paragraph"/>
    <w:aliases w:val="a"/>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semiHidden/>
    <w:rPr>
      <w:szCs w:val="22"/>
    </w:rPr>
  </w:style>
  <w:style w:type="character" w:styleId="Strong">
    <w:name w:val="Strong"/>
    <w:qFormat/>
    <w:rPr>
      <w:rFonts w:ascii="Arial" w:hAnsi="Arial" w:cs="Arial"/>
      <w:b/>
      <w:bCs/>
      <w:sz w:val="22"/>
    </w:rPr>
  </w:style>
  <w:style w:type="character" w:styleId="FollowedHyperlink">
    <w:name w:val="FollowedHyperlink"/>
    <w:rPr>
      <w:rFonts w:ascii="Arial" w:hAnsi="Arial" w:cs="Arial"/>
      <w:color w:val="800080"/>
      <w:sz w:val="22"/>
      <w:u w:val="single"/>
    </w:rPr>
  </w:style>
  <w:style w:type="paragraph" w:styleId="BalloonText">
    <w:name w:val="Balloon Text"/>
    <w:basedOn w:val="Normal"/>
    <w:semiHidden/>
    <w:rPr>
      <w:szCs w:val="16"/>
    </w:rPr>
  </w:style>
  <w:style w:type="character" w:styleId="CommentReference">
    <w:name w:val="annotation reference"/>
    <w:semiHidden/>
    <w:rPr>
      <w:rFonts w:ascii="Arial" w:hAnsi="Arial" w:cs="Arial"/>
      <w:sz w:val="22"/>
      <w:szCs w:val="16"/>
    </w:rPr>
  </w:style>
  <w:style w:type="character" w:customStyle="1" w:styleId="Quotation1CharChar">
    <w:name w:val="Quotation 1 Char Char"/>
    <w:basedOn w:val="PlainParagraphChar"/>
    <w:link w:val="Quotation1Char"/>
    <w:rPr>
      <w:rFonts w:ascii="Arial" w:hAnsi="Arial" w:cs="Arial"/>
      <w:sz w:val="22"/>
      <w:szCs w:val="22"/>
      <w:lang w:val="en-AU" w:eastAsia="en-AU" w:bidi="ar-SA"/>
    </w:rPr>
  </w:style>
  <w:style w:type="paragraph" w:styleId="CommentSubject">
    <w:name w:val="annotation subject"/>
    <w:basedOn w:val="CommentText"/>
    <w:next w:val="CommentText"/>
    <w:semiHidden/>
    <w:rPr>
      <w:b/>
      <w:bCs/>
      <w:szCs w:val="20"/>
    </w:rPr>
  </w:style>
  <w:style w:type="character" w:customStyle="1" w:styleId="FooterChar1">
    <w:name w:val="Footer Char1"/>
    <w:link w:val="Footer"/>
    <w:rPr>
      <w:rFonts w:ascii="Arial" w:hAnsi="Arial" w:cs="Arial"/>
      <w:sz w:val="16"/>
      <w:szCs w:val="22"/>
      <w:lang w:val="en-AU" w:eastAsia="en-AU" w:bidi="ar-SA"/>
    </w:rPr>
  </w:style>
  <w:style w:type="paragraph" w:styleId="NormalWeb">
    <w:name w:val="Normal (Web)"/>
    <w:basedOn w:val="Normal"/>
    <w:pPr>
      <w:spacing w:after="240" w:line="312" w:lineRule="atLeast"/>
    </w:pPr>
    <w:rPr>
      <w:color w:val="3B3B3B"/>
      <w:szCs w:val="22"/>
    </w:rPr>
  </w:style>
  <w:style w:type="numbering" w:styleId="111111">
    <w:name w:val="Outline List 2"/>
    <w:basedOn w:val="NoList"/>
    <w:pPr>
      <w:numPr>
        <w:numId w:val="13"/>
      </w:numPr>
    </w:pPr>
  </w:style>
  <w:style w:type="numbering" w:styleId="1ai">
    <w:name w:val="Outline List 1"/>
    <w:basedOn w:val="NoList"/>
    <w:pPr>
      <w:numPr>
        <w:numId w:val="14"/>
      </w:numPr>
    </w:pPr>
  </w:style>
  <w:style w:type="numbering" w:styleId="ArticleSection">
    <w:name w:val="Outline List 3"/>
    <w:basedOn w:val="NoList"/>
    <w:pPr>
      <w:numPr>
        <w:numId w:val="15"/>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qFormat/>
    <w:rPr>
      <w:b/>
      <w:bCs/>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16"/>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basedOn w:val="NormalBase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uiPriority w:val="9"/>
    <w:rPr>
      <w:rFonts w:ascii="Arial" w:hAnsi="Arial" w:cs="Arial"/>
      <w:b/>
      <w:bCs/>
      <w:iCs/>
      <w:sz w:val="22"/>
      <w:szCs w:val="28"/>
      <w:lang w:val="en-AU" w:eastAsia="en-AU" w:bidi="ar-SA"/>
    </w:rPr>
  </w:style>
  <w:style w:type="character" w:customStyle="1" w:styleId="Heading3Char">
    <w:name w:val="Heading 3 Char"/>
    <w:link w:val="Heading3"/>
    <w:uiPriority w:val="9"/>
    <w:rPr>
      <w:rFonts w:ascii="Arial" w:hAnsi="Arial" w:cs="Arial"/>
      <w:b/>
      <w:bCs/>
      <w:i/>
      <w:szCs w:val="26"/>
      <w:lang w:val="en-AU" w:eastAsia="en-AU"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Quotation1Char1">
    <w:name w:val="Quotation 1 Char1"/>
    <w:basedOn w:val="PlainParagraphChar2"/>
    <w:link w:val="Quotation1"/>
    <w:rPr>
      <w:rFonts w:ascii="Arial" w:hAnsi="Arial" w:cs="Arial"/>
      <w:sz w:val="22"/>
      <w:szCs w:val="22"/>
      <w:lang w:val="en-AU" w:eastAsia="en-AU" w:bidi="ar-SA"/>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uiPriority w:val="9"/>
    <w:rPr>
      <w:rFonts w:ascii="Arial" w:hAnsi="Arial" w:cs="Arial"/>
      <w:b/>
      <w:bCs/>
      <w:caps/>
      <w:kern w:val="32"/>
      <w:szCs w:val="32"/>
      <w:lang w:val="en-AU" w:eastAsia="en-AU" w:bidi="ar-SA"/>
    </w:rPr>
  </w:style>
  <w:style w:type="character" w:customStyle="1" w:styleId="CommentTextChar">
    <w:name w:val="Comment Text Char"/>
    <w:link w:val="CommentText"/>
    <w:semiHidden/>
    <w:locked/>
    <w:rPr>
      <w:rFonts w:ascii="Arial" w:hAnsi="Arial" w:cs="Arial"/>
      <w:sz w:val="22"/>
      <w:szCs w:val="22"/>
      <w:lang w:val="en-AU" w:eastAsia="en-AU" w:bidi="ar-SA"/>
    </w:rPr>
  </w:style>
  <w:style w:type="character" w:customStyle="1" w:styleId="FootnoteTextChar">
    <w:name w:val="Footnote Text Char"/>
    <w:link w:val="FootnoteText"/>
    <w:uiPriority w:val="99"/>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17"/>
      </w:numPr>
    </w:pPr>
    <w:rPr>
      <w:rFonts w:ascii="Times New Roman" w:hAnsi="Times New Roman" w:cs="Times New Roman"/>
      <w:sz w:val="24"/>
    </w:rPr>
  </w:style>
  <w:style w:type="character" w:customStyle="1" w:styleId="Heading4Char">
    <w:name w:val="Heading 4 Char"/>
    <w:link w:val="Heading4"/>
    <w:uiPriority w:val="9"/>
    <w:rPr>
      <w:rFonts w:ascii="Arial" w:hAnsi="Arial" w:cs="Arial"/>
      <w:bCs/>
      <w:i/>
      <w:szCs w:val="28"/>
      <w:lang w:val="en-AU" w:eastAsia="en-AU" w:bidi="ar-SA"/>
    </w:rPr>
  </w:style>
  <w:style w:type="character" w:customStyle="1" w:styleId="HeaderChar">
    <w:name w:val="Header Char"/>
    <w:link w:val="Header"/>
    <w:semiHidden/>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basedOn w:val="PlainParagraph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1">
    <w:name w:val="Char Char11"/>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6D4FE9"/>
    <w:pPr>
      <w:ind w:left="709"/>
    </w:pPr>
  </w:style>
  <w:style w:type="character" w:customStyle="1" w:styleId="Heading5Char">
    <w:name w:val="Heading 5 Char"/>
    <w:link w:val="Heading5"/>
    <w:uiPriority w:val="9"/>
    <w:locked/>
    <w:rsid w:val="00CE67D9"/>
    <w:rPr>
      <w:rFonts w:ascii="Arial" w:hAnsi="Arial" w:cs="Arial"/>
      <w:b/>
      <w:bCs/>
      <w:iCs/>
      <w:sz w:val="18"/>
      <w:szCs w:val="26"/>
    </w:rPr>
  </w:style>
  <w:style w:type="character" w:customStyle="1" w:styleId="BodyTextChar">
    <w:name w:val="Body Text Char"/>
    <w:link w:val="BodyText"/>
    <w:uiPriority w:val="99"/>
    <w:locked/>
    <w:rsid w:val="00CE67D9"/>
    <w:rPr>
      <w:rFonts w:ascii="Arial" w:hAnsi="Arial" w:cs="Arial"/>
      <w:sz w:val="22"/>
      <w:szCs w:val="22"/>
    </w:rPr>
  </w:style>
  <w:style w:type="paragraph" w:customStyle="1" w:styleId="NormalNumbered">
    <w:name w:val="NormalNumbered"/>
    <w:basedOn w:val="Normal"/>
    <w:link w:val="NormalNumberedChar"/>
    <w:qFormat/>
    <w:rsid w:val="00CE67D9"/>
    <w:pPr>
      <w:spacing w:after="160" w:line="360" w:lineRule="auto"/>
    </w:pPr>
    <w:rPr>
      <w:rFonts w:ascii="Calibri" w:hAnsi="Calibri" w:cs="Times New Roman"/>
      <w:szCs w:val="22"/>
      <w:lang w:eastAsia="en-US"/>
    </w:rPr>
  </w:style>
  <w:style w:type="character" w:customStyle="1" w:styleId="NormalNumberedChar">
    <w:name w:val="NormalNumbered Char"/>
    <w:link w:val="NormalNumbered"/>
    <w:locked/>
    <w:rsid w:val="00CE67D9"/>
    <w:rPr>
      <w:rFonts w:ascii="Calibri" w:hAnsi="Calibri"/>
      <w:sz w:val="22"/>
      <w:szCs w:val="22"/>
      <w:lang w:eastAsia="en-US"/>
    </w:rPr>
  </w:style>
  <w:style w:type="paragraph" w:customStyle="1" w:styleId="NormalAlpha">
    <w:name w:val="NormalAlpha"/>
    <w:basedOn w:val="NormalNumbered"/>
    <w:link w:val="NormalAlphaChar"/>
    <w:qFormat/>
    <w:rsid w:val="00CE67D9"/>
    <w:pPr>
      <w:numPr>
        <w:numId w:val="20"/>
      </w:numPr>
    </w:pPr>
  </w:style>
  <w:style w:type="paragraph" w:customStyle="1" w:styleId="NormalI">
    <w:name w:val="NormalI"/>
    <w:basedOn w:val="NormalAlpha"/>
    <w:link w:val="NormalIChar"/>
    <w:qFormat/>
    <w:rsid w:val="00CE67D9"/>
    <w:pPr>
      <w:numPr>
        <w:numId w:val="19"/>
      </w:numPr>
    </w:pPr>
  </w:style>
  <w:style w:type="character" w:customStyle="1" w:styleId="NormalAlphaChar">
    <w:name w:val="NormalAlpha Char"/>
    <w:link w:val="NormalAlpha"/>
    <w:locked/>
    <w:rsid w:val="00CE67D9"/>
    <w:rPr>
      <w:rFonts w:ascii="Calibri" w:hAnsi="Calibri"/>
      <w:sz w:val="22"/>
      <w:szCs w:val="22"/>
      <w:lang w:eastAsia="en-US"/>
    </w:rPr>
  </w:style>
  <w:style w:type="character" w:customStyle="1" w:styleId="NormalIChar">
    <w:name w:val="NormalI Char"/>
    <w:link w:val="NormalI"/>
    <w:locked/>
    <w:rsid w:val="00CE67D9"/>
    <w:rPr>
      <w:rFonts w:ascii="Calibri" w:hAnsi="Calibri"/>
      <w:sz w:val="22"/>
      <w:szCs w:val="22"/>
      <w:lang w:eastAsia="en-US"/>
    </w:rPr>
  </w:style>
  <w:style w:type="paragraph" w:customStyle="1" w:styleId="NormalDash">
    <w:name w:val="NormalDash"/>
    <w:basedOn w:val="Normal"/>
    <w:link w:val="NormalDashChar"/>
    <w:qFormat/>
    <w:rsid w:val="008F386E"/>
    <w:pPr>
      <w:numPr>
        <w:numId w:val="21"/>
      </w:numPr>
      <w:spacing w:after="120" w:line="360" w:lineRule="auto"/>
      <w:ind w:left="1139" w:hanging="357"/>
    </w:pPr>
    <w:rPr>
      <w:rFonts w:ascii="Calibri" w:hAnsi="Calibri"/>
    </w:rPr>
  </w:style>
  <w:style w:type="paragraph" w:customStyle="1" w:styleId="NormalAlphaLower">
    <w:name w:val="NormalAlphaLower"/>
    <w:basedOn w:val="Normal"/>
    <w:link w:val="NormalAlphaLowerChar"/>
    <w:qFormat/>
    <w:rsid w:val="008F386E"/>
    <w:pPr>
      <w:numPr>
        <w:numId w:val="22"/>
      </w:numPr>
      <w:spacing w:after="120" w:line="360" w:lineRule="auto"/>
      <w:ind w:hanging="357"/>
    </w:pPr>
    <w:rPr>
      <w:rFonts w:ascii="Calibri" w:hAnsi="Calibri"/>
    </w:rPr>
  </w:style>
  <w:style w:type="character" w:customStyle="1" w:styleId="NormalDashChar">
    <w:name w:val="NormalDash Char"/>
    <w:link w:val="NormalDash"/>
    <w:rsid w:val="008F386E"/>
    <w:rPr>
      <w:rFonts w:ascii="Calibri" w:hAnsi="Calibri" w:cs="Arial"/>
      <w:sz w:val="22"/>
      <w:szCs w:val="24"/>
    </w:rPr>
  </w:style>
  <w:style w:type="paragraph" w:customStyle="1" w:styleId="Footnote">
    <w:name w:val="Footnote"/>
    <w:basedOn w:val="FootnoteText"/>
    <w:link w:val="FootnoteChar"/>
    <w:qFormat/>
    <w:rsid w:val="008F386E"/>
    <w:pPr>
      <w:tabs>
        <w:tab w:val="left" w:pos="-26"/>
        <w:tab w:val="left" w:pos="286"/>
      </w:tabs>
      <w:ind w:left="170" w:hanging="170"/>
    </w:pPr>
    <w:rPr>
      <w:rFonts w:ascii="Calibri" w:hAnsi="Calibri"/>
    </w:rPr>
  </w:style>
  <w:style w:type="character" w:customStyle="1" w:styleId="NormalAlphaLowerChar">
    <w:name w:val="NormalAlphaLower Char"/>
    <w:link w:val="NormalAlphaLower"/>
    <w:rsid w:val="008F386E"/>
    <w:rPr>
      <w:rFonts w:ascii="Calibri" w:hAnsi="Calibri" w:cs="Arial"/>
      <w:sz w:val="22"/>
      <w:szCs w:val="24"/>
    </w:rPr>
  </w:style>
  <w:style w:type="character" w:customStyle="1" w:styleId="FootnoteChar">
    <w:name w:val="Footnote Char"/>
    <w:link w:val="Footnote"/>
    <w:rsid w:val="008F386E"/>
    <w:rPr>
      <w:rFonts w:ascii="Calibri" w:hAnsi="Calibri" w:cs="Arial"/>
      <w:sz w:val="18"/>
    </w:rPr>
  </w:style>
  <w:style w:type="paragraph" w:styleId="Revision">
    <w:name w:val="Revision"/>
    <w:hidden/>
    <w:uiPriority w:val="99"/>
    <w:semiHidden/>
    <w:rsid w:val="002625BE"/>
    <w:rPr>
      <w:rFonts w:ascii="Arial" w:hAnsi="Arial" w:cs="Arial"/>
      <w:sz w:val="22"/>
      <w:szCs w:val="24"/>
    </w:rPr>
  </w:style>
  <w:style w:type="paragraph" w:customStyle="1" w:styleId="EndNoteBibliography">
    <w:name w:val="EndNote Bibliography"/>
    <w:basedOn w:val="Normal"/>
    <w:link w:val="EndNoteBibliographyChar"/>
    <w:rsid w:val="00540F45"/>
    <w:pPr>
      <w:spacing w:after="160"/>
    </w:pPr>
    <w:rPr>
      <w:rFonts w:ascii="Calibri" w:eastAsia="Calibri" w:hAnsi="Calibri" w:cs="Times New Roman"/>
      <w:noProof/>
      <w:szCs w:val="22"/>
      <w:lang w:eastAsia="en-US"/>
    </w:rPr>
  </w:style>
  <w:style w:type="character" w:customStyle="1" w:styleId="EndNoteBibliographyChar">
    <w:name w:val="EndNote Bibliography Char"/>
    <w:link w:val="EndNoteBibliography"/>
    <w:rsid w:val="00540F45"/>
    <w:rPr>
      <w:rFonts w:ascii="Calibri" w:eastAsia="Calibri" w:hAnsi="Calibri"/>
      <w:noProof/>
      <w:sz w:val="22"/>
      <w:szCs w:val="22"/>
      <w:lang w:eastAsia="en-US"/>
    </w:rPr>
  </w:style>
  <w:style w:type="paragraph" w:customStyle="1" w:styleId="EndNoteBibliographyTitle">
    <w:name w:val="EndNote Bibliography Title"/>
    <w:basedOn w:val="Normal"/>
    <w:link w:val="EndNoteBibliographyTitleChar"/>
    <w:rsid w:val="008F3BFE"/>
    <w:pPr>
      <w:jc w:val="center"/>
    </w:pPr>
    <w:rPr>
      <w:rFonts w:ascii="Calibri" w:hAnsi="Calibri"/>
      <w:noProof/>
    </w:rPr>
  </w:style>
  <w:style w:type="character" w:customStyle="1" w:styleId="EndNoteBibliographyTitleChar">
    <w:name w:val="EndNote Bibliography Title Char"/>
    <w:link w:val="EndNoteBibliographyTitle"/>
    <w:rsid w:val="008F3BFE"/>
    <w:rPr>
      <w:rFonts w:ascii="Calibri" w:hAnsi="Calibri" w:cs="Arial"/>
      <w:noProof/>
      <w:sz w:val="22"/>
      <w:szCs w:val="24"/>
      <w:lang w:eastAsia="en-US"/>
    </w:rPr>
  </w:style>
  <w:style w:type="character" w:customStyle="1" w:styleId="Style5">
    <w:name w:val="Style5"/>
    <w:basedOn w:val="DefaultParagraphFont"/>
    <w:uiPriority w:val="1"/>
    <w:qFormat/>
    <w:rsid w:val="006A6A5F"/>
    <w:rPr>
      <w:rFonts w:ascii="Times New Roman" w:hAnsi="Times New Roma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0754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sychiatry.org/psychiatrists/practice/ds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79840EE04648CD9A10911E4CC427A3"/>
        <w:category>
          <w:name w:val="General"/>
          <w:gallery w:val="placeholder"/>
        </w:category>
        <w:types>
          <w:type w:val="bbPlcHdr"/>
        </w:types>
        <w:behaviors>
          <w:behavior w:val="content"/>
        </w:behaviors>
        <w:guid w:val="{08D7DE6C-3879-436B-84F3-BA1DF1E5EFC2}"/>
      </w:docPartPr>
      <w:docPartBody>
        <w:p w:rsidR="00A628C2" w:rsidRDefault="00A628C2" w:rsidP="00A628C2">
          <w:pPr>
            <w:pStyle w:val="B879840EE04648CD9A10911E4CC427A3"/>
          </w:pPr>
          <w:r w:rsidRPr="00B74288">
            <w:rPr>
              <w:rStyle w:val="PlaceholderText"/>
            </w:rPr>
            <w:t>Click here to enter text.</w:t>
          </w:r>
        </w:p>
      </w:docPartBody>
    </w:docPart>
    <w:docPart>
      <w:docPartPr>
        <w:name w:val="E5E5286AD1824DC898FEE7E068B3DF84"/>
        <w:category>
          <w:name w:val="General"/>
          <w:gallery w:val="placeholder"/>
        </w:category>
        <w:types>
          <w:type w:val="bbPlcHdr"/>
        </w:types>
        <w:behaviors>
          <w:behavior w:val="content"/>
        </w:behaviors>
        <w:guid w:val="{EC3C4A6F-7827-4501-AFDB-F03054C6709A}"/>
      </w:docPartPr>
      <w:docPartBody>
        <w:p w:rsidR="00A628C2" w:rsidRDefault="00A628C2" w:rsidP="00A628C2">
          <w:pPr>
            <w:pStyle w:val="E5E5286AD1824DC898FEE7E068B3DF84"/>
          </w:pPr>
          <w:r w:rsidRPr="00BD1F75">
            <w:rPr>
              <w:rStyle w:val="PlaceholderText"/>
            </w:rPr>
            <w:t>Click here to enter text.</w:t>
          </w:r>
        </w:p>
      </w:docPartBody>
    </w:docPart>
    <w:docPart>
      <w:docPartPr>
        <w:name w:val="0A9162C00D934F47B5B17EAF2B4AD564"/>
        <w:category>
          <w:name w:val="General"/>
          <w:gallery w:val="placeholder"/>
        </w:category>
        <w:types>
          <w:type w:val="bbPlcHdr"/>
        </w:types>
        <w:behaviors>
          <w:behavior w:val="content"/>
        </w:behaviors>
        <w:guid w:val="{E9341F95-024B-4139-9935-A755CAD1A9C6}"/>
      </w:docPartPr>
      <w:docPartBody>
        <w:p w:rsidR="00A628C2" w:rsidRDefault="00A628C2" w:rsidP="00A628C2">
          <w:pPr>
            <w:pStyle w:val="0A9162C00D934F47B5B17EAF2B4AD564"/>
          </w:pPr>
          <w:r w:rsidRPr="009A239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onet (W1)">
    <w:panose1 w:val="00000000000000000000"/>
    <w:charset w:val="00"/>
    <w:family w:val="script"/>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C2"/>
    <w:rsid w:val="003C3B9E"/>
    <w:rsid w:val="004C1C0B"/>
    <w:rsid w:val="006A5AE7"/>
    <w:rsid w:val="008E075B"/>
    <w:rsid w:val="00995F54"/>
    <w:rsid w:val="00A628C2"/>
    <w:rsid w:val="00A9076A"/>
    <w:rsid w:val="00D605AF"/>
    <w:rsid w:val="00F77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8C2"/>
    <w:rPr>
      <w:color w:val="808080"/>
    </w:rPr>
  </w:style>
  <w:style w:type="paragraph" w:customStyle="1" w:styleId="B879840EE04648CD9A10911E4CC427A3">
    <w:name w:val="B879840EE04648CD9A10911E4CC427A3"/>
    <w:rsid w:val="00A628C2"/>
  </w:style>
  <w:style w:type="paragraph" w:customStyle="1" w:styleId="E5E5286AD1824DC898FEE7E068B3DF84">
    <w:name w:val="E5E5286AD1824DC898FEE7E068B3DF84"/>
    <w:rsid w:val="00A628C2"/>
  </w:style>
  <w:style w:type="paragraph" w:customStyle="1" w:styleId="0A9162C00D934F47B5B17EAF2B4AD564">
    <w:name w:val="0A9162C00D934F47B5B17EAF2B4AD564"/>
    <w:rsid w:val="00A62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BA3B89A-E848-4C8E-B193-AFDA0827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12414</Words>
  <Characters>74590</Characters>
  <Application>Microsoft Office Word</Application>
  <DocSecurity>0</DocSecurity>
  <Lines>621</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86831</CharactersWithSpaces>
  <SharedDoc>false</SharedDoc>
  <HLinks>
    <vt:vector size="114" baseType="variant">
      <vt:variant>
        <vt:i4>1245234</vt:i4>
      </vt:variant>
      <vt:variant>
        <vt:i4>110</vt:i4>
      </vt:variant>
      <vt:variant>
        <vt:i4>0</vt:i4>
      </vt:variant>
      <vt:variant>
        <vt:i4>5</vt:i4>
      </vt:variant>
      <vt:variant>
        <vt:lpwstr/>
      </vt:variant>
      <vt:variant>
        <vt:lpwstr>_Toc518467966</vt:lpwstr>
      </vt:variant>
      <vt:variant>
        <vt:i4>1245234</vt:i4>
      </vt:variant>
      <vt:variant>
        <vt:i4>104</vt:i4>
      </vt:variant>
      <vt:variant>
        <vt:i4>0</vt:i4>
      </vt:variant>
      <vt:variant>
        <vt:i4>5</vt:i4>
      </vt:variant>
      <vt:variant>
        <vt:lpwstr/>
      </vt:variant>
      <vt:variant>
        <vt:lpwstr>_Toc518467965</vt:lpwstr>
      </vt:variant>
      <vt:variant>
        <vt:i4>1245234</vt:i4>
      </vt:variant>
      <vt:variant>
        <vt:i4>98</vt:i4>
      </vt:variant>
      <vt:variant>
        <vt:i4>0</vt:i4>
      </vt:variant>
      <vt:variant>
        <vt:i4>5</vt:i4>
      </vt:variant>
      <vt:variant>
        <vt:lpwstr/>
      </vt:variant>
      <vt:variant>
        <vt:lpwstr>_Toc518467964</vt:lpwstr>
      </vt:variant>
      <vt:variant>
        <vt:i4>1245234</vt:i4>
      </vt:variant>
      <vt:variant>
        <vt:i4>92</vt:i4>
      </vt:variant>
      <vt:variant>
        <vt:i4>0</vt:i4>
      </vt:variant>
      <vt:variant>
        <vt:i4>5</vt:i4>
      </vt:variant>
      <vt:variant>
        <vt:lpwstr/>
      </vt:variant>
      <vt:variant>
        <vt:lpwstr>_Toc518467963</vt:lpwstr>
      </vt:variant>
      <vt:variant>
        <vt:i4>1245234</vt:i4>
      </vt:variant>
      <vt:variant>
        <vt:i4>86</vt:i4>
      </vt:variant>
      <vt:variant>
        <vt:i4>0</vt:i4>
      </vt:variant>
      <vt:variant>
        <vt:i4>5</vt:i4>
      </vt:variant>
      <vt:variant>
        <vt:lpwstr/>
      </vt:variant>
      <vt:variant>
        <vt:lpwstr>_Toc518467962</vt:lpwstr>
      </vt:variant>
      <vt:variant>
        <vt:i4>1245234</vt:i4>
      </vt:variant>
      <vt:variant>
        <vt:i4>80</vt:i4>
      </vt:variant>
      <vt:variant>
        <vt:i4>0</vt:i4>
      </vt:variant>
      <vt:variant>
        <vt:i4>5</vt:i4>
      </vt:variant>
      <vt:variant>
        <vt:lpwstr/>
      </vt:variant>
      <vt:variant>
        <vt:lpwstr>_Toc518467961</vt:lpwstr>
      </vt:variant>
      <vt:variant>
        <vt:i4>1245234</vt:i4>
      </vt:variant>
      <vt:variant>
        <vt:i4>74</vt:i4>
      </vt:variant>
      <vt:variant>
        <vt:i4>0</vt:i4>
      </vt:variant>
      <vt:variant>
        <vt:i4>5</vt:i4>
      </vt:variant>
      <vt:variant>
        <vt:lpwstr/>
      </vt:variant>
      <vt:variant>
        <vt:lpwstr>_Toc518467960</vt:lpwstr>
      </vt:variant>
      <vt:variant>
        <vt:i4>1048626</vt:i4>
      </vt:variant>
      <vt:variant>
        <vt:i4>68</vt:i4>
      </vt:variant>
      <vt:variant>
        <vt:i4>0</vt:i4>
      </vt:variant>
      <vt:variant>
        <vt:i4>5</vt:i4>
      </vt:variant>
      <vt:variant>
        <vt:lpwstr/>
      </vt:variant>
      <vt:variant>
        <vt:lpwstr>_Toc518467959</vt:lpwstr>
      </vt:variant>
      <vt:variant>
        <vt:i4>1048626</vt:i4>
      </vt:variant>
      <vt:variant>
        <vt:i4>62</vt:i4>
      </vt:variant>
      <vt:variant>
        <vt:i4>0</vt:i4>
      </vt:variant>
      <vt:variant>
        <vt:i4>5</vt:i4>
      </vt:variant>
      <vt:variant>
        <vt:lpwstr/>
      </vt:variant>
      <vt:variant>
        <vt:lpwstr>_Toc518467958</vt:lpwstr>
      </vt:variant>
      <vt:variant>
        <vt:i4>1048626</vt:i4>
      </vt:variant>
      <vt:variant>
        <vt:i4>56</vt:i4>
      </vt:variant>
      <vt:variant>
        <vt:i4>0</vt:i4>
      </vt:variant>
      <vt:variant>
        <vt:i4>5</vt:i4>
      </vt:variant>
      <vt:variant>
        <vt:lpwstr/>
      </vt:variant>
      <vt:variant>
        <vt:lpwstr>_Toc518467957</vt:lpwstr>
      </vt:variant>
      <vt:variant>
        <vt:i4>1048626</vt:i4>
      </vt:variant>
      <vt:variant>
        <vt:i4>50</vt:i4>
      </vt:variant>
      <vt:variant>
        <vt:i4>0</vt:i4>
      </vt:variant>
      <vt:variant>
        <vt:i4>5</vt:i4>
      </vt:variant>
      <vt:variant>
        <vt:lpwstr/>
      </vt:variant>
      <vt:variant>
        <vt:lpwstr>_Toc518467956</vt:lpwstr>
      </vt:variant>
      <vt:variant>
        <vt:i4>1048626</vt:i4>
      </vt:variant>
      <vt:variant>
        <vt:i4>44</vt:i4>
      </vt:variant>
      <vt:variant>
        <vt:i4>0</vt:i4>
      </vt:variant>
      <vt:variant>
        <vt:i4>5</vt:i4>
      </vt:variant>
      <vt:variant>
        <vt:lpwstr/>
      </vt:variant>
      <vt:variant>
        <vt:lpwstr>_Toc518467955</vt:lpwstr>
      </vt:variant>
      <vt:variant>
        <vt:i4>1048626</vt:i4>
      </vt:variant>
      <vt:variant>
        <vt:i4>38</vt:i4>
      </vt:variant>
      <vt:variant>
        <vt:i4>0</vt:i4>
      </vt:variant>
      <vt:variant>
        <vt:i4>5</vt:i4>
      </vt:variant>
      <vt:variant>
        <vt:lpwstr/>
      </vt:variant>
      <vt:variant>
        <vt:lpwstr>_Toc518467954</vt:lpwstr>
      </vt:variant>
      <vt:variant>
        <vt:i4>1048626</vt:i4>
      </vt:variant>
      <vt:variant>
        <vt:i4>32</vt:i4>
      </vt:variant>
      <vt:variant>
        <vt:i4>0</vt:i4>
      </vt:variant>
      <vt:variant>
        <vt:i4>5</vt:i4>
      </vt:variant>
      <vt:variant>
        <vt:lpwstr/>
      </vt:variant>
      <vt:variant>
        <vt:lpwstr>_Toc518467953</vt:lpwstr>
      </vt:variant>
      <vt:variant>
        <vt:i4>1048626</vt:i4>
      </vt:variant>
      <vt:variant>
        <vt:i4>26</vt:i4>
      </vt:variant>
      <vt:variant>
        <vt:i4>0</vt:i4>
      </vt:variant>
      <vt:variant>
        <vt:i4>5</vt:i4>
      </vt:variant>
      <vt:variant>
        <vt:lpwstr/>
      </vt:variant>
      <vt:variant>
        <vt:lpwstr>_Toc518467952</vt:lpwstr>
      </vt:variant>
      <vt:variant>
        <vt:i4>1048626</vt:i4>
      </vt:variant>
      <vt:variant>
        <vt:i4>20</vt:i4>
      </vt:variant>
      <vt:variant>
        <vt:i4>0</vt:i4>
      </vt:variant>
      <vt:variant>
        <vt:i4>5</vt:i4>
      </vt:variant>
      <vt:variant>
        <vt:lpwstr/>
      </vt:variant>
      <vt:variant>
        <vt:lpwstr>_Toc518467951</vt:lpwstr>
      </vt:variant>
      <vt:variant>
        <vt:i4>1048626</vt:i4>
      </vt:variant>
      <vt:variant>
        <vt:i4>14</vt:i4>
      </vt:variant>
      <vt:variant>
        <vt:i4>0</vt:i4>
      </vt:variant>
      <vt:variant>
        <vt:i4>5</vt:i4>
      </vt:variant>
      <vt:variant>
        <vt:lpwstr/>
      </vt:variant>
      <vt:variant>
        <vt:lpwstr>_Toc518467950</vt:lpwstr>
      </vt:variant>
      <vt:variant>
        <vt:i4>1114162</vt:i4>
      </vt:variant>
      <vt:variant>
        <vt:i4>8</vt:i4>
      </vt:variant>
      <vt:variant>
        <vt:i4>0</vt:i4>
      </vt:variant>
      <vt:variant>
        <vt:i4>5</vt:i4>
      </vt:variant>
      <vt:variant>
        <vt:lpwstr/>
      </vt:variant>
      <vt:variant>
        <vt:lpwstr>_Toc518467949</vt:lpwstr>
      </vt:variant>
      <vt:variant>
        <vt:i4>1114162</vt:i4>
      </vt:variant>
      <vt:variant>
        <vt:i4>2</vt:i4>
      </vt:variant>
      <vt:variant>
        <vt:i4>0</vt:i4>
      </vt:variant>
      <vt:variant>
        <vt:i4>5</vt:i4>
      </vt:variant>
      <vt:variant>
        <vt:lpwstr/>
      </vt:variant>
      <vt:variant>
        <vt:lpwstr>_Toc518467948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2013-11-13T03:50:00Z</cp:lastPrinted>
  <dcterms:created xsi:type="dcterms:W3CDTF">2018-09-17T00:27:00Z</dcterms:created>
  <dcterms:modified xsi:type="dcterms:W3CDTF">2018-09-17T01:03:00Z</dcterms:modified>
</cp:coreProperties>
</file>