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77F9" w14:textId="77777777" w:rsidR="00B671A4" w:rsidRPr="00EF1E43" w:rsidRDefault="00B671A4" w:rsidP="00374F41">
      <w:pPr>
        <w:pStyle w:val="Heading2"/>
        <w:keepNext w:val="0"/>
        <w:keepLines w:val="0"/>
        <w:rPr>
          <w:sz w:val="24"/>
          <w:szCs w:val="24"/>
        </w:rPr>
      </w:pPr>
      <w:bookmarkStart w:id="0" w:name="_Toc415563752"/>
      <w:bookmarkStart w:id="1" w:name="_Toc135294606"/>
      <w:bookmarkStart w:id="2" w:name="_GoBack"/>
      <w:bookmarkEnd w:id="2"/>
      <w:r w:rsidRPr="00EF1E43">
        <w:rPr>
          <w:sz w:val="24"/>
          <w:szCs w:val="24"/>
        </w:rPr>
        <w:t>APPENDICES</w:t>
      </w:r>
      <w:bookmarkEnd w:id="0"/>
      <w:bookmarkEnd w:id="1"/>
    </w:p>
    <w:p w14:paraId="7DA04A78" w14:textId="77777777" w:rsidR="00B671A4" w:rsidRPr="00EF1E43" w:rsidRDefault="00B671A4" w:rsidP="00374F41">
      <w:pPr>
        <w:pStyle w:val="Heading2"/>
        <w:keepNext w:val="0"/>
        <w:keepLines w:val="0"/>
        <w:rPr>
          <w:sz w:val="24"/>
          <w:szCs w:val="24"/>
        </w:rPr>
      </w:pPr>
      <w:bookmarkStart w:id="3" w:name="_Toc415563753"/>
      <w:bookmarkStart w:id="4" w:name="_Toc135294607"/>
      <w:bookmarkStart w:id="5" w:name="_Toc399854326"/>
      <w:r w:rsidRPr="00EF1E43">
        <w:rPr>
          <w:sz w:val="24"/>
          <w:szCs w:val="24"/>
        </w:rPr>
        <w:t>APPENDIX A:</w:t>
      </w:r>
      <w:bookmarkEnd w:id="3"/>
      <w:bookmarkEnd w:id="4"/>
      <w:r w:rsidRPr="00EF1E43">
        <w:rPr>
          <w:sz w:val="24"/>
          <w:szCs w:val="24"/>
        </w:rPr>
        <w:t xml:space="preserve"> </w:t>
      </w:r>
      <w:bookmarkEnd w:id="5"/>
    </w:p>
    <w:tbl>
      <w:tblPr>
        <w:tblW w:w="8250" w:type="dxa"/>
        <w:tblLayout w:type="fixed"/>
        <w:tblCellMar>
          <w:left w:w="30" w:type="dxa"/>
          <w:right w:w="30" w:type="dxa"/>
        </w:tblCellMar>
        <w:tblLook w:val="0000" w:firstRow="0" w:lastRow="0" w:firstColumn="0" w:lastColumn="0" w:noHBand="0" w:noVBand="0"/>
      </w:tblPr>
      <w:tblGrid>
        <w:gridCol w:w="8250"/>
      </w:tblGrid>
      <w:tr w:rsidR="00B671A4" w:rsidRPr="00EF1E43" w14:paraId="0A5E6D7F" w14:textId="77777777" w:rsidTr="032D082D">
        <w:trPr>
          <w:cantSplit/>
          <w:trHeight w:val="851"/>
        </w:trPr>
        <w:tc>
          <w:tcPr>
            <w:tcW w:w="8250" w:type="dxa"/>
            <w:vAlign w:val="center"/>
          </w:tcPr>
          <w:p w14:paraId="3CC91CB0" w14:textId="0EA18755" w:rsidR="00B671A4" w:rsidRPr="00EF1E43" w:rsidRDefault="00B671A4" w:rsidP="00374F41">
            <w:pPr>
              <w:pStyle w:val="Heading2"/>
              <w:keepNext w:val="0"/>
              <w:keepLines w:val="0"/>
              <w:rPr>
                <w:sz w:val="24"/>
                <w:szCs w:val="24"/>
              </w:rPr>
            </w:pPr>
            <w:bookmarkStart w:id="6" w:name="_Toc415563754"/>
            <w:bookmarkStart w:id="7" w:name="_Toc135294608"/>
            <w:r w:rsidRPr="032D082D">
              <w:rPr>
                <w:sz w:val="24"/>
                <w:szCs w:val="24"/>
              </w:rPr>
              <w:t>TABLE 1 MATERIAL BEFORE THE RMA</w:t>
            </w:r>
            <w:bookmarkEnd w:id="6"/>
            <w:r w:rsidR="00657AB0">
              <w:rPr>
                <w:sz w:val="24"/>
                <w:szCs w:val="24"/>
              </w:rPr>
              <w:t>,</w:t>
            </w:r>
            <w:r w:rsidR="52870B33" w:rsidRPr="032D082D">
              <w:rPr>
                <w:sz w:val="24"/>
                <w:szCs w:val="24"/>
              </w:rPr>
              <w:t xml:space="preserve"> </w:t>
            </w:r>
            <w:r w:rsidR="00F800EE">
              <w:rPr>
                <w:sz w:val="24"/>
                <w:szCs w:val="24"/>
              </w:rPr>
              <w:t>AS ADVISED BY THE RMA</w:t>
            </w:r>
            <w:bookmarkEnd w:id="7"/>
          </w:p>
        </w:tc>
      </w:tr>
    </w:tbl>
    <w:p w14:paraId="639B67A4" w14:textId="77777777" w:rsidR="00B671A4" w:rsidRPr="00EF1E43" w:rsidRDefault="00B671A4" w:rsidP="00374F41">
      <w:pPr>
        <w:rPr>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5"/>
        <w:gridCol w:w="7371"/>
      </w:tblGrid>
      <w:tr w:rsidR="00EF1E43" w:rsidRPr="00EF1E43" w14:paraId="1EE53D9A" w14:textId="77777777" w:rsidTr="00CC61F1">
        <w:trPr>
          <w:cantSplit/>
        </w:trPr>
        <w:tc>
          <w:tcPr>
            <w:tcW w:w="1555" w:type="dxa"/>
            <w:shd w:val="clear" w:color="auto" w:fill="FFFFFF" w:themeFill="background1"/>
            <w:noWrap/>
            <w:vAlign w:val="center"/>
          </w:tcPr>
          <w:p w14:paraId="5BE3FBDB" w14:textId="77777777" w:rsidR="00FF0F9B" w:rsidRPr="00EF1E43" w:rsidRDefault="00FF0F9B" w:rsidP="00374F41">
            <w:pPr>
              <w:jc w:val="center"/>
              <w:rPr>
                <w:b/>
                <w:sz w:val="24"/>
              </w:rPr>
            </w:pPr>
          </w:p>
          <w:p w14:paraId="5441F55F" w14:textId="77777777" w:rsidR="00FF0F9B" w:rsidRPr="00EF1E43" w:rsidRDefault="00FF0F9B" w:rsidP="00374F41">
            <w:pPr>
              <w:jc w:val="center"/>
              <w:rPr>
                <w:sz w:val="24"/>
              </w:rPr>
            </w:pPr>
            <w:r w:rsidRPr="00EF1E43">
              <w:rPr>
                <w:b/>
                <w:sz w:val="24"/>
              </w:rPr>
              <w:t>RMA ID</w:t>
            </w:r>
          </w:p>
        </w:tc>
        <w:tc>
          <w:tcPr>
            <w:tcW w:w="7371" w:type="dxa"/>
            <w:shd w:val="clear" w:color="auto" w:fill="FFFFFF" w:themeFill="background1"/>
            <w:vAlign w:val="center"/>
          </w:tcPr>
          <w:p w14:paraId="016F1E2C" w14:textId="77777777" w:rsidR="00FF0F9B" w:rsidRPr="00EF1E43" w:rsidRDefault="00FF0F9B" w:rsidP="00374F41">
            <w:pPr>
              <w:rPr>
                <w:sz w:val="24"/>
              </w:rPr>
            </w:pPr>
            <w:r w:rsidRPr="00EF1E43">
              <w:rPr>
                <w:b/>
                <w:sz w:val="24"/>
              </w:rPr>
              <w:t>Title</w:t>
            </w:r>
          </w:p>
        </w:tc>
      </w:tr>
      <w:tr w:rsidR="00EF1E43" w:rsidRPr="00EF1E43" w14:paraId="63915FF0" w14:textId="77777777" w:rsidTr="00CC61F1">
        <w:trPr>
          <w:cantSplit/>
        </w:trPr>
        <w:tc>
          <w:tcPr>
            <w:tcW w:w="1555" w:type="dxa"/>
            <w:shd w:val="clear" w:color="auto" w:fill="FFFFFF" w:themeFill="background1"/>
            <w:noWrap/>
            <w:vAlign w:val="center"/>
            <w:hideMark/>
          </w:tcPr>
          <w:p w14:paraId="5B78F897" w14:textId="77777777" w:rsidR="00FF0F9B" w:rsidRPr="00EF1E43" w:rsidRDefault="00FF0F9B" w:rsidP="00374F41">
            <w:pPr>
              <w:jc w:val="center"/>
              <w:rPr>
                <w:sz w:val="24"/>
              </w:rPr>
            </w:pPr>
            <w:r w:rsidRPr="00EF1E43">
              <w:rPr>
                <w:sz w:val="24"/>
              </w:rPr>
              <w:t>9190</w:t>
            </w:r>
          </w:p>
        </w:tc>
        <w:tc>
          <w:tcPr>
            <w:tcW w:w="7371" w:type="dxa"/>
            <w:shd w:val="clear" w:color="auto" w:fill="FFFFFF" w:themeFill="background1"/>
            <w:vAlign w:val="center"/>
            <w:hideMark/>
          </w:tcPr>
          <w:p w14:paraId="4AE58E50" w14:textId="77777777" w:rsidR="00FF0F9B" w:rsidRPr="00EF1E43" w:rsidRDefault="00FF0F9B" w:rsidP="00374F41">
            <w:pPr>
              <w:rPr>
                <w:sz w:val="24"/>
              </w:rPr>
            </w:pPr>
            <w:r w:rsidRPr="00EF1E43">
              <w:rPr>
                <w:sz w:val="24"/>
              </w:rPr>
              <w:t>Adams EE, Brues AM (1980). Breast cancer in female radium dial workers first employed before 1930. J Occup Med, 22(9): 583-7.</w:t>
            </w:r>
          </w:p>
        </w:tc>
      </w:tr>
      <w:tr w:rsidR="00EF1E43" w:rsidRPr="00EF1E43" w14:paraId="40EBA109" w14:textId="77777777" w:rsidTr="00CC61F1">
        <w:trPr>
          <w:cantSplit/>
        </w:trPr>
        <w:tc>
          <w:tcPr>
            <w:tcW w:w="1555" w:type="dxa"/>
            <w:shd w:val="clear" w:color="auto" w:fill="FFFFFF" w:themeFill="background1"/>
            <w:noWrap/>
            <w:vAlign w:val="center"/>
            <w:hideMark/>
          </w:tcPr>
          <w:p w14:paraId="5B1A61F6" w14:textId="77777777" w:rsidR="00FF0F9B" w:rsidRPr="00EF1E43" w:rsidRDefault="00FF0F9B" w:rsidP="00374F41">
            <w:pPr>
              <w:jc w:val="center"/>
              <w:rPr>
                <w:sz w:val="24"/>
              </w:rPr>
            </w:pPr>
            <w:r w:rsidRPr="00EF1E43">
              <w:rPr>
                <w:sz w:val="24"/>
              </w:rPr>
              <w:t>37177</w:t>
            </w:r>
          </w:p>
        </w:tc>
        <w:tc>
          <w:tcPr>
            <w:tcW w:w="7371" w:type="dxa"/>
            <w:shd w:val="clear" w:color="auto" w:fill="FFFFFF" w:themeFill="background1"/>
            <w:vAlign w:val="center"/>
            <w:hideMark/>
          </w:tcPr>
          <w:p w14:paraId="1E2D0A2A" w14:textId="77777777" w:rsidR="00FF0F9B" w:rsidRPr="00EF1E43" w:rsidRDefault="00FF0F9B" w:rsidP="00374F41">
            <w:pPr>
              <w:rPr>
                <w:sz w:val="24"/>
              </w:rPr>
            </w:pPr>
            <w:r w:rsidRPr="00EF1E43">
              <w:rPr>
                <w:sz w:val="24"/>
              </w:rPr>
              <w:t>Adams-Campbell LL, Rosenberg L, Rao RS, et al (2001). Strenuous physical activity and breast cancer risk in African-American women. J Natl Med Assoc, 93(7-8): 267-75.</w:t>
            </w:r>
          </w:p>
        </w:tc>
      </w:tr>
      <w:tr w:rsidR="00EF1E43" w:rsidRPr="00EF1E43" w14:paraId="087F8016" w14:textId="77777777" w:rsidTr="00CC61F1">
        <w:trPr>
          <w:cantSplit/>
        </w:trPr>
        <w:tc>
          <w:tcPr>
            <w:tcW w:w="1555" w:type="dxa"/>
            <w:shd w:val="clear" w:color="auto" w:fill="FFFFFF" w:themeFill="background1"/>
            <w:noWrap/>
            <w:vAlign w:val="center"/>
            <w:hideMark/>
          </w:tcPr>
          <w:p w14:paraId="2A8D9D74" w14:textId="77777777" w:rsidR="00FF0F9B" w:rsidRPr="00EF1E43" w:rsidRDefault="00FF0F9B" w:rsidP="00374F41">
            <w:pPr>
              <w:jc w:val="center"/>
              <w:rPr>
                <w:sz w:val="24"/>
              </w:rPr>
            </w:pPr>
            <w:r w:rsidRPr="00EF1E43">
              <w:rPr>
                <w:sz w:val="24"/>
              </w:rPr>
              <w:t>38261</w:t>
            </w:r>
          </w:p>
        </w:tc>
        <w:tc>
          <w:tcPr>
            <w:tcW w:w="7371" w:type="dxa"/>
            <w:shd w:val="clear" w:color="auto" w:fill="FFFFFF" w:themeFill="background1"/>
            <w:vAlign w:val="center"/>
            <w:hideMark/>
          </w:tcPr>
          <w:p w14:paraId="15DE340C" w14:textId="77777777" w:rsidR="00FF0F9B" w:rsidRPr="00EF1E43" w:rsidRDefault="00FF0F9B" w:rsidP="00374F41">
            <w:pPr>
              <w:rPr>
                <w:sz w:val="24"/>
              </w:rPr>
            </w:pPr>
            <w:r w:rsidRPr="00EF1E43">
              <w:rPr>
                <w:sz w:val="24"/>
              </w:rPr>
              <w:t>Adebamowo CA, Hu FB, Cho E, et al (2005). Dietary patterns and the risk of breast cancer. Ann Epidemiol, 15(10): 789-95.</w:t>
            </w:r>
          </w:p>
        </w:tc>
      </w:tr>
      <w:tr w:rsidR="00EF1E43" w:rsidRPr="00EF1E43" w14:paraId="336D7B39" w14:textId="77777777" w:rsidTr="00CC61F1">
        <w:trPr>
          <w:cantSplit/>
        </w:trPr>
        <w:tc>
          <w:tcPr>
            <w:tcW w:w="1555" w:type="dxa"/>
            <w:shd w:val="clear" w:color="auto" w:fill="FFFFFF" w:themeFill="background1"/>
            <w:noWrap/>
            <w:vAlign w:val="center"/>
            <w:hideMark/>
          </w:tcPr>
          <w:p w14:paraId="1E6189A9" w14:textId="77777777" w:rsidR="00FF0F9B" w:rsidRPr="00EF1E43" w:rsidRDefault="00FF0F9B" w:rsidP="00374F41">
            <w:pPr>
              <w:jc w:val="center"/>
              <w:rPr>
                <w:sz w:val="24"/>
              </w:rPr>
            </w:pPr>
            <w:r w:rsidRPr="00EF1E43">
              <w:rPr>
                <w:sz w:val="24"/>
              </w:rPr>
              <w:t>36922</w:t>
            </w:r>
          </w:p>
        </w:tc>
        <w:tc>
          <w:tcPr>
            <w:tcW w:w="7371" w:type="dxa"/>
            <w:shd w:val="clear" w:color="auto" w:fill="FFFFFF" w:themeFill="background1"/>
            <w:vAlign w:val="center"/>
            <w:hideMark/>
          </w:tcPr>
          <w:p w14:paraId="1EEADEAE" w14:textId="77777777" w:rsidR="00FF0F9B" w:rsidRPr="00EF1E43" w:rsidRDefault="00FF0F9B" w:rsidP="00374F41">
            <w:pPr>
              <w:rPr>
                <w:sz w:val="24"/>
              </w:rPr>
            </w:pPr>
            <w:r w:rsidRPr="00EF1E43">
              <w:rPr>
                <w:sz w:val="24"/>
              </w:rPr>
              <w:t>Adebamowo CA, Ogundiran TO, Adenipekun AA, et al (2003). Obesity and height in urban Nigerian women with breast cancer. Ann Epidemiol, 13(6): 455-61.</w:t>
            </w:r>
          </w:p>
        </w:tc>
      </w:tr>
      <w:tr w:rsidR="00EF1E43" w:rsidRPr="00EF1E43" w14:paraId="291EA260" w14:textId="77777777" w:rsidTr="00CC61F1">
        <w:trPr>
          <w:cantSplit/>
        </w:trPr>
        <w:tc>
          <w:tcPr>
            <w:tcW w:w="1555" w:type="dxa"/>
            <w:shd w:val="clear" w:color="auto" w:fill="FFFFFF" w:themeFill="background1"/>
            <w:noWrap/>
            <w:vAlign w:val="center"/>
            <w:hideMark/>
          </w:tcPr>
          <w:p w14:paraId="0A1D1486" w14:textId="77777777" w:rsidR="00FF0F9B" w:rsidRPr="00EF1E43" w:rsidRDefault="00FF0F9B" w:rsidP="00374F41">
            <w:pPr>
              <w:jc w:val="center"/>
              <w:rPr>
                <w:sz w:val="24"/>
              </w:rPr>
            </w:pPr>
            <w:r w:rsidRPr="00EF1E43">
              <w:rPr>
                <w:sz w:val="24"/>
              </w:rPr>
              <w:t>35586</w:t>
            </w:r>
          </w:p>
        </w:tc>
        <w:tc>
          <w:tcPr>
            <w:tcW w:w="7371" w:type="dxa"/>
            <w:shd w:val="clear" w:color="auto" w:fill="FFFFFF" w:themeFill="background1"/>
            <w:vAlign w:val="center"/>
            <w:hideMark/>
          </w:tcPr>
          <w:p w14:paraId="18A911DA" w14:textId="77777777" w:rsidR="00FF0F9B" w:rsidRPr="00EF1E43" w:rsidRDefault="00FF0F9B" w:rsidP="00374F41">
            <w:pPr>
              <w:rPr>
                <w:sz w:val="24"/>
              </w:rPr>
            </w:pPr>
            <w:r w:rsidRPr="00EF1E43">
              <w:rPr>
                <w:sz w:val="24"/>
              </w:rPr>
              <w:t>Adjadj E, Rubino C, Shamsaldim A, et al (2003). The risk of multiple primary breast and thyroid carcinomas. Cancer, 98(6): 1309-17.</w:t>
            </w:r>
          </w:p>
        </w:tc>
      </w:tr>
      <w:tr w:rsidR="00EF1E43" w:rsidRPr="00EF1E43" w14:paraId="16FB4367" w14:textId="77777777" w:rsidTr="00CC61F1">
        <w:trPr>
          <w:cantSplit/>
        </w:trPr>
        <w:tc>
          <w:tcPr>
            <w:tcW w:w="1555" w:type="dxa"/>
            <w:shd w:val="clear" w:color="auto" w:fill="FFFFFF" w:themeFill="background1"/>
            <w:noWrap/>
            <w:vAlign w:val="center"/>
            <w:hideMark/>
          </w:tcPr>
          <w:p w14:paraId="17480FF9" w14:textId="77777777" w:rsidR="00FF0F9B" w:rsidRPr="00EF1E43" w:rsidRDefault="00FF0F9B" w:rsidP="00374F41">
            <w:pPr>
              <w:jc w:val="center"/>
              <w:rPr>
                <w:sz w:val="24"/>
              </w:rPr>
            </w:pPr>
            <w:r w:rsidRPr="00EF1E43">
              <w:rPr>
                <w:sz w:val="24"/>
              </w:rPr>
              <w:t>80967</w:t>
            </w:r>
          </w:p>
        </w:tc>
        <w:tc>
          <w:tcPr>
            <w:tcW w:w="7371" w:type="dxa"/>
            <w:shd w:val="clear" w:color="auto" w:fill="FFFFFF" w:themeFill="background1"/>
            <w:vAlign w:val="center"/>
            <w:hideMark/>
          </w:tcPr>
          <w:p w14:paraId="429987CB" w14:textId="77777777" w:rsidR="00FF0F9B" w:rsidRPr="00EF1E43" w:rsidRDefault="00FF0F9B" w:rsidP="00374F41">
            <w:pPr>
              <w:rPr>
                <w:sz w:val="24"/>
              </w:rPr>
            </w:pPr>
            <w:r w:rsidRPr="00EF1E43">
              <w:rPr>
                <w:sz w:val="24"/>
              </w:rPr>
              <w:t>Administrative Appeals Tribunal of Australia (2015). Mahoney and Repatriation Commission [2015] AATA 379 (29 May 2015). Retrieved 15 March 2017, from http://www.austlii.edu.au/au/cases/cth/AATA/2015/379.html</w:t>
            </w:r>
          </w:p>
        </w:tc>
      </w:tr>
      <w:tr w:rsidR="00EF1E43" w:rsidRPr="00EF1E43" w14:paraId="4F35DAD8" w14:textId="77777777" w:rsidTr="00CC61F1">
        <w:trPr>
          <w:cantSplit/>
        </w:trPr>
        <w:tc>
          <w:tcPr>
            <w:tcW w:w="1555" w:type="dxa"/>
            <w:shd w:val="clear" w:color="auto" w:fill="FFFFFF" w:themeFill="background1"/>
            <w:noWrap/>
            <w:vAlign w:val="center"/>
            <w:hideMark/>
          </w:tcPr>
          <w:p w14:paraId="405572ED" w14:textId="77777777" w:rsidR="00FF0F9B" w:rsidRPr="00EF1E43" w:rsidRDefault="00FF0F9B" w:rsidP="00374F41">
            <w:pPr>
              <w:jc w:val="center"/>
              <w:rPr>
                <w:sz w:val="24"/>
              </w:rPr>
            </w:pPr>
            <w:r w:rsidRPr="00EF1E43">
              <w:rPr>
                <w:sz w:val="24"/>
              </w:rPr>
              <w:t>56678</w:t>
            </w:r>
          </w:p>
        </w:tc>
        <w:tc>
          <w:tcPr>
            <w:tcW w:w="7371" w:type="dxa"/>
            <w:shd w:val="clear" w:color="auto" w:fill="FFFFFF" w:themeFill="background1"/>
            <w:vAlign w:val="center"/>
            <w:hideMark/>
          </w:tcPr>
          <w:p w14:paraId="2926C3E4" w14:textId="77777777" w:rsidR="00FF0F9B" w:rsidRPr="00EF1E43" w:rsidRDefault="00FF0F9B" w:rsidP="00374F41">
            <w:pPr>
              <w:rPr>
                <w:sz w:val="24"/>
              </w:rPr>
            </w:pPr>
            <w:r w:rsidRPr="00EF1E43">
              <w:rPr>
                <w:sz w:val="24"/>
              </w:rPr>
              <w:t>Agency for Toxic Substances and Disease Registry (1992). Toxicological Profile for Nitrophenols: 2-Nitrophenol, 4-Nitrophenol. U.S Department of Health and Human Services.</w:t>
            </w:r>
          </w:p>
        </w:tc>
      </w:tr>
      <w:tr w:rsidR="00EF1E43" w:rsidRPr="00EF1E43" w14:paraId="6381ABB5" w14:textId="77777777" w:rsidTr="00CC61F1">
        <w:trPr>
          <w:cantSplit/>
        </w:trPr>
        <w:tc>
          <w:tcPr>
            <w:tcW w:w="1555" w:type="dxa"/>
            <w:shd w:val="clear" w:color="auto" w:fill="FFFFFF" w:themeFill="background1"/>
            <w:noWrap/>
            <w:vAlign w:val="center"/>
            <w:hideMark/>
          </w:tcPr>
          <w:p w14:paraId="60196237" w14:textId="77777777" w:rsidR="00FF0F9B" w:rsidRPr="00EF1E43" w:rsidRDefault="00FF0F9B" w:rsidP="00374F41">
            <w:pPr>
              <w:jc w:val="center"/>
              <w:rPr>
                <w:sz w:val="24"/>
              </w:rPr>
            </w:pPr>
            <w:r w:rsidRPr="00EF1E43">
              <w:rPr>
                <w:sz w:val="24"/>
              </w:rPr>
              <w:t>71467</w:t>
            </w:r>
          </w:p>
        </w:tc>
        <w:tc>
          <w:tcPr>
            <w:tcW w:w="7371" w:type="dxa"/>
            <w:shd w:val="clear" w:color="auto" w:fill="FFFFFF" w:themeFill="background1"/>
            <w:vAlign w:val="center"/>
            <w:hideMark/>
          </w:tcPr>
          <w:p w14:paraId="48D9B857" w14:textId="77777777" w:rsidR="00FF0F9B" w:rsidRPr="00EF1E43" w:rsidRDefault="00FF0F9B" w:rsidP="00374F41">
            <w:pPr>
              <w:rPr>
                <w:sz w:val="24"/>
              </w:rPr>
            </w:pPr>
            <w:r w:rsidRPr="00EF1E43">
              <w:rPr>
                <w:sz w:val="24"/>
              </w:rPr>
              <w:t>Ahern TP, Lash TL, Sorensen HT, et al (2008). Digoxin treatment is associated with an increased incidence of breast cancer: a population-based case-control study. Breast Cancer Res, 10(6): R102.</w:t>
            </w:r>
          </w:p>
        </w:tc>
      </w:tr>
      <w:tr w:rsidR="00EF1E43" w:rsidRPr="00EF1E43" w14:paraId="44832A3F" w14:textId="77777777" w:rsidTr="00CC61F1">
        <w:trPr>
          <w:cantSplit/>
        </w:trPr>
        <w:tc>
          <w:tcPr>
            <w:tcW w:w="1555" w:type="dxa"/>
            <w:shd w:val="clear" w:color="auto" w:fill="FFFFFF" w:themeFill="background1"/>
            <w:noWrap/>
            <w:vAlign w:val="center"/>
            <w:hideMark/>
          </w:tcPr>
          <w:p w14:paraId="00A53140" w14:textId="77777777" w:rsidR="00FF0F9B" w:rsidRPr="00EF1E43" w:rsidRDefault="00FF0F9B" w:rsidP="00374F41">
            <w:pPr>
              <w:jc w:val="center"/>
              <w:rPr>
                <w:sz w:val="24"/>
              </w:rPr>
            </w:pPr>
            <w:r w:rsidRPr="00EF1E43">
              <w:rPr>
                <w:sz w:val="24"/>
              </w:rPr>
              <w:t>4774</w:t>
            </w:r>
          </w:p>
        </w:tc>
        <w:tc>
          <w:tcPr>
            <w:tcW w:w="7371" w:type="dxa"/>
            <w:shd w:val="clear" w:color="auto" w:fill="FFFFFF" w:themeFill="background1"/>
            <w:vAlign w:val="center"/>
            <w:hideMark/>
          </w:tcPr>
          <w:p w14:paraId="5C5F0657" w14:textId="77777777" w:rsidR="00FF0F9B" w:rsidRPr="00EF1E43" w:rsidRDefault="00FF0F9B" w:rsidP="00374F41">
            <w:pPr>
              <w:rPr>
                <w:sz w:val="24"/>
              </w:rPr>
            </w:pPr>
            <w:r w:rsidRPr="00EF1E43">
              <w:rPr>
                <w:sz w:val="24"/>
              </w:rPr>
              <w:t>Ahlborg UG, Lipworth L, Titus-Ernstoff L, et al (1995). Organochlorine compounds in relation to breast cancer, endometrial cancer, and endometriosis: an assessment of the biological and epidemiological evidence. Crit Rev Toxicol, 25(6): 463-531.</w:t>
            </w:r>
          </w:p>
        </w:tc>
      </w:tr>
      <w:tr w:rsidR="00EF1E43" w:rsidRPr="00EF1E43" w14:paraId="77149F49" w14:textId="77777777" w:rsidTr="00CC61F1">
        <w:trPr>
          <w:cantSplit/>
        </w:trPr>
        <w:tc>
          <w:tcPr>
            <w:tcW w:w="1555" w:type="dxa"/>
            <w:shd w:val="clear" w:color="auto" w:fill="FFFFFF" w:themeFill="background1"/>
            <w:noWrap/>
            <w:vAlign w:val="center"/>
            <w:hideMark/>
          </w:tcPr>
          <w:p w14:paraId="76F894BD" w14:textId="77777777" w:rsidR="00FF0F9B" w:rsidRPr="00EF1E43" w:rsidRDefault="00FF0F9B" w:rsidP="00374F41">
            <w:pPr>
              <w:jc w:val="center"/>
              <w:rPr>
                <w:sz w:val="24"/>
              </w:rPr>
            </w:pPr>
            <w:r w:rsidRPr="00EF1E43">
              <w:rPr>
                <w:sz w:val="24"/>
              </w:rPr>
              <w:t>37532</w:t>
            </w:r>
          </w:p>
        </w:tc>
        <w:tc>
          <w:tcPr>
            <w:tcW w:w="7371" w:type="dxa"/>
            <w:shd w:val="clear" w:color="auto" w:fill="FFFFFF" w:themeFill="background1"/>
            <w:vAlign w:val="center"/>
            <w:hideMark/>
          </w:tcPr>
          <w:p w14:paraId="396F1F68" w14:textId="77777777" w:rsidR="00FF0F9B" w:rsidRPr="00EF1E43" w:rsidRDefault="00FF0F9B" w:rsidP="00374F41">
            <w:pPr>
              <w:rPr>
                <w:sz w:val="24"/>
              </w:rPr>
            </w:pPr>
            <w:r w:rsidRPr="00EF1E43">
              <w:rPr>
                <w:sz w:val="24"/>
              </w:rPr>
              <w:t>Ainsworth BE, Sternfeld B, Slattery ML, et al (1998). Physical activity and breast cancer: evaluation of physical activity assessment methods. Cancer, 83(Suppl 3): 611-20.</w:t>
            </w:r>
          </w:p>
        </w:tc>
      </w:tr>
      <w:tr w:rsidR="00EF1E43" w:rsidRPr="00EF1E43" w14:paraId="2F451C78" w14:textId="77777777" w:rsidTr="00CC61F1">
        <w:trPr>
          <w:cantSplit/>
        </w:trPr>
        <w:tc>
          <w:tcPr>
            <w:tcW w:w="1555" w:type="dxa"/>
            <w:shd w:val="clear" w:color="auto" w:fill="FFFFFF" w:themeFill="background1"/>
            <w:noWrap/>
            <w:vAlign w:val="center"/>
            <w:hideMark/>
          </w:tcPr>
          <w:p w14:paraId="6D2FB0CC" w14:textId="77777777" w:rsidR="00FF0F9B" w:rsidRPr="00EF1E43" w:rsidRDefault="00FF0F9B" w:rsidP="00374F41">
            <w:pPr>
              <w:jc w:val="center"/>
              <w:rPr>
                <w:sz w:val="24"/>
              </w:rPr>
            </w:pPr>
            <w:r w:rsidRPr="00EF1E43">
              <w:rPr>
                <w:sz w:val="24"/>
              </w:rPr>
              <w:t>35585</w:t>
            </w:r>
          </w:p>
        </w:tc>
        <w:tc>
          <w:tcPr>
            <w:tcW w:w="7371" w:type="dxa"/>
            <w:shd w:val="clear" w:color="auto" w:fill="FFFFFF" w:themeFill="background1"/>
            <w:vAlign w:val="center"/>
            <w:hideMark/>
          </w:tcPr>
          <w:p w14:paraId="599E76EC" w14:textId="77777777" w:rsidR="00FF0F9B" w:rsidRPr="00EF1E43" w:rsidRDefault="00FF0F9B" w:rsidP="00374F41">
            <w:pPr>
              <w:rPr>
                <w:sz w:val="24"/>
              </w:rPr>
            </w:pPr>
            <w:r w:rsidRPr="00EF1E43">
              <w:rPr>
                <w:sz w:val="24"/>
              </w:rPr>
              <w:t>Aisenberg AC, Finkelstein DM, Doppke KP, et al (1997). High risk of breast carcinoma after irradiation of young women with Hodgkin's disease. Cancer, 79(6): 1203-10.</w:t>
            </w:r>
          </w:p>
        </w:tc>
      </w:tr>
      <w:tr w:rsidR="00EF1E43" w:rsidRPr="00EF1E43" w14:paraId="16F75221" w14:textId="77777777" w:rsidTr="00CC61F1">
        <w:trPr>
          <w:cantSplit/>
        </w:trPr>
        <w:tc>
          <w:tcPr>
            <w:tcW w:w="1555" w:type="dxa"/>
            <w:shd w:val="clear" w:color="auto" w:fill="FFFFFF" w:themeFill="background1"/>
            <w:noWrap/>
            <w:vAlign w:val="center"/>
            <w:hideMark/>
          </w:tcPr>
          <w:p w14:paraId="0961EE2E" w14:textId="77777777" w:rsidR="00FF0F9B" w:rsidRPr="00EF1E43" w:rsidRDefault="00FF0F9B" w:rsidP="00374F41">
            <w:pPr>
              <w:jc w:val="center"/>
              <w:rPr>
                <w:sz w:val="24"/>
              </w:rPr>
            </w:pPr>
            <w:r w:rsidRPr="00EF1E43">
              <w:rPr>
                <w:sz w:val="24"/>
              </w:rPr>
              <w:t>45751</w:t>
            </w:r>
          </w:p>
        </w:tc>
        <w:tc>
          <w:tcPr>
            <w:tcW w:w="7371" w:type="dxa"/>
            <w:shd w:val="clear" w:color="auto" w:fill="FFFFFF" w:themeFill="background1"/>
            <w:vAlign w:val="center"/>
            <w:hideMark/>
          </w:tcPr>
          <w:p w14:paraId="0CFB123C" w14:textId="77777777" w:rsidR="00FF0F9B" w:rsidRPr="00EF1E43" w:rsidRDefault="00FF0F9B" w:rsidP="00374F41">
            <w:pPr>
              <w:rPr>
                <w:sz w:val="24"/>
              </w:rPr>
            </w:pPr>
            <w:r w:rsidRPr="00EF1E43">
              <w:rPr>
                <w:sz w:val="24"/>
              </w:rPr>
              <w:t>Alavanja MC, Bonner MR (2005). Pesticides and human cancers. Cancer Invest, 23(8): 700-11.</w:t>
            </w:r>
          </w:p>
        </w:tc>
      </w:tr>
      <w:tr w:rsidR="00EF1E43" w:rsidRPr="00EF1E43" w14:paraId="7FEDA1CF" w14:textId="77777777" w:rsidTr="00CC61F1">
        <w:trPr>
          <w:cantSplit/>
        </w:trPr>
        <w:tc>
          <w:tcPr>
            <w:tcW w:w="1555" w:type="dxa"/>
            <w:shd w:val="clear" w:color="auto" w:fill="FFFFFF" w:themeFill="background1"/>
            <w:noWrap/>
            <w:vAlign w:val="center"/>
            <w:hideMark/>
          </w:tcPr>
          <w:p w14:paraId="291676A9" w14:textId="77777777" w:rsidR="00FF0F9B" w:rsidRPr="00EF1E43" w:rsidRDefault="00FF0F9B" w:rsidP="00374F41">
            <w:pPr>
              <w:jc w:val="center"/>
              <w:rPr>
                <w:sz w:val="24"/>
              </w:rPr>
            </w:pPr>
            <w:r w:rsidRPr="00EF1E43">
              <w:rPr>
                <w:sz w:val="24"/>
              </w:rPr>
              <w:t>70256</w:t>
            </w:r>
          </w:p>
        </w:tc>
        <w:tc>
          <w:tcPr>
            <w:tcW w:w="7371" w:type="dxa"/>
            <w:shd w:val="clear" w:color="auto" w:fill="FFFFFF" w:themeFill="background1"/>
            <w:vAlign w:val="center"/>
            <w:hideMark/>
          </w:tcPr>
          <w:p w14:paraId="5DD2ED7C" w14:textId="77777777" w:rsidR="00FF0F9B" w:rsidRPr="00EF1E43" w:rsidRDefault="00FF0F9B" w:rsidP="00374F41">
            <w:pPr>
              <w:rPr>
                <w:sz w:val="24"/>
              </w:rPr>
            </w:pPr>
            <w:r w:rsidRPr="00EF1E43">
              <w:rPr>
                <w:sz w:val="24"/>
              </w:rPr>
              <w:t>Alavanja MC, Ross MK, Bonner MR (2013). Increased cancer burden among pesticide applicators and others due to pesticide exposure. CA Cancer J Clin, 63(2): 120-42.</w:t>
            </w:r>
          </w:p>
        </w:tc>
      </w:tr>
      <w:tr w:rsidR="00EF1E43" w:rsidRPr="00EF1E43" w14:paraId="0137A132" w14:textId="77777777" w:rsidTr="00CC61F1">
        <w:trPr>
          <w:cantSplit/>
        </w:trPr>
        <w:tc>
          <w:tcPr>
            <w:tcW w:w="1555" w:type="dxa"/>
            <w:shd w:val="clear" w:color="auto" w:fill="FFFFFF" w:themeFill="background1"/>
            <w:noWrap/>
            <w:vAlign w:val="center"/>
            <w:hideMark/>
          </w:tcPr>
          <w:p w14:paraId="5A657463" w14:textId="77777777" w:rsidR="00FF0F9B" w:rsidRPr="00EF1E43" w:rsidRDefault="00FF0F9B" w:rsidP="00374F41">
            <w:pPr>
              <w:jc w:val="center"/>
              <w:rPr>
                <w:sz w:val="24"/>
              </w:rPr>
            </w:pPr>
            <w:r w:rsidRPr="00EF1E43">
              <w:rPr>
                <w:sz w:val="24"/>
              </w:rPr>
              <w:lastRenderedPageBreak/>
              <w:t>35623</w:t>
            </w:r>
          </w:p>
        </w:tc>
        <w:tc>
          <w:tcPr>
            <w:tcW w:w="7371" w:type="dxa"/>
            <w:shd w:val="clear" w:color="auto" w:fill="FFFFFF" w:themeFill="background1"/>
            <w:vAlign w:val="center"/>
            <w:hideMark/>
          </w:tcPr>
          <w:p w14:paraId="012EF347" w14:textId="77777777" w:rsidR="00FF0F9B" w:rsidRPr="00EF1E43" w:rsidRDefault="00FF0F9B" w:rsidP="00374F41">
            <w:pPr>
              <w:rPr>
                <w:sz w:val="24"/>
              </w:rPr>
            </w:pPr>
            <w:r w:rsidRPr="00EF1E43">
              <w:rPr>
                <w:sz w:val="24"/>
              </w:rPr>
              <w:t>Albrektsen G, Heuch I, Hansen S, et al (2005). Breast cancer risk by age at birth, time since birth and time intervals between births: exploring interaction effects. Br J Cancer, 92(1): 167-75.</w:t>
            </w:r>
          </w:p>
        </w:tc>
      </w:tr>
      <w:tr w:rsidR="00EF1E43" w:rsidRPr="00EF1E43" w14:paraId="0121980B" w14:textId="77777777" w:rsidTr="00CC61F1">
        <w:trPr>
          <w:cantSplit/>
        </w:trPr>
        <w:tc>
          <w:tcPr>
            <w:tcW w:w="1555" w:type="dxa"/>
            <w:shd w:val="clear" w:color="auto" w:fill="FFFFFF" w:themeFill="background1"/>
            <w:noWrap/>
            <w:vAlign w:val="center"/>
            <w:hideMark/>
          </w:tcPr>
          <w:p w14:paraId="4E2FA9B2" w14:textId="77777777" w:rsidR="00FF0F9B" w:rsidRPr="00EF1E43" w:rsidRDefault="00FF0F9B" w:rsidP="00374F41">
            <w:pPr>
              <w:jc w:val="center"/>
              <w:rPr>
                <w:sz w:val="24"/>
              </w:rPr>
            </w:pPr>
            <w:r w:rsidRPr="00EF1E43">
              <w:rPr>
                <w:sz w:val="24"/>
              </w:rPr>
              <w:t>9192</w:t>
            </w:r>
          </w:p>
        </w:tc>
        <w:tc>
          <w:tcPr>
            <w:tcW w:w="7371" w:type="dxa"/>
            <w:shd w:val="clear" w:color="auto" w:fill="FFFFFF" w:themeFill="background1"/>
            <w:vAlign w:val="center"/>
            <w:hideMark/>
          </w:tcPr>
          <w:p w14:paraId="158DEF4A" w14:textId="77777777" w:rsidR="00FF0F9B" w:rsidRPr="00EF1E43" w:rsidRDefault="00FF0F9B" w:rsidP="00374F41">
            <w:pPr>
              <w:rPr>
                <w:sz w:val="24"/>
              </w:rPr>
            </w:pPr>
            <w:r w:rsidRPr="00EF1E43">
              <w:rPr>
                <w:sz w:val="24"/>
              </w:rPr>
              <w:t>Albrektsen G, Heuch I, Tretli S, et al (1994). Breast cancer incidence before age 55 in relation to parity and age at first and last births: a prospective study of one million Norwegian women. Epidemiology, 5(6): 604-11.</w:t>
            </w:r>
          </w:p>
        </w:tc>
      </w:tr>
      <w:tr w:rsidR="00EF1E43" w:rsidRPr="00EF1E43" w14:paraId="376EFB80" w14:textId="77777777" w:rsidTr="00CC61F1">
        <w:trPr>
          <w:cantSplit/>
        </w:trPr>
        <w:tc>
          <w:tcPr>
            <w:tcW w:w="1555" w:type="dxa"/>
            <w:shd w:val="clear" w:color="auto" w:fill="FFFFFF" w:themeFill="background1"/>
            <w:noWrap/>
            <w:vAlign w:val="center"/>
            <w:hideMark/>
          </w:tcPr>
          <w:p w14:paraId="00D28D48" w14:textId="77777777" w:rsidR="00FF0F9B" w:rsidRPr="00EF1E43" w:rsidRDefault="00FF0F9B" w:rsidP="00374F41">
            <w:pPr>
              <w:jc w:val="center"/>
              <w:rPr>
                <w:sz w:val="24"/>
              </w:rPr>
            </w:pPr>
            <w:r w:rsidRPr="00EF1E43">
              <w:rPr>
                <w:sz w:val="24"/>
              </w:rPr>
              <w:t>71468</w:t>
            </w:r>
          </w:p>
        </w:tc>
        <w:tc>
          <w:tcPr>
            <w:tcW w:w="7371" w:type="dxa"/>
            <w:shd w:val="clear" w:color="auto" w:fill="FFFFFF" w:themeFill="background1"/>
            <w:vAlign w:val="center"/>
            <w:hideMark/>
          </w:tcPr>
          <w:p w14:paraId="2882A7E0" w14:textId="77777777" w:rsidR="00FF0F9B" w:rsidRPr="00EF1E43" w:rsidRDefault="00FF0F9B" w:rsidP="00374F41">
            <w:pPr>
              <w:rPr>
                <w:sz w:val="24"/>
              </w:rPr>
            </w:pPr>
            <w:r w:rsidRPr="00EF1E43">
              <w:rPr>
                <w:sz w:val="24"/>
              </w:rPr>
              <w:t>Albuquerque RC, Baltar VT, Marchioni DM (2014). Breast cancer and dietary patterns: a systematic review. Nutr Rev, 72(1): 1-17.</w:t>
            </w:r>
          </w:p>
        </w:tc>
      </w:tr>
      <w:tr w:rsidR="00EF1E43" w:rsidRPr="00EF1E43" w14:paraId="01D365E5" w14:textId="77777777" w:rsidTr="00CC61F1">
        <w:trPr>
          <w:cantSplit/>
        </w:trPr>
        <w:tc>
          <w:tcPr>
            <w:tcW w:w="1555" w:type="dxa"/>
            <w:shd w:val="clear" w:color="auto" w:fill="FFFFFF" w:themeFill="background1"/>
            <w:noWrap/>
            <w:vAlign w:val="center"/>
            <w:hideMark/>
          </w:tcPr>
          <w:p w14:paraId="37B334C1" w14:textId="77777777" w:rsidR="00FF0F9B" w:rsidRPr="00EF1E43" w:rsidRDefault="00FF0F9B" w:rsidP="00374F41">
            <w:pPr>
              <w:jc w:val="center"/>
              <w:rPr>
                <w:sz w:val="24"/>
              </w:rPr>
            </w:pPr>
            <w:r w:rsidRPr="00EF1E43">
              <w:rPr>
                <w:sz w:val="24"/>
              </w:rPr>
              <w:t>35686</w:t>
            </w:r>
          </w:p>
        </w:tc>
        <w:tc>
          <w:tcPr>
            <w:tcW w:w="7371" w:type="dxa"/>
            <w:shd w:val="clear" w:color="auto" w:fill="FFFFFF" w:themeFill="background1"/>
            <w:vAlign w:val="center"/>
            <w:hideMark/>
          </w:tcPr>
          <w:p w14:paraId="70FBAAC6" w14:textId="77777777" w:rsidR="00FF0F9B" w:rsidRPr="00EF1E43" w:rsidRDefault="00FF0F9B" w:rsidP="00374F41">
            <w:pPr>
              <w:rPr>
                <w:sz w:val="24"/>
              </w:rPr>
            </w:pPr>
            <w:r w:rsidRPr="00EF1E43">
              <w:rPr>
                <w:sz w:val="24"/>
              </w:rPr>
              <w:t>Al-Delaimy WK, Cho E, Chen WY, et al (2004). A prospective study of smoking and risk of breast cancer in young adult women. Cancer Epidemiol Biomarkers Prev, 13(3): 398-404.</w:t>
            </w:r>
          </w:p>
        </w:tc>
      </w:tr>
      <w:tr w:rsidR="00EF1E43" w:rsidRPr="00EF1E43" w14:paraId="6EDAFCDA" w14:textId="77777777" w:rsidTr="00CC61F1">
        <w:trPr>
          <w:cantSplit/>
        </w:trPr>
        <w:tc>
          <w:tcPr>
            <w:tcW w:w="1555" w:type="dxa"/>
            <w:shd w:val="clear" w:color="auto" w:fill="FFFFFF" w:themeFill="background1"/>
            <w:noWrap/>
            <w:vAlign w:val="center"/>
            <w:hideMark/>
          </w:tcPr>
          <w:p w14:paraId="25F8AE53" w14:textId="77777777" w:rsidR="00FF0F9B" w:rsidRPr="00EF1E43" w:rsidRDefault="00FF0F9B" w:rsidP="00374F41">
            <w:pPr>
              <w:jc w:val="center"/>
              <w:rPr>
                <w:sz w:val="24"/>
              </w:rPr>
            </w:pPr>
            <w:r w:rsidRPr="00EF1E43">
              <w:rPr>
                <w:sz w:val="24"/>
              </w:rPr>
              <w:t>71469</w:t>
            </w:r>
          </w:p>
        </w:tc>
        <w:tc>
          <w:tcPr>
            <w:tcW w:w="7371" w:type="dxa"/>
            <w:shd w:val="clear" w:color="auto" w:fill="FFFFFF" w:themeFill="background1"/>
            <w:vAlign w:val="center"/>
            <w:hideMark/>
          </w:tcPr>
          <w:p w14:paraId="50447F78" w14:textId="77777777" w:rsidR="00FF0F9B" w:rsidRPr="00EF1E43" w:rsidRDefault="00FF0F9B" w:rsidP="00374F41">
            <w:pPr>
              <w:rPr>
                <w:sz w:val="24"/>
              </w:rPr>
            </w:pPr>
            <w:r w:rsidRPr="00EF1E43">
              <w:rPr>
                <w:sz w:val="24"/>
              </w:rPr>
              <w:t>Alegre MM, Knowles MH, Robison RA, et al (2013). Mechanics behind breast cancer prevention - focus on obesity, exercise and dietary fat. Asian Pac J Cancer Prev, 14(4): 2207-12.</w:t>
            </w:r>
          </w:p>
        </w:tc>
      </w:tr>
      <w:tr w:rsidR="00EF1E43" w:rsidRPr="00EF1E43" w14:paraId="4CA1299A" w14:textId="77777777" w:rsidTr="00CC61F1">
        <w:trPr>
          <w:cantSplit/>
        </w:trPr>
        <w:tc>
          <w:tcPr>
            <w:tcW w:w="1555" w:type="dxa"/>
            <w:shd w:val="clear" w:color="auto" w:fill="FFFFFF" w:themeFill="background1"/>
            <w:noWrap/>
            <w:vAlign w:val="center"/>
            <w:hideMark/>
          </w:tcPr>
          <w:p w14:paraId="6223245D" w14:textId="77777777" w:rsidR="00FF0F9B" w:rsidRPr="00EF1E43" w:rsidRDefault="00FF0F9B" w:rsidP="00374F41">
            <w:pPr>
              <w:jc w:val="center"/>
              <w:rPr>
                <w:sz w:val="24"/>
              </w:rPr>
            </w:pPr>
            <w:r w:rsidRPr="00EF1E43">
              <w:rPr>
                <w:sz w:val="24"/>
              </w:rPr>
              <w:t>71470</w:t>
            </w:r>
          </w:p>
        </w:tc>
        <w:tc>
          <w:tcPr>
            <w:tcW w:w="7371" w:type="dxa"/>
            <w:shd w:val="clear" w:color="auto" w:fill="FFFFFF" w:themeFill="background1"/>
            <w:vAlign w:val="center"/>
            <w:hideMark/>
          </w:tcPr>
          <w:p w14:paraId="7936F6A6" w14:textId="77777777" w:rsidR="00FF0F9B" w:rsidRPr="00EF1E43" w:rsidRDefault="00FF0F9B" w:rsidP="00374F41">
            <w:pPr>
              <w:rPr>
                <w:sz w:val="24"/>
              </w:rPr>
            </w:pPr>
            <w:r w:rsidRPr="00EF1E43">
              <w:rPr>
                <w:sz w:val="24"/>
              </w:rPr>
              <w:t>Alexander DD, Morimoto LM, Mink PJ, et al (2010). A review and meta-analysis of red and processed meat consumption and breast cancer. Nutr Res Rev, 23(2): 349-65.</w:t>
            </w:r>
          </w:p>
        </w:tc>
      </w:tr>
      <w:tr w:rsidR="00EF1E43" w:rsidRPr="00EF1E43" w14:paraId="53239B91" w14:textId="77777777" w:rsidTr="00CC61F1">
        <w:trPr>
          <w:cantSplit/>
        </w:trPr>
        <w:tc>
          <w:tcPr>
            <w:tcW w:w="1555" w:type="dxa"/>
            <w:shd w:val="clear" w:color="auto" w:fill="FFFFFF" w:themeFill="background1"/>
            <w:noWrap/>
            <w:vAlign w:val="center"/>
            <w:hideMark/>
          </w:tcPr>
          <w:p w14:paraId="5DC5D6FB" w14:textId="77777777" w:rsidR="00FF0F9B" w:rsidRPr="00EF1E43" w:rsidRDefault="00FF0F9B" w:rsidP="00374F41">
            <w:pPr>
              <w:jc w:val="center"/>
              <w:rPr>
                <w:sz w:val="24"/>
              </w:rPr>
            </w:pPr>
            <w:r w:rsidRPr="00EF1E43">
              <w:rPr>
                <w:sz w:val="24"/>
              </w:rPr>
              <w:t>35739</w:t>
            </w:r>
          </w:p>
        </w:tc>
        <w:tc>
          <w:tcPr>
            <w:tcW w:w="7371" w:type="dxa"/>
            <w:shd w:val="clear" w:color="auto" w:fill="FFFFFF" w:themeFill="background1"/>
            <w:vAlign w:val="center"/>
            <w:hideMark/>
          </w:tcPr>
          <w:p w14:paraId="09D53374" w14:textId="77777777" w:rsidR="00FF0F9B" w:rsidRPr="00EF1E43" w:rsidRDefault="00FF0F9B" w:rsidP="00374F41">
            <w:pPr>
              <w:rPr>
                <w:sz w:val="24"/>
              </w:rPr>
            </w:pPr>
            <w:r w:rsidRPr="00EF1E43">
              <w:rPr>
                <w:sz w:val="24"/>
              </w:rPr>
              <w:t>Althuis MD, Brogan DD, Coates RJ, et al (2003). Breast cancers among very young premenopausal women (United States). Cancer Causes Control, 14(2): 151-60.</w:t>
            </w:r>
          </w:p>
        </w:tc>
      </w:tr>
      <w:tr w:rsidR="00EF1E43" w:rsidRPr="00EF1E43" w14:paraId="184857DA" w14:textId="77777777" w:rsidTr="00CC61F1">
        <w:trPr>
          <w:cantSplit/>
        </w:trPr>
        <w:tc>
          <w:tcPr>
            <w:tcW w:w="1555" w:type="dxa"/>
            <w:shd w:val="clear" w:color="auto" w:fill="FFFFFF" w:themeFill="background1"/>
            <w:noWrap/>
            <w:vAlign w:val="center"/>
            <w:hideMark/>
          </w:tcPr>
          <w:p w14:paraId="1813ECE2" w14:textId="77777777" w:rsidR="00FF0F9B" w:rsidRPr="00EF1E43" w:rsidRDefault="00FF0F9B" w:rsidP="00374F41">
            <w:pPr>
              <w:jc w:val="center"/>
              <w:rPr>
                <w:sz w:val="24"/>
              </w:rPr>
            </w:pPr>
            <w:r w:rsidRPr="00EF1E43">
              <w:rPr>
                <w:sz w:val="24"/>
              </w:rPr>
              <w:t>35741</w:t>
            </w:r>
          </w:p>
        </w:tc>
        <w:tc>
          <w:tcPr>
            <w:tcW w:w="7371" w:type="dxa"/>
            <w:shd w:val="clear" w:color="auto" w:fill="FFFFFF" w:themeFill="background1"/>
            <w:vAlign w:val="center"/>
            <w:hideMark/>
          </w:tcPr>
          <w:p w14:paraId="4F736075" w14:textId="77777777" w:rsidR="00FF0F9B" w:rsidRPr="00EF1E43" w:rsidRDefault="00FF0F9B" w:rsidP="00374F41">
            <w:pPr>
              <w:rPr>
                <w:sz w:val="24"/>
              </w:rPr>
            </w:pPr>
            <w:r w:rsidRPr="00EF1E43">
              <w:rPr>
                <w:sz w:val="24"/>
              </w:rPr>
              <w:t>Althuis MD, Brogan DR, Coates RJ, et al (2003). Hormonal content and potency of oral contraceptives and breast cancer risk among young women. Br J Cancer, 88(1): 50-7.</w:t>
            </w:r>
          </w:p>
        </w:tc>
      </w:tr>
      <w:tr w:rsidR="00EF1E43" w:rsidRPr="00EF1E43" w14:paraId="44813183" w14:textId="77777777" w:rsidTr="00CC61F1">
        <w:trPr>
          <w:cantSplit/>
        </w:trPr>
        <w:tc>
          <w:tcPr>
            <w:tcW w:w="1555" w:type="dxa"/>
            <w:shd w:val="clear" w:color="auto" w:fill="FFFFFF" w:themeFill="background1"/>
            <w:noWrap/>
            <w:vAlign w:val="center"/>
            <w:hideMark/>
          </w:tcPr>
          <w:p w14:paraId="2A5EF687" w14:textId="77777777" w:rsidR="00FF0F9B" w:rsidRPr="00EF1E43" w:rsidRDefault="00FF0F9B" w:rsidP="00374F41">
            <w:pPr>
              <w:jc w:val="center"/>
              <w:rPr>
                <w:sz w:val="24"/>
              </w:rPr>
            </w:pPr>
            <w:r w:rsidRPr="00EF1E43">
              <w:rPr>
                <w:sz w:val="24"/>
              </w:rPr>
              <w:t>71471</w:t>
            </w:r>
          </w:p>
        </w:tc>
        <w:tc>
          <w:tcPr>
            <w:tcW w:w="7371" w:type="dxa"/>
            <w:shd w:val="clear" w:color="auto" w:fill="FFFFFF" w:themeFill="background1"/>
            <w:vAlign w:val="center"/>
            <w:hideMark/>
          </w:tcPr>
          <w:p w14:paraId="18245297" w14:textId="77777777" w:rsidR="00FF0F9B" w:rsidRPr="00EF1E43" w:rsidRDefault="00FF0F9B" w:rsidP="00374F41">
            <w:pPr>
              <w:rPr>
                <w:sz w:val="24"/>
              </w:rPr>
            </w:pPr>
            <w:r w:rsidRPr="00EF1E43">
              <w:rPr>
                <w:sz w:val="24"/>
              </w:rPr>
              <w:t>Amadou A, Ferrari P, Muwonge R, et al (2013). Overweight, obesity and risk of premenopausal breast cancer according to ethnicity: a systematic review and dose-response meta-analysis. Obes Rev, 14(8): 665-78.</w:t>
            </w:r>
          </w:p>
        </w:tc>
      </w:tr>
      <w:tr w:rsidR="00EF1E43" w:rsidRPr="00EF1E43" w14:paraId="54C46F2B" w14:textId="77777777" w:rsidTr="00CC61F1">
        <w:trPr>
          <w:cantSplit/>
        </w:trPr>
        <w:tc>
          <w:tcPr>
            <w:tcW w:w="1555" w:type="dxa"/>
            <w:shd w:val="clear" w:color="auto" w:fill="FFFFFF" w:themeFill="background1"/>
            <w:noWrap/>
            <w:vAlign w:val="center"/>
            <w:hideMark/>
          </w:tcPr>
          <w:p w14:paraId="2B555372" w14:textId="77777777" w:rsidR="00FF0F9B" w:rsidRPr="00EF1E43" w:rsidRDefault="00FF0F9B" w:rsidP="00374F41">
            <w:pPr>
              <w:jc w:val="center"/>
              <w:rPr>
                <w:sz w:val="24"/>
              </w:rPr>
            </w:pPr>
            <w:r w:rsidRPr="00EF1E43">
              <w:rPr>
                <w:sz w:val="24"/>
              </w:rPr>
              <w:t>9193</w:t>
            </w:r>
          </w:p>
        </w:tc>
        <w:tc>
          <w:tcPr>
            <w:tcW w:w="7371" w:type="dxa"/>
            <w:shd w:val="clear" w:color="auto" w:fill="FFFFFF" w:themeFill="background1"/>
            <w:vAlign w:val="center"/>
            <w:hideMark/>
          </w:tcPr>
          <w:p w14:paraId="036F02A0" w14:textId="77777777" w:rsidR="00FF0F9B" w:rsidRPr="00EF1E43" w:rsidRDefault="00FF0F9B" w:rsidP="00374F41">
            <w:pPr>
              <w:rPr>
                <w:sz w:val="24"/>
              </w:rPr>
            </w:pPr>
            <w:r w:rsidRPr="00EF1E43">
              <w:rPr>
                <w:sz w:val="24"/>
              </w:rPr>
              <w:t>Ambrosone CB, Freudenheim JL, Graham S, et al (1996). Cigarette smoking, N-acetyltransferase 2 genetic polymorphisms, and breast cancer risk. JAMA, 276(18): 1494-501.</w:t>
            </w:r>
          </w:p>
        </w:tc>
      </w:tr>
      <w:tr w:rsidR="00EF1E43" w:rsidRPr="00EF1E43" w14:paraId="57FD3616" w14:textId="77777777" w:rsidTr="00CC61F1">
        <w:trPr>
          <w:cantSplit/>
        </w:trPr>
        <w:tc>
          <w:tcPr>
            <w:tcW w:w="1555" w:type="dxa"/>
            <w:shd w:val="clear" w:color="auto" w:fill="FFFFFF" w:themeFill="background1"/>
            <w:noWrap/>
            <w:vAlign w:val="center"/>
            <w:hideMark/>
          </w:tcPr>
          <w:p w14:paraId="0EE9A38F" w14:textId="77777777" w:rsidR="00FF0F9B" w:rsidRPr="00EF1E43" w:rsidRDefault="00FF0F9B" w:rsidP="00374F41">
            <w:pPr>
              <w:jc w:val="center"/>
              <w:rPr>
                <w:sz w:val="24"/>
              </w:rPr>
            </w:pPr>
            <w:r w:rsidRPr="00EF1E43">
              <w:rPr>
                <w:sz w:val="24"/>
              </w:rPr>
              <w:t>35841</w:t>
            </w:r>
          </w:p>
        </w:tc>
        <w:tc>
          <w:tcPr>
            <w:tcW w:w="7371" w:type="dxa"/>
            <w:shd w:val="clear" w:color="auto" w:fill="FFFFFF" w:themeFill="background1"/>
            <w:vAlign w:val="center"/>
            <w:hideMark/>
          </w:tcPr>
          <w:p w14:paraId="34345DBF" w14:textId="77777777" w:rsidR="00FF0F9B" w:rsidRPr="00EF1E43" w:rsidRDefault="00FF0F9B" w:rsidP="00374F41">
            <w:pPr>
              <w:rPr>
                <w:sz w:val="24"/>
              </w:rPr>
            </w:pPr>
            <w:r w:rsidRPr="00EF1E43">
              <w:rPr>
                <w:sz w:val="24"/>
              </w:rPr>
              <w:t>Amir LH (2000). [Comment] Active and passive cigarette smoking and breast cancer: is a real risk emerging? Med J Aust, 173(7): 391-2.</w:t>
            </w:r>
          </w:p>
        </w:tc>
      </w:tr>
      <w:tr w:rsidR="00EF1E43" w:rsidRPr="00EF1E43" w14:paraId="216015E3" w14:textId="77777777" w:rsidTr="00CC61F1">
        <w:trPr>
          <w:cantSplit/>
        </w:trPr>
        <w:tc>
          <w:tcPr>
            <w:tcW w:w="1555" w:type="dxa"/>
            <w:shd w:val="clear" w:color="auto" w:fill="FFFFFF" w:themeFill="background1"/>
            <w:noWrap/>
            <w:vAlign w:val="center"/>
            <w:hideMark/>
          </w:tcPr>
          <w:p w14:paraId="2810D1B2" w14:textId="77777777" w:rsidR="00FF0F9B" w:rsidRPr="00EF1E43" w:rsidRDefault="00FF0F9B" w:rsidP="00374F41">
            <w:pPr>
              <w:jc w:val="center"/>
              <w:rPr>
                <w:sz w:val="24"/>
              </w:rPr>
            </w:pPr>
            <w:r w:rsidRPr="00EF1E43">
              <w:rPr>
                <w:sz w:val="24"/>
              </w:rPr>
              <w:t>87211</w:t>
            </w:r>
          </w:p>
        </w:tc>
        <w:tc>
          <w:tcPr>
            <w:tcW w:w="7371" w:type="dxa"/>
            <w:shd w:val="clear" w:color="auto" w:fill="FFFFFF" w:themeFill="background1"/>
            <w:vAlign w:val="center"/>
            <w:hideMark/>
          </w:tcPr>
          <w:p w14:paraId="28495C21" w14:textId="77777777" w:rsidR="00FF0F9B" w:rsidRPr="00EF1E43" w:rsidRDefault="00FF0F9B" w:rsidP="00374F41">
            <w:pPr>
              <w:rPr>
                <w:sz w:val="24"/>
              </w:rPr>
            </w:pPr>
            <w:r w:rsidRPr="00EF1E43">
              <w:rPr>
                <w:sz w:val="24"/>
              </w:rPr>
              <w:t>Andersen ZJ, Stafoggia M, Weinmayr G, et al (2017). Long-term exposure to ambient air pollution and incidence of postmenopausal breast cancer in 15 European cohorts within the ESCAPE project. Environ Health Perspect, 125(10): 107005.</w:t>
            </w:r>
          </w:p>
        </w:tc>
      </w:tr>
      <w:tr w:rsidR="00EF1E43" w:rsidRPr="00EF1E43" w14:paraId="465E06E3" w14:textId="77777777" w:rsidTr="00CC61F1">
        <w:trPr>
          <w:cantSplit/>
        </w:trPr>
        <w:tc>
          <w:tcPr>
            <w:tcW w:w="1555" w:type="dxa"/>
            <w:shd w:val="clear" w:color="auto" w:fill="FFFFFF" w:themeFill="background1"/>
            <w:noWrap/>
            <w:vAlign w:val="center"/>
            <w:hideMark/>
          </w:tcPr>
          <w:p w14:paraId="7E346C45" w14:textId="77777777" w:rsidR="00FF0F9B" w:rsidRPr="00EF1E43" w:rsidRDefault="00FF0F9B" w:rsidP="00374F41">
            <w:pPr>
              <w:jc w:val="center"/>
              <w:rPr>
                <w:sz w:val="24"/>
              </w:rPr>
            </w:pPr>
            <w:r w:rsidRPr="00EF1E43">
              <w:rPr>
                <w:sz w:val="24"/>
              </w:rPr>
              <w:t>35661</w:t>
            </w:r>
          </w:p>
        </w:tc>
        <w:tc>
          <w:tcPr>
            <w:tcW w:w="7371" w:type="dxa"/>
            <w:shd w:val="clear" w:color="auto" w:fill="FFFFFF" w:themeFill="background1"/>
            <w:vAlign w:val="center"/>
            <w:hideMark/>
          </w:tcPr>
          <w:p w14:paraId="3C2A85DB" w14:textId="77777777" w:rsidR="00FF0F9B" w:rsidRPr="00EF1E43" w:rsidRDefault="00FF0F9B" w:rsidP="00374F41">
            <w:pPr>
              <w:rPr>
                <w:sz w:val="24"/>
              </w:rPr>
            </w:pPr>
            <w:r w:rsidRPr="00EF1E43">
              <w:rPr>
                <w:sz w:val="24"/>
              </w:rPr>
              <w:t>Anderson GL, Limacher M, Assaf AR, et al (2004). Effects of conjugated equine estrogen in postmenopausal women with hysterectomy. JAMA, 291(14): 1701-12.</w:t>
            </w:r>
          </w:p>
        </w:tc>
      </w:tr>
      <w:tr w:rsidR="00EF1E43" w:rsidRPr="00EF1E43" w14:paraId="4100B5FB" w14:textId="77777777" w:rsidTr="00CC61F1">
        <w:trPr>
          <w:cantSplit/>
        </w:trPr>
        <w:tc>
          <w:tcPr>
            <w:tcW w:w="1555" w:type="dxa"/>
            <w:shd w:val="clear" w:color="auto" w:fill="FFFFFF" w:themeFill="background1"/>
            <w:noWrap/>
            <w:vAlign w:val="center"/>
            <w:hideMark/>
          </w:tcPr>
          <w:p w14:paraId="203B14A0" w14:textId="77777777" w:rsidR="00FF0F9B" w:rsidRPr="00EF1E43" w:rsidRDefault="00FF0F9B" w:rsidP="00374F41">
            <w:pPr>
              <w:jc w:val="center"/>
              <w:rPr>
                <w:sz w:val="24"/>
              </w:rPr>
            </w:pPr>
            <w:r w:rsidRPr="00EF1E43">
              <w:rPr>
                <w:sz w:val="24"/>
              </w:rPr>
              <w:t>71472</w:t>
            </w:r>
          </w:p>
        </w:tc>
        <w:tc>
          <w:tcPr>
            <w:tcW w:w="7371" w:type="dxa"/>
            <w:shd w:val="clear" w:color="auto" w:fill="FFFFFF" w:themeFill="background1"/>
            <w:vAlign w:val="center"/>
            <w:hideMark/>
          </w:tcPr>
          <w:p w14:paraId="1592EFA8" w14:textId="77777777" w:rsidR="00FF0F9B" w:rsidRPr="00EF1E43" w:rsidRDefault="00FF0F9B" w:rsidP="00374F41">
            <w:pPr>
              <w:rPr>
                <w:sz w:val="24"/>
              </w:rPr>
            </w:pPr>
            <w:r w:rsidRPr="00EF1E43">
              <w:rPr>
                <w:sz w:val="24"/>
              </w:rPr>
              <w:t>Anderson GL, Neuhouser ML (2012). Obesity and the risk for premenopausal and postmenopausal breast cancer. Cancer Prev Res (Phila), 5(4): 515-21.</w:t>
            </w:r>
          </w:p>
        </w:tc>
      </w:tr>
      <w:tr w:rsidR="00EF1E43" w:rsidRPr="00EF1E43" w14:paraId="206AA3D5" w14:textId="77777777" w:rsidTr="00CC61F1">
        <w:trPr>
          <w:cantSplit/>
        </w:trPr>
        <w:tc>
          <w:tcPr>
            <w:tcW w:w="1555" w:type="dxa"/>
            <w:shd w:val="clear" w:color="auto" w:fill="FFFFFF" w:themeFill="background1"/>
            <w:noWrap/>
            <w:vAlign w:val="center"/>
            <w:hideMark/>
          </w:tcPr>
          <w:p w14:paraId="53522FA1" w14:textId="77777777" w:rsidR="00FF0F9B" w:rsidRPr="00EF1E43" w:rsidRDefault="00FF0F9B" w:rsidP="00374F41">
            <w:pPr>
              <w:jc w:val="center"/>
              <w:rPr>
                <w:sz w:val="24"/>
              </w:rPr>
            </w:pPr>
            <w:r w:rsidRPr="00EF1E43">
              <w:rPr>
                <w:sz w:val="24"/>
              </w:rPr>
              <w:t>4773</w:t>
            </w:r>
          </w:p>
        </w:tc>
        <w:tc>
          <w:tcPr>
            <w:tcW w:w="7371" w:type="dxa"/>
            <w:shd w:val="clear" w:color="auto" w:fill="FFFFFF" w:themeFill="background1"/>
            <w:vAlign w:val="center"/>
            <w:hideMark/>
          </w:tcPr>
          <w:p w14:paraId="12FA1E57" w14:textId="77777777" w:rsidR="00FF0F9B" w:rsidRPr="00EF1E43" w:rsidRDefault="00FF0F9B" w:rsidP="00374F41">
            <w:pPr>
              <w:rPr>
                <w:sz w:val="24"/>
              </w:rPr>
            </w:pPr>
            <w:r w:rsidRPr="00EF1E43">
              <w:rPr>
                <w:sz w:val="24"/>
              </w:rPr>
              <w:t>Anderson LF (1994). DDT and breast cancer:  the verdict isn't in. J Natl Cancer Inst, 86(8): 576-7.</w:t>
            </w:r>
          </w:p>
        </w:tc>
      </w:tr>
      <w:tr w:rsidR="00EF1E43" w:rsidRPr="00EF1E43" w14:paraId="4EF4F50A" w14:textId="77777777" w:rsidTr="00CC61F1">
        <w:trPr>
          <w:cantSplit/>
        </w:trPr>
        <w:tc>
          <w:tcPr>
            <w:tcW w:w="1555" w:type="dxa"/>
            <w:shd w:val="clear" w:color="auto" w:fill="FFFFFF" w:themeFill="background1"/>
            <w:noWrap/>
            <w:vAlign w:val="center"/>
            <w:hideMark/>
          </w:tcPr>
          <w:p w14:paraId="361BED02" w14:textId="77777777" w:rsidR="00FF0F9B" w:rsidRPr="00EF1E43" w:rsidRDefault="00FF0F9B" w:rsidP="00374F41">
            <w:pPr>
              <w:jc w:val="center"/>
              <w:rPr>
                <w:sz w:val="24"/>
              </w:rPr>
            </w:pPr>
            <w:r w:rsidRPr="00EF1E43">
              <w:rPr>
                <w:sz w:val="24"/>
              </w:rPr>
              <w:t>38265</w:t>
            </w:r>
          </w:p>
        </w:tc>
        <w:tc>
          <w:tcPr>
            <w:tcW w:w="7371" w:type="dxa"/>
            <w:shd w:val="clear" w:color="auto" w:fill="FFFFFF" w:themeFill="background1"/>
            <w:vAlign w:val="center"/>
            <w:hideMark/>
          </w:tcPr>
          <w:p w14:paraId="68603C44" w14:textId="77777777" w:rsidR="00FF0F9B" w:rsidRPr="00EF1E43" w:rsidRDefault="00FF0F9B" w:rsidP="00374F41">
            <w:pPr>
              <w:rPr>
                <w:sz w:val="24"/>
              </w:rPr>
            </w:pPr>
            <w:r w:rsidRPr="00EF1E43">
              <w:rPr>
                <w:sz w:val="24"/>
              </w:rPr>
              <w:t>Anderson WF, Devesa SS (2005). In situ male breast carcinoma in the Surveillance, Epidemiology, and End Results database of the National Cancer Institute. Cancer, 104(8): 1733-41.</w:t>
            </w:r>
          </w:p>
        </w:tc>
      </w:tr>
      <w:tr w:rsidR="00EF1E43" w:rsidRPr="00EF1E43" w14:paraId="3F7686D7" w14:textId="77777777" w:rsidTr="00CC61F1">
        <w:trPr>
          <w:cantSplit/>
        </w:trPr>
        <w:tc>
          <w:tcPr>
            <w:tcW w:w="1555" w:type="dxa"/>
            <w:shd w:val="clear" w:color="auto" w:fill="FFFFFF" w:themeFill="background1"/>
            <w:noWrap/>
            <w:vAlign w:val="center"/>
            <w:hideMark/>
          </w:tcPr>
          <w:p w14:paraId="26694F89" w14:textId="77777777" w:rsidR="00FF0F9B" w:rsidRPr="00EF1E43" w:rsidRDefault="00FF0F9B" w:rsidP="00374F41">
            <w:pPr>
              <w:jc w:val="center"/>
              <w:rPr>
                <w:sz w:val="24"/>
              </w:rPr>
            </w:pPr>
            <w:r w:rsidRPr="00EF1E43">
              <w:rPr>
                <w:sz w:val="24"/>
              </w:rPr>
              <w:lastRenderedPageBreak/>
              <w:t>35736</w:t>
            </w:r>
          </w:p>
        </w:tc>
        <w:tc>
          <w:tcPr>
            <w:tcW w:w="7371" w:type="dxa"/>
            <w:shd w:val="clear" w:color="auto" w:fill="FFFFFF" w:themeFill="background1"/>
            <w:vAlign w:val="center"/>
            <w:hideMark/>
          </w:tcPr>
          <w:p w14:paraId="311CF883" w14:textId="77777777" w:rsidR="00FF0F9B" w:rsidRPr="00EF1E43" w:rsidRDefault="00FF0F9B" w:rsidP="00374F41">
            <w:pPr>
              <w:rPr>
                <w:sz w:val="24"/>
              </w:rPr>
            </w:pPr>
            <w:r w:rsidRPr="00EF1E43">
              <w:rPr>
                <w:sz w:val="24"/>
              </w:rPr>
              <w:t>Anon (2003). Summary Report: Early Reproductive Events and Breast Cancer Workshop. Retrieved 19 July 2005, from www.cancer.gov</w:t>
            </w:r>
          </w:p>
        </w:tc>
      </w:tr>
      <w:tr w:rsidR="00EF1E43" w:rsidRPr="00EF1E43" w14:paraId="38416AAF" w14:textId="77777777" w:rsidTr="00CC61F1">
        <w:trPr>
          <w:cantSplit/>
        </w:trPr>
        <w:tc>
          <w:tcPr>
            <w:tcW w:w="1555" w:type="dxa"/>
            <w:shd w:val="clear" w:color="auto" w:fill="FFFFFF" w:themeFill="background1"/>
            <w:noWrap/>
            <w:vAlign w:val="center"/>
          </w:tcPr>
          <w:p w14:paraId="411FCA5C" w14:textId="77777777" w:rsidR="00FF0F9B" w:rsidRPr="00EF1E43" w:rsidRDefault="00FF0F9B" w:rsidP="00374F41">
            <w:pPr>
              <w:jc w:val="center"/>
              <w:rPr>
                <w:sz w:val="24"/>
              </w:rPr>
            </w:pPr>
            <w:r w:rsidRPr="00EF1E43">
              <w:rPr>
                <w:sz w:val="24"/>
              </w:rPr>
              <w:t>71706</w:t>
            </w:r>
          </w:p>
        </w:tc>
        <w:tc>
          <w:tcPr>
            <w:tcW w:w="7371" w:type="dxa"/>
            <w:shd w:val="clear" w:color="auto" w:fill="FFFFFF" w:themeFill="background1"/>
            <w:vAlign w:val="center"/>
          </w:tcPr>
          <w:p w14:paraId="7BA3069B" w14:textId="77777777" w:rsidR="00FF0F9B" w:rsidRPr="00EF1E43" w:rsidRDefault="00FF0F9B" w:rsidP="00374F41">
            <w:pPr>
              <w:rPr>
                <w:sz w:val="24"/>
              </w:rPr>
            </w:pPr>
            <w:r w:rsidRPr="00EF1E43">
              <w:rPr>
                <w:sz w:val="24"/>
              </w:rPr>
              <w:t>Anon (2009). ACOG Committee Opinion No. 434: induced abortion and breast cancer risk. Obstet Gynecol, 113(6): 1417-8.</w:t>
            </w:r>
          </w:p>
        </w:tc>
      </w:tr>
      <w:tr w:rsidR="00EF1E43" w:rsidRPr="00EF1E43" w14:paraId="30B8B40A" w14:textId="77777777" w:rsidTr="00CC61F1">
        <w:trPr>
          <w:cantSplit/>
        </w:trPr>
        <w:tc>
          <w:tcPr>
            <w:tcW w:w="1555" w:type="dxa"/>
            <w:shd w:val="clear" w:color="auto" w:fill="FFFFFF" w:themeFill="background1"/>
            <w:noWrap/>
            <w:vAlign w:val="center"/>
            <w:hideMark/>
          </w:tcPr>
          <w:p w14:paraId="40A69783" w14:textId="77777777" w:rsidR="00FF0F9B" w:rsidRPr="00EF1E43" w:rsidRDefault="00FF0F9B" w:rsidP="00374F41">
            <w:pPr>
              <w:jc w:val="center"/>
              <w:rPr>
                <w:sz w:val="24"/>
              </w:rPr>
            </w:pPr>
            <w:r w:rsidRPr="00EF1E43">
              <w:rPr>
                <w:sz w:val="24"/>
              </w:rPr>
              <w:t>87300</w:t>
            </w:r>
          </w:p>
        </w:tc>
        <w:tc>
          <w:tcPr>
            <w:tcW w:w="7371" w:type="dxa"/>
            <w:shd w:val="clear" w:color="auto" w:fill="FFFFFF" w:themeFill="background1"/>
            <w:vAlign w:val="center"/>
            <w:hideMark/>
          </w:tcPr>
          <w:p w14:paraId="520F518F" w14:textId="77777777" w:rsidR="00FF0F9B" w:rsidRPr="00EF1E43" w:rsidRDefault="00FF0F9B" w:rsidP="00374F41">
            <w:pPr>
              <w:rPr>
                <w:sz w:val="24"/>
              </w:rPr>
            </w:pPr>
            <w:r w:rsidRPr="00EF1E43">
              <w:rPr>
                <w:sz w:val="24"/>
              </w:rPr>
              <w:t>Anothaisintawee T, Wiratkapun C, Lerdsitthichai P, et al (2013). Risk factors of breast cancer: A systematic review and meta-analysis. Asia Pac J Public Health, 25(5): 368-87.</w:t>
            </w:r>
          </w:p>
        </w:tc>
      </w:tr>
      <w:tr w:rsidR="00EF1E43" w:rsidRPr="00EF1E43" w14:paraId="70897184" w14:textId="77777777" w:rsidTr="00CC61F1">
        <w:trPr>
          <w:cantSplit/>
        </w:trPr>
        <w:tc>
          <w:tcPr>
            <w:tcW w:w="1555" w:type="dxa"/>
            <w:shd w:val="clear" w:color="auto" w:fill="FFFFFF" w:themeFill="background1"/>
            <w:noWrap/>
            <w:vAlign w:val="center"/>
            <w:hideMark/>
          </w:tcPr>
          <w:p w14:paraId="38DFBC59" w14:textId="77777777" w:rsidR="00FF0F9B" w:rsidRPr="00EF1E43" w:rsidRDefault="00FF0F9B" w:rsidP="00374F41">
            <w:pPr>
              <w:jc w:val="center"/>
              <w:rPr>
                <w:sz w:val="24"/>
              </w:rPr>
            </w:pPr>
            <w:r w:rsidRPr="00EF1E43">
              <w:rPr>
                <w:sz w:val="24"/>
              </w:rPr>
              <w:t>71473</w:t>
            </w:r>
          </w:p>
        </w:tc>
        <w:tc>
          <w:tcPr>
            <w:tcW w:w="7371" w:type="dxa"/>
            <w:shd w:val="clear" w:color="auto" w:fill="FFFFFF" w:themeFill="background1"/>
            <w:vAlign w:val="center"/>
            <w:hideMark/>
          </w:tcPr>
          <w:p w14:paraId="7A497E91" w14:textId="77777777" w:rsidR="00FF0F9B" w:rsidRPr="00EF1E43" w:rsidRDefault="00FF0F9B" w:rsidP="00374F41">
            <w:pPr>
              <w:rPr>
                <w:sz w:val="24"/>
              </w:rPr>
            </w:pPr>
            <w:r w:rsidRPr="00EF1E43">
              <w:rPr>
                <w:sz w:val="24"/>
              </w:rPr>
              <w:t>Antonova L, Aronson K, Mueller CR (2011). Stress and breast cancer: from epidemiology to molecular biology. Breast Cancer Res, 13(2): 208.</w:t>
            </w:r>
          </w:p>
        </w:tc>
      </w:tr>
      <w:tr w:rsidR="00EF1E43" w:rsidRPr="00EF1E43" w14:paraId="73730214" w14:textId="77777777" w:rsidTr="00CC61F1">
        <w:trPr>
          <w:cantSplit/>
        </w:trPr>
        <w:tc>
          <w:tcPr>
            <w:tcW w:w="1555" w:type="dxa"/>
            <w:shd w:val="clear" w:color="auto" w:fill="FFFFFF" w:themeFill="background1"/>
            <w:noWrap/>
            <w:vAlign w:val="center"/>
            <w:hideMark/>
          </w:tcPr>
          <w:p w14:paraId="63D4C412" w14:textId="77777777" w:rsidR="00FF0F9B" w:rsidRPr="00EF1E43" w:rsidRDefault="00FF0F9B" w:rsidP="00374F41">
            <w:pPr>
              <w:jc w:val="center"/>
              <w:rPr>
                <w:sz w:val="24"/>
              </w:rPr>
            </w:pPr>
            <w:r w:rsidRPr="00EF1E43">
              <w:rPr>
                <w:sz w:val="24"/>
              </w:rPr>
              <w:t>71474</w:t>
            </w:r>
          </w:p>
        </w:tc>
        <w:tc>
          <w:tcPr>
            <w:tcW w:w="7371" w:type="dxa"/>
            <w:shd w:val="clear" w:color="auto" w:fill="FFFFFF" w:themeFill="background1"/>
            <w:vAlign w:val="center"/>
            <w:hideMark/>
          </w:tcPr>
          <w:p w14:paraId="7472CEC3" w14:textId="77777777" w:rsidR="00FF0F9B" w:rsidRPr="00EF1E43" w:rsidRDefault="00FF0F9B" w:rsidP="00374F41">
            <w:pPr>
              <w:rPr>
                <w:sz w:val="24"/>
              </w:rPr>
            </w:pPr>
            <w:r w:rsidRPr="00EF1E43">
              <w:rPr>
                <w:sz w:val="24"/>
              </w:rPr>
              <w:t>Apostolou P, Fostira F (2013). Hereditary breast cancer: the era of new susceptibility genes. Biomed Res Int, 2013: 747318.</w:t>
            </w:r>
          </w:p>
        </w:tc>
      </w:tr>
      <w:tr w:rsidR="00EF1E43" w:rsidRPr="00EF1E43" w14:paraId="073B9F64" w14:textId="77777777" w:rsidTr="00CC61F1">
        <w:trPr>
          <w:cantSplit/>
        </w:trPr>
        <w:tc>
          <w:tcPr>
            <w:tcW w:w="1555" w:type="dxa"/>
            <w:shd w:val="clear" w:color="auto" w:fill="FFFFFF" w:themeFill="background1"/>
            <w:noWrap/>
            <w:vAlign w:val="center"/>
            <w:hideMark/>
          </w:tcPr>
          <w:p w14:paraId="1E23A132" w14:textId="77777777" w:rsidR="00FF0F9B" w:rsidRPr="00EF1E43" w:rsidRDefault="00FF0F9B" w:rsidP="00374F41">
            <w:pPr>
              <w:jc w:val="center"/>
              <w:rPr>
                <w:sz w:val="24"/>
              </w:rPr>
            </w:pPr>
            <w:r w:rsidRPr="00EF1E43">
              <w:rPr>
                <w:sz w:val="24"/>
              </w:rPr>
              <w:t>87214</w:t>
            </w:r>
          </w:p>
        </w:tc>
        <w:tc>
          <w:tcPr>
            <w:tcW w:w="7371" w:type="dxa"/>
            <w:shd w:val="clear" w:color="auto" w:fill="FFFFFF" w:themeFill="background1"/>
            <w:vAlign w:val="center"/>
            <w:hideMark/>
          </w:tcPr>
          <w:p w14:paraId="57EBAC3E" w14:textId="77777777" w:rsidR="00FF0F9B" w:rsidRPr="00EF1E43" w:rsidRDefault="00FF0F9B" w:rsidP="00374F41">
            <w:pPr>
              <w:rPr>
                <w:sz w:val="24"/>
              </w:rPr>
            </w:pPr>
            <w:r w:rsidRPr="00EF1E43">
              <w:rPr>
                <w:sz w:val="24"/>
              </w:rPr>
              <w:t>Argo J (2010). Chronic diseases and early exposure to airborne mixtures: Part III. Potential origin of pre-menopausal breast cancers. J Expo Sci Environ Epidemiol, 20(2): 147-59.</w:t>
            </w:r>
          </w:p>
        </w:tc>
      </w:tr>
      <w:tr w:rsidR="00EF1E43" w:rsidRPr="00EF1E43" w14:paraId="6D66F2C7" w14:textId="77777777" w:rsidTr="00CC61F1">
        <w:trPr>
          <w:cantSplit/>
        </w:trPr>
        <w:tc>
          <w:tcPr>
            <w:tcW w:w="1555" w:type="dxa"/>
            <w:shd w:val="clear" w:color="auto" w:fill="FFFFFF" w:themeFill="background1"/>
            <w:noWrap/>
            <w:vAlign w:val="center"/>
            <w:hideMark/>
          </w:tcPr>
          <w:p w14:paraId="155E8324" w14:textId="77777777" w:rsidR="00FF0F9B" w:rsidRPr="00EF1E43" w:rsidRDefault="00FF0F9B" w:rsidP="00374F41">
            <w:pPr>
              <w:jc w:val="center"/>
              <w:rPr>
                <w:sz w:val="24"/>
              </w:rPr>
            </w:pPr>
            <w:r w:rsidRPr="00EF1E43">
              <w:rPr>
                <w:sz w:val="24"/>
              </w:rPr>
              <w:t>71476</w:t>
            </w:r>
          </w:p>
        </w:tc>
        <w:tc>
          <w:tcPr>
            <w:tcW w:w="7371" w:type="dxa"/>
            <w:shd w:val="clear" w:color="auto" w:fill="FFFFFF" w:themeFill="background1"/>
            <w:vAlign w:val="center"/>
            <w:hideMark/>
          </w:tcPr>
          <w:p w14:paraId="65D9BE50" w14:textId="77777777" w:rsidR="00FF0F9B" w:rsidRPr="00EF1E43" w:rsidRDefault="00FF0F9B" w:rsidP="00374F41">
            <w:pPr>
              <w:rPr>
                <w:sz w:val="24"/>
              </w:rPr>
            </w:pPr>
            <w:r w:rsidRPr="00EF1E43">
              <w:rPr>
                <w:sz w:val="24"/>
              </w:rPr>
              <w:t>Aune D, Chan DS, Vieira AR, et al (2012). Fruits, vegetables and breast cancer risk: a systematic review and meta-analysis of prospective studies. Breast Cancer Res Treat, 134(2): 479-93.</w:t>
            </w:r>
          </w:p>
        </w:tc>
      </w:tr>
      <w:tr w:rsidR="00EF1E43" w:rsidRPr="00EF1E43" w14:paraId="7F3A3F0F" w14:textId="77777777" w:rsidTr="00CC61F1">
        <w:trPr>
          <w:cantSplit/>
        </w:trPr>
        <w:tc>
          <w:tcPr>
            <w:tcW w:w="1555" w:type="dxa"/>
            <w:shd w:val="clear" w:color="auto" w:fill="FFFFFF" w:themeFill="background1"/>
            <w:noWrap/>
            <w:vAlign w:val="center"/>
            <w:hideMark/>
          </w:tcPr>
          <w:p w14:paraId="217CB5D4" w14:textId="77777777" w:rsidR="00FF0F9B" w:rsidRPr="00EF1E43" w:rsidRDefault="00FF0F9B" w:rsidP="00374F41">
            <w:pPr>
              <w:jc w:val="center"/>
              <w:rPr>
                <w:sz w:val="24"/>
              </w:rPr>
            </w:pPr>
            <w:r w:rsidRPr="00EF1E43">
              <w:rPr>
                <w:sz w:val="24"/>
              </w:rPr>
              <w:t>80718</w:t>
            </w:r>
          </w:p>
        </w:tc>
        <w:tc>
          <w:tcPr>
            <w:tcW w:w="7371" w:type="dxa"/>
            <w:shd w:val="clear" w:color="auto" w:fill="FFFFFF" w:themeFill="background1"/>
            <w:vAlign w:val="center"/>
            <w:hideMark/>
          </w:tcPr>
          <w:p w14:paraId="48585178" w14:textId="77777777" w:rsidR="00FF0F9B" w:rsidRPr="00EF1E43" w:rsidRDefault="00FF0F9B" w:rsidP="00374F41">
            <w:pPr>
              <w:rPr>
                <w:sz w:val="24"/>
              </w:rPr>
            </w:pPr>
            <w:r w:rsidRPr="00EF1E43">
              <w:rPr>
                <w:sz w:val="24"/>
              </w:rPr>
              <w:t>Australian Radiation Protection and Nuclear Safety Agency (2012). Radiation protection: alpha particles. Retrieved 6 February 2017, from http://www.arpansa.gov.au/radiationprotection/basics/alpha.cfm</w:t>
            </w:r>
          </w:p>
        </w:tc>
      </w:tr>
      <w:tr w:rsidR="00EF1E43" w:rsidRPr="00EF1E43" w14:paraId="374D0697" w14:textId="77777777" w:rsidTr="00CC61F1">
        <w:trPr>
          <w:cantSplit/>
        </w:trPr>
        <w:tc>
          <w:tcPr>
            <w:tcW w:w="1555" w:type="dxa"/>
            <w:shd w:val="clear" w:color="auto" w:fill="FFFFFF" w:themeFill="background1"/>
            <w:noWrap/>
            <w:vAlign w:val="center"/>
            <w:hideMark/>
          </w:tcPr>
          <w:p w14:paraId="789213D0" w14:textId="77777777" w:rsidR="00FF0F9B" w:rsidRPr="00EF1E43" w:rsidRDefault="00FF0F9B" w:rsidP="00374F41">
            <w:pPr>
              <w:jc w:val="center"/>
              <w:rPr>
                <w:sz w:val="24"/>
              </w:rPr>
            </w:pPr>
            <w:r w:rsidRPr="00EF1E43">
              <w:rPr>
                <w:sz w:val="24"/>
              </w:rPr>
              <w:t>59654</w:t>
            </w:r>
          </w:p>
        </w:tc>
        <w:tc>
          <w:tcPr>
            <w:tcW w:w="7371" w:type="dxa"/>
            <w:shd w:val="clear" w:color="auto" w:fill="FFFFFF" w:themeFill="background1"/>
            <w:vAlign w:val="center"/>
            <w:hideMark/>
          </w:tcPr>
          <w:p w14:paraId="170F0C06" w14:textId="77777777" w:rsidR="00FF0F9B" w:rsidRPr="00EF1E43" w:rsidRDefault="00FF0F9B" w:rsidP="00374F41">
            <w:pPr>
              <w:rPr>
                <w:sz w:val="24"/>
              </w:rPr>
            </w:pPr>
            <w:r w:rsidRPr="00EF1E43">
              <w:rPr>
                <w:sz w:val="24"/>
              </w:rPr>
              <w:t>Australian Radiation Protection and Nuclear Safety Agency (ARPANSA) (2002). Recommendations for limiting exposure to ionizing radiation (1995) (Guidance note [NOHSC:3022(1995)]) and National standard for limiting occupational exposure to ionizing radiation [NOHSC:1013(1995)]. Retrieved 7 February 2011, from http://www.arpansa.gov.au/pubs/rps/rpsl.pdf</w:t>
            </w:r>
          </w:p>
        </w:tc>
      </w:tr>
      <w:tr w:rsidR="00EF1E43" w:rsidRPr="00EF1E43" w14:paraId="4D7015B5" w14:textId="77777777" w:rsidTr="00CC61F1">
        <w:trPr>
          <w:cantSplit/>
        </w:trPr>
        <w:tc>
          <w:tcPr>
            <w:tcW w:w="1555" w:type="dxa"/>
            <w:shd w:val="clear" w:color="auto" w:fill="FFFFFF" w:themeFill="background1"/>
            <w:noWrap/>
            <w:vAlign w:val="center"/>
            <w:hideMark/>
          </w:tcPr>
          <w:p w14:paraId="2102A27A" w14:textId="77777777" w:rsidR="00FF0F9B" w:rsidRPr="00EF1E43" w:rsidRDefault="00FF0F9B" w:rsidP="00374F41">
            <w:pPr>
              <w:jc w:val="center"/>
              <w:rPr>
                <w:sz w:val="24"/>
              </w:rPr>
            </w:pPr>
            <w:r w:rsidRPr="00EF1E43">
              <w:rPr>
                <w:sz w:val="24"/>
              </w:rPr>
              <w:t>80721</w:t>
            </w:r>
          </w:p>
        </w:tc>
        <w:tc>
          <w:tcPr>
            <w:tcW w:w="7371" w:type="dxa"/>
            <w:shd w:val="clear" w:color="auto" w:fill="FFFFFF" w:themeFill="background1"/>
            <w:vAlign w:val="center"/>
            <w:hideMark/>
          </w:tcPr>
          <w:p w14:paraId="7D1FF111" w14:textId="77777777" w:rsidR="00FF0F9B" w:rsidRPr="00EF1E43" w:rsidRDefault="00FF0F9B" w:rsidP="00374F41">
            <w:pPr>
              <w:rPr>
                <w:sz w:val="24"/>
              </w:rPr>
            </w:pPr>
            <w:r w:rsidRPr="00EF1E43">
              <w:rPr>
                <w:sz w:val="24"/>
              </w:rPr>
              <w:t>Australian Radiation Protection and Nuclear Safety Agency (2012). Radiation protection: Radiation basics - ionising and non ionising radiation. Retrieved 6 February 2017, from http://www.arpansa.gov.au/radiationprotection/basics/ion_nonion.cfm</w:t>
            </w:r>
          </w:p>
        </w:tc>
      </w:tr>
      <w:tr w:rsidR="00EF1E43" w:rsidRPr="00EF1E43" w14:paraId="1F15FC58" w14:textId="77777777" w:rsidTr="00CC61F1">
        <w:trPr>
          <w:cantSplit/>
        </w:trPr>
        <w:tc>
          <w:tcPr>
            <w:tcW w:w="1555" w:type="dxa"/>
            <w:shd w:val="clear" w:color="auto" w:fill="FFFFFF" w:themeFill="background1"/>
            <w:noWrap/>
            <w:vAlign w:val="center"/>
            <w:hideMark/>
          </w:tcPr>
          <w:p w14:paraId="5FFD9665" w14:textId="77777777" w:rsidR="00FF0F9B" w:rsidRPr="00EF1E43" w:rsidRDefault="00FF0F9B" w:rsidP="00374F41">
            <w:pPr>
              <w:jc w:val="center"/>
              <w:rPr>
                <w:sz w:val="24"/>
              </w:rPr>
            </w:pPr>
            <w:r w:rsidRPr="00EF1E43">
              <w:rPr>
                <w:sz w:val="24"/>
              </w:rPr>
              <w:t>80723</w:t>
            </w:r>
          </w:p>
        </w:tc>
        <w:tc>
          <w:tcPr>
            <w:tcW w:w="7371" w:type="dxa"/>
            <w:shd w:val="clear" w:color="auto" w:fill="FFFFFF" w:themeFill="background1"/>
            <w:vAlign w:val="center"/>
            <w:hideMark/>
          </w:tcPr>
          <w:p w14:paraId="1E7F9223" w14:textId="77777777" w:rsidR="00FF0F9B" w:rsidRPr="00EF1E43" w:rsidRDefault="00FF0F9B" w:rsidP="00374F41">
            <w:pPr>
              <w:rPr>
                <w:sz w:val="24"/>
              </w:rPr>
            </w:pPr>
            <w:r w:rsidRPr="00EF1E43">
              <w:rPr>
                <w:sz w:val="24"/>
              </w:rPr>
              <w:t>Australian Radiation Protection and Nuclear Safety Agency (2015). Radiation protection: units of ionising radiation measurement. Retrieved 6 February 2017, from http://www.arpansa.gov.au/RadiationProtection/Basics/units/cfm</w:t>
            </w:r>
          </w:p>
        </w:tc>
      </w:tr>
      <w:tr w:rsidR="00EF1E43" w:rsidRPr="00EF1E43" w14:paraId="4D9D10F6" w14:textId="77777777" w:rsidTr="00CC61F1">
        <w:trPr>
          <w:cantSplit/>
        </w:trPr>
        <w:tc>
          <w:tcPr>
            <w:tcW w:w="1555" w:type="dxa"/>
            <w:shd w:val="clear" w:color="auto" w:fill="FFFFFF" w:themeFill="background1"/>
            <w:noWrap/>
            <w:vAlign w:val="center"/>
            <w:hideMark/>
          </w:tcPr>
          <w:p w14:paraId="297E7537" w14:textId="77777777" w:rsidR="00FF0F9B" w:rsidRPr="00EF1E43" w:rsidRDefault="00FF0F9B" w:rsidP="00374F41">
            <w:pPr>
              <w:jc w:val="center"/>
              <w:rPr>
                <w:sz w:val="24"/>
              </w:rPr>
            </w:pPr>
            <w:r w:rsidRPr="00EF1E43">
              <w:rPr>
                <w:sz w:val="24"/>
              </w:rPr>
              <w:t>80724</w:t>
            </w:r>
          </w:p>
        </w:tc>
        <w:tc>
          <w:tcPr>
            <w:tcW w:w="7371" w:type="dxa"/>
            <w:shd w:val="clear" w:color="auto" w:fill="FFFFFF" w:themeFill="background1"/>
            <w:vAlign w:val="center"/>
            <w:hideMark/>
          </w:tcPr>
          <w:p w14:paraId="73639020" w14:textId="77777777" w:rsidR="00FF0F9B" w:rsidRPr="00EF1E43" w:rsidRDefault="00FF0F9B" w:rsidP="00374F41">
            <w:pPr>
              <w:rPr>
                <w:sz w:val="24"/>
              </w:rPr>
            </w:pPr>
            <w:r w:rsidRPr="00EF1E43">
              <w:rPr>
                <w:sz w:val="24"/>
              </w:rPr>
              <w:t>Australian Radiation Protection and Nuclear Safety Agency (2015). Fact sheet: Ionising radiation and health. Retrieved 6 February 2017, from http://arpansa.gov.au/RadiationProtection/Factsheet/is_ionising.cfm</w:t>
            </w:r>
          </w:p>
        </w:tc>
      </w:tr>
      <w:tr w:rsidR="00EF1E43" w:rsidRPr="00EF1E43" w14:paraId="760BCD1E" w14:textId="77777777" w:rsidTr="00CC61F1">
        <w:trPr>
          <w:cantSplit/>
        </w:trPr>
        <w:tc>
          <w:tcPr>
            <w:tcW w:w="1555" w:type="dxa"/>
            <w:shd w:val="clear" w:color="auto" w:fill="FFFFFF" w:themeFill="background1"/>
            <w:noWrap/>
            <w:vAlign w:val="center"/>
            <w:hideMark/>
          </w:tcPr>
          <w:p w14:paraId="1DA09898" w14:textId="77777777" w:rsidR="00FF0F9B" w:rsidRPr="00EF1E43" w:rsidRDefault="00FF0F9B" w:rsidP="00374F41">
            <w:pPr>
              <w:jc w:val="center"/>
              <w:rPr>
                <w:sz w:val="24"/>
              </w:rPr>
            </w:pPr>
            <w:r w:rsidRPr="00EF1E43">
              <w:rPr>
                <w:sz w:val="24"/>
              </w:rPr>
              <w:t>80725</w:t>
            </w:r>
          </w:p>
        </w:tc>
        <w:tc>
          <w:tcPr>
            <w:tcW w:w="7371" w:type="dxa"/>
            <w:shd w:val="clear" w:color="auto" w:fill="FFFFFF" w:themeFill="background1"/>
            <w:vAlign w:val="center"/>
            <w:hideMark/>
          </w:tcPr>
          <w:p w14:paraId="350AAFEC" w14:textId="77777777" w:rsidR="00FF0F9B" w:rsidRPr="00EF1E43" w:rsidRDefault="00FF0F9B" w:rsidP="00374F41">
            <w:pPr>
              <w:rPr>
                <w:sz w:val="24"/>
              </w:rPr>
            </w:pPr>
            <w:r w:rsidRPr="00EF1E43">
              <w:rPr>
                <w:sz w:val="24"/>
              </w:rPr>
              <w:t>Australian Radiation Protection and Nuclear Safety Agency (2012). Radiation protection: health effects of ionising radiation. Retrieved 6 February 2017, from http://www.arpansa.gov.au/radiationprotection/basics/health_ion.cfm</w:t>
            </w:r>
          </w:p>
        </w:tc>
      </w:tr>
      <w:tr w:rsidR="00EF1E43" w:rsidRPr="00EF1E43" w14:paraId="25F6AF5E" w14:textId="77777777" w:rsidTr="00CC61F1">
        <w:trPr>
          <w:cantSplit/>
        </w:trPr>
        <w:tc>
          <w:tcPr>
            <w:tcW w:w="1555" w:type="dxa"/>
            <w:shd w:val="clear" w:color="auto" w:fill="FFFFFF" w:themeFill="background1"/>
            <w:noWrap/>
            <w:vAlign w:val="center"/>
            <w:hideMark/>
          </w:tcPr>
          <w:p w14:paraId="3DC8F6AD" w14:textId="77777777" w:rsidR="00FF0F9B" w:rsidRPr="00EF1E43" w:rsidRDefault="00FF0F9B" w:rsidP="00374F41">
            <w:pPr>
              <w:jc w:val="center"/>
              <w:rPr>
                <w:sz w:val="24"/>
              </w:rPr>
            </w:pPr>
            <w:r w:rsidRPr="00EF1E43">
              <w:rPr>
                <w:sz w:val="24"/>
              </w:rPr>
              <w:lastRenderedPageBreak/>
              <w:t>80744</w:t>
            </w:r>
          </w:p>
        </w:tc>
        <w:tc>
          <w:tcPr>
            <w:tcW w:w="7371" w:type="dxa"/>
            <w:shd w:val="clear" w:color="auto" w:fill="FFFFFF" w:themeFill="background1"/>
            <w:vAlign w:val="center"/>
            <w:hideMark/>
          </w:tcPr>
          <w:p w14:paraId="61AC3193" w14:textId="77777777" w:rsidR="00FF0F9B" w:rsidRPr="00EF1E43" w:rsidRDefault="00FF0F9B" w:rsidP="00374F41">
            <w:pPr>
              <w:rPr>
                <w:sz w:val="24"/>
              </w:rPr>
            </w:pPr>
            <w:r w:rsidRPr="00EF1E43">
              <w:rPr>
                <w:sz w:val="24"/>
              </w:rPr>
              <w:t>Australian Radiation Protection and Nuclear Safety Agency (2002). Estimations of Atomic Radiation Exposure in Australian Service Personnel in South West Japan 1946-52, Commonwealth Department of Veterans' Affairs.</w:t>
            </w:r>
          </w:p>
        </w:tc>
      </w:tr>
      <w:tr w:rsidR="00EF1E43" w:rsidRPr="00EF1E43" w14:paraId="02B1C5DB" w14:textId="77777777" w:rsidTr="00CC61F1">
        <w:trPr>
          <w:cantSplit/>
        </w:trPr>
        <w:tc>
          <w:tcPr>
            <w:tcW w:w="1555" w:type="dxa"/>
            <w:shd w:val="clear" w:color="auto" w:fill="FFFFFF" w:themeFill="background1"/>
            <w:noWrap/>
            <w:vAlign w:val="center"/>
            <w:hideMark/>
          </w:tcPr>
          <w:p w14:paraId="03B27042" w14:textId="77777777" w:rsidR="00FF0F9B" w:rsidRPr="00EF1E43" w:rsidRDefault="00FF0F9B" w:rsidP="00374F41">
            <w:pPr>
              <w:jc w:val="center"/>
              <w:rPr>
                <w:sz w:val="24"/>
              </w:rPr>
            </w:pPr>
            <w:r w:rsidRPr="00EF1E43">
              <w:rPr>
                <w:sz w:val="24"/>
              </w:rPr>
              <w:t>80745</w:t>
            </w:r>
          </w:p>
        </w:tc>
        <w:tc>
          <w:tcPr>
            <w:tcW w:w="7371" w:type="dxa"/>
            <w:shd w:val="clear" w:color="auto" w:fill="FFFFFF" w:themeFill="background1"/>
            <w:vAlign w:val="center"/>
            <w:hideMark/>
          </w:tcPr>
          <w:p w14:paraId="6F8955E9" w14:textId="77777777" w:rsidR="00FF0F9B" w:rsidRPr="00EF1E43" w:rsidRDefault="00FF0F9B" w:rsidP="00374F41">
            <w:pPr>
              <w:rPr>
                <w:sz w:val="24"/>
              </w:rPr>
            </w:pPr>
            <w:r w:rsidRPr="00EF1E43">
              <w:rPr>
                <w:sz w:val="24"/>
              </w:rPr>
              <w:t>Australian Radiation Protection and Nuclear Safety Agency (2012). Radiation protection: Beta particles. Retrieved 8 February 2017, from http://www.arpansa.gov.au/radiationprotection/basics/beta.cfm</w:t>
            </w:r>
          </w:p>
        </w:tc>
      </w:tr>
      <w:tr w:rsidR="00EF1E43" w:rsidRPr="00EF1E43" w14:paraId="61302F95" w14:textId="77777777" w:rsidTr="00CC61F1">
        <w:trPr>
          <w:cantSplit/>
        </w:trPr>
        <w:tc>
          <w:tcPr>
            <w:tcW w:w="1555" w:type="dxa"/>
            <w:shd w:val="clear" w:color="auto" w:fill="FFFFFF" w:themeFill="background1"/>
            <w:noWrap/>
            <w:vAlign w:val="center"/>
            <w:hideMark/>
          </w:tcPr>
          <w:p w14:paraId="79001FEC" w14:textId="77777777" w:rsidR="00FF0F9B" w:rsidRPr="00EF1E43" w:rsidRDefault="00FF0F9B" w:rsidP="00374F41">
            <w:pPr>
              <w:jc w:val="center"/>
              <w:rPr>
                <w:sz w:val="24"/>
              </w:rPr>
            </w:pPr>
            <w:r w:rsidRPr="00EF1E43">
              <w:rPr>
                <w:sz w:val="24"/>
              </w:rPr>
              <w:t>41161</w:t>
            </w:r>
          </w:p>
        </w:tc>
        <w:tc>
          <w:tcPr>
            <w:tcW w:w="7371" w:type="dxa"/>
            <w:shd w:val="clear" w:color="auto" w:fill="FFFFFF" w:themeFill="background1"/>
            <w:vAlign w:val="center"/>
            <w:hideMark/>
          </w:tcPr>
          <w:p w14:paraId="14D597E0" w14:textId="77777777" w:rsidR="00FF0F9B" w:rsidRPr="00EF1E43" w:rsidRDefault="00FF0F9B" w:rsidP="00374F41">
            <w:pPr>
              <w:rPr>
                <w:sz w:val="24"/>
              </w:rPr>
            </w:pPr>
            <w:r w:rsidRPr="00EF1E43">
              <w:rPr>
                <w:sz w:val="24"/>
              </w:rPr>
              <w:t>Axelson O (2004). [Comment] Is the evidence for its carcinogenicity conclusive? Occup Environ Med, 61(1): 1.</w:t>
            </w:r>
          </w:p>
        </w:tc>
      </w:tr>
      <w:tr w:rsidR="00EF1E43" w:rsidRPr="00EF1E43" w14:paraId="0247F571" w14:textId="77777777" w:rsidTr="00CC61F1">
        <w:trPr>
          <w:cantSplit/>
        </w:trPr>
        <w:tc>
          <w:tcPr>
            <w:tcW w:w="1555" w:type="dxa"/>
            <w:shd w:val="clear" w:color="auto" w:fill="FFFFFF" w:themeFill="background1"/>
            <w:noWrap/>
            <w:vAlign w:val="center"/>
            <w:hideMark/>
          </w:tcPr>
          <w:p w14:paraId="109E64B6" w14:textId="77777777" w:rsidR="00FF0F9B" w:rsidRPr="00EF1E43" w:rsidRDefault="00FF0F9B" w:rsidP="00374F41">
            <w:pPr>
              <w:jc w:val="center"/>
              <w:rPr>
                <w:sz w:val="24"/>
              </w:rPr>
            </w:pPr>
            <w:r w:rsidRPr="00EF1E43">
              <w:rPr>
                <w:sz w:val="24"/>
              </w:rPr>
              <w:t>80726</w:t>
            </w:r>
          </w:p>
        </w:tc>
        <w:tc>
          <w:tcPr>
            <w:tcW w:w="7371" w:type="dxa"/>
            <w:shd w:val="clear" w:color="auto" w:fill="FFFFFF" w:themeFill="background1"/>
            <w:vAlign w:val="center"/>
            <w:hideMark/>
          </w:tcPr>
          <w:p w14:paraId="278A5E14" w14:textId="77777777" w:rsidR="00FF0F9B" w:rsidRPr="00EF1E43" w:rsidRDefault="00FF0F9B" w:rsidP="00374F41">
            <w:pPr>
              <w:rPr>
                <w:sz w:val="24"/>
              </w:rPr>
            </w:pPr>
            <w:r w:rsidRPr="00EF1E43">
              <w:rPr>
                <w:sz w:val="24"/>
              </w:rPr>
              <w:t>Azizova TV, Grigoryeva ES, Haylock RG, et al (2015). Ischaemic heart disease incidence and mortality in an extended cohort of Mayak workers first employed in 1948-1982. Br J Radiol, 88(1054): 20150169.</w:t>
            </w:r>
          </w:p>
        </w:tc>
      </w:tr>
      <w:tr w:rsidR="00EF1E43" w:rsidRPr="00EF1E43" w14:paraId="7EAEFBF8" w14:textId="77777777" w:rsidTr="00CC61F1">
        <w:trPr>
          <w:cantSplit/>
        </w:trPr>
        <w:tc>
          <w:tcPr>
            <w:tcW w:w="1555" w:type="dxa"/>
            <w:shd w:val="clear" w:color="auto" w:fill="FFFFFF" w:themeFill="background1"/>
            <w:noWrap/>
            <w:vAlign w:val="center"/>
            <w:hideMark/>
          </w:tcPr>
          <w:p w14:paraId="1D9FB12A" w14:textId="77777777" w:rsidR="00FF0F9B" w:rsidRPr="00EF1E43" w:rsidRDefault="00FF0F9B" w:rsidP="00374F41">
            <w:pPr>
              <w:jc w:val="center"/>
              <w:rPr>
                <w:sz w:val="24"/>
              </w:rPr>
            </w:pPr>
            <w:r w:rsidRPr="00EF1E43">
              <w:rPr>
                <w:sz w:val="24"/>
              </w:rPr>
              <w:t>66365</w:t>
            </w:r>
          </w:p>
        </w:tc>
        <w:tc>
          <w:tcPr>
            <w:tcW w:w="7371" w:type="dxa"/>
            <w:shd w:val="clear" w:color="auto" w:fill="FFFFFF" w:themeFill="background1"/>
            <w:vAlign w:val="center"/>
            <w:hideMark/>
          </w:tcPr>
          <w:p w14:paraId="125C6C2F" w14:textId="77777777" w:rsidR="00FF0F9B" w:rsidRPr="00EF1E43" w:rsidRDefault="00FF0F9B" w:rsidP="00374F41">
            <w:pPr>
              <w:rPr>
                <w:sz w:val="24"/>
              </w:rPr>
            </w:pPr>
            <w:r w:rsidRPr="00EF1E43">
              <w:rPr>
                <w:sz w:val="24"/>
              </w:rPr>
              <w:t>Baan R, Grosse Y, Lauby-Secretan B, et al (2011). Carcinogenicity of radiofrequency electromagnetic fields. Lancet Oncol, 12(7): 624-6.</w:t>
            </w:r>
          </w:p>
        </w:tc>
      </w:tr>
      <w:tr w:rsidR="00EF1E43" w:rsidRPr="00EF1E43" w14:paraId="603A1C13" w14:textId="77777777" w:rsidTr="00CC61F1">
        <w:trPr>
          <w:cantSplit/>
        </w:trPr>
        <w:tc>
          <w:tcPr>
            <w:tcW w:w="1555" w:type="dxa"/>
            <w:shd w:val="clear" w:color="auto" w:fill="FFFFFF" w:themeFill="background1"/>
            <w:noWrap/>
            <w:vAlign w:val="center"/>
            <w:hideMark/>
          </w:tcPr>
          <w:p w14:paraId="1A056271" w14:textId="77777777" w:rsidR="00FF0F9B" w:rsidRPr="00EF1E43" w:rsidRDefault="00FF0F9B" w:rsidP="00374F41">
            <w:pPr>
              <w:jc w:val="center"/>
              <w:rPr>
                <w:sz w:val="24"/>
              </w:rPr>
            </w:pPr>
            <w:r w:rsidRPr="00EF1E43">
              <w:rPr>
                <w:sz w:val="24"/>
              </w:rPr>
              <w:t>58010</w:t>
            </w:r>
          </w:p>
        </w:tc>
        <w:tc>
          <w:tcPr>
            <w:tcW w:w="7371" w:type="dxa"/>
            <w:shd w:val="clear" w:color="auto" w:fill="FFFFFF" w:themeFill="background1"/>
            <w:vAlign w:val="center"/>
            <w:hideMark/>
          </w:tcPr>
          <w:p w14:paraId="5B9E3A94" w14:textId="77777777" w:rsidR="00FF0F9B" w:rsidRPr="00EF1E43" w:rsidRDefault="00FF0F9B" w:rsidP="00374F41">
            <w:pPr>
              <w:rPr>
                <w:sz w:val="24"/>
              </w:rPr>
            </w:pPr>
            <w:r w:rsidRPr="00EF1E43">
              <w:rPr>
                <w:sz w:val="24"/>
              </w:rPr>
              <w:t>Baan R, Grosse Y, Straif K, et al (2009). A review of human carcinogens-Part F: Chemical agents and related occupations. Lancet Oncol, 10(12): 1143-4.</w:t>
            </w:r>
          </w:p>
        </w:tc>
      </w:tr>
      <w:tr w:rsidR="00EF1E43" w:rsidRPr="00EF1E43" w14:paraId="66E82A51" w14:textId="77777777" w:rsidTr="00CC61F1">
        <w:trPr>
          <w:cantSplit/>
        </w:trPr>
        <w:tc>
          <w:tcPr>
            <w:tcW w:w="1555" w:type="dxa"/>
            <w:shd w:val="clear" w:color="auto" w:fill="FFFFFF" w:themeFill="background1"/>
            <w:noWrap/>
            <w:vAlign w:val="center"/>
            <w:hideMark/>
          </w:tcPr>
          <w:p w14:paraId="3053FCB7" w14:textId="77777777" w:rsidR="00FF0F9B" w:rsidRPr="00EF1E43" w:rsidRDefault="00FF0F9B" w:rsidP="00374F41">
            <w:pPr>
              <w:jc w:val="center"/>
              <w:rPr>
                <w:sz w:val="24"/>
              </w:rPr>
            </w:pPr>
            <w:r w:rsidRPr="00EF1E43">
              <w:rPr>
                <w:sz w:val="24"/>
              </w:rPr>
              <w:t>55669</w:t>
            </w:r>
          </w:p>
        </w:tc>
        <w:tc>
          <w:tcPr>
            <w:tcW w:w="7371" w:type="dxa"/>
            <w:shd w:val="clear" w:color="auto" w:fill="FFFFFF" w:themeFill="background1"/>
            <w:vAlign w:val="center"/>
            <w:hideMark/>
          </w:tcPr>
          <w:p w14:paraId="2112BCF8" w14:textId="77777777" w:rsidR="00FF0F9B" w:rsidRPr="00EF1E43" w:rsidRDefault="00FF0F9B" w:rsidP="00374F41">
            <w:pPr>
              <w:rPr>
                <w:sz w:val="24"/>
              </w:rPr>
            </w:pPr>
            <w:r w:rsidRPr="00EF1E43">
              <w:rPr>
                <w:sz w:val="24"/>
              </w:rPr>
              <w:t>Baan R, Straif K, Grosse Y, et al (2007). Carcinogenicity of alcoholic beverages. Lancet Oncol, 8(4): 292-3.</w:t>
            </w:r>
          </w:p>
        </w:tc>
      </w:tr>
      <w:tr w:rsidR="00EF1E43" w:rsidRPr="00EF1E43" w14:paraId="75813D8D" w14:textId="77777777" w:rsidTr="00CC61F1">
        <w:trPr>
          <w:cantSplit/>
        </w:trPr>
        <w:tc>
          <w:tcPr>
            <w:tcW w:w="1555" w:type="dxa"/>
            <w:shd w:val="clear" w:color="auto" w:fill="FFFFFF" w:themeFill="background1"/>
            <w:noWrap/>
            <w:vAlign w:val="center"/>
            <w:hideMark/>
          </w:tcPr>
          <w:p w14:paraId="73AC566A" w14:textId="77777777" w:rsidR="00FF0F9B" w:rsidRPr="00EF1E43" w:rsidRDefault="00FF0F9B" w:rsidP="00374F41">
            <w:pPr>
              <w:jc w:val="center"/>
              <w:rPr>
                <w:sz w:val="24"/>
              </w:rPr>
            </w:pPr>
            <w:r w:rsidRPr="00EF1E43">
              <w:rPr>
                <w:sz w:val="24"/>
              </w:rPr>
              <w:t>65232</w:t>
            </w:r>
          </w:p>
        </w:tc>
        <w:tc>
          <w:tcPr>
            <w:tcW w:w="7371" w:type="dxa"/>
            <w:shd w:val="clear" w:color="auto" w:fill="FFFFFF" w:themeFill="background1"/>
            <w:vAlign w:val="center"/>
            <w:hideMark/>
          </w:tcPr>
          <w:p w14:paraId="357C1D6A" w14:textId="77777777" w:rsidR="00FF0F9B" w:rsidRPr="00EF1E43" w:rsidRDefault="00FF0F9B" w:rsidP="00374F41">
            <w:pPr>
              <w:rPr>
                <w:sz w:val="24"/>
              </w:rPr>
            </w:pPr>
            <w:r w:rsidRPr="00EF1E43">
              <w:rPr>
                <w:sz w:val="24"/>
              </w:rPr>
              <w:t>Bagnardi V, Rota M, Botteri E, et al (2013). Light alcohol drinking and cancer: a meta-analysis. Ann Oncol, 24(2): 301-8.</w:t>
            </w:r>
          </w:p>
        </w:tc>
      </w:tr>
      <w:tr w:rsidR="00EF1E43" w:rsidRPr="00EF1E43" w14:paraId="1D414912" w14:textId="77777777" w:rsidTr="00CC61F1">
        <w:trPr>
          <w:cantSplit/>
        </w:trPr>
        <w:tc>
          <w:tcPr>
            <w:tcW w:w="1555" w:type="dxa"/>
            <w:shd w:val="clear" w:color="auto" w:fill="FFFFFF" w:themeFill="background1"/>
            <w:noWrap/>
            <w:vAlign w:val="center"/>
            <w:hideMark/>
          </w:tcPr>
          <w:p w14:paraId="7A234673" w14:textId="77777777" w:rsidR="00FF0F9B" w:rsidRPr="00EF1E43" w:rsidRDefault="00FF0F9B" w:rsidP="00374F41">
            <w:pPr>
              <w:jc w:val="center"/>
              <w:rPr>
                <w:sz w:val="24"/>
              </w:rPr>
            </w:pPr>
            <w:r w:rsidRPr="00EF1E43">
              <w:rPr>
                <w:sz w:val="24"/>
              </w:rPr>
              <w:t>35664</w:t>
            </w:r>
          </w:p>
        </w:tc>
        <w:tc>
          <w:tcPr>
            <w:tcW w:w="7371" w:type="dxa"/>
            <w:shd w:val="clear" w:color="auto" w:fill="FFFFFF" w:themeFill="background1"/>
            <w:vAlign w:val="center"/>
            <w:hideMark/>
          </w:tcPr>
          <w:p w14:paraId="3652B046" w14:textId="77777777" w:rsidR="00FF0F9B" w:rsidRPr="00EF1E43" w:rsidRDefault="00FF0F9B" w:rsidP="00374F41">
            <w:pPr>
              <w:rPr>
                <w:sz w:val="24"/>
              </w:rPr>
            </w:pPr>
            <w:r w:rsidRPr="00EF1E43">
              <w:rPr>
                <w:sz w:val="24"/>
              </w:rPr>
              <w:t>Bakken K, Alsaker E, Eggen AE, et al (2004). Hormone replacement therapy and incidence of hormone-dependent cancers in the Norwegian Women and Cancer study. Int J Cancer, 112(1): 130-4.</w:t>
            </w:r>
          </w:p>
        </w:tc>
      </w:tr>
      <w:tr w:rsidR="00EF1E43" w:rsidRPr="00EF1E43" w14:paraId="31280CE4" w14:textId="77777777" w:rsidTr="00CC61F1">
        <w:trPr>
          <w:cantSplit/>
        </w:trPr>
        <w:tc>
          <w:tcPr>
            <w:tcW w:w="1555" w:type="dxa"/>
            <w:shd w:val="clear" w:color="auto" w:fill="FFFFFF" w:themeFill="background1"/>
            <w:noWrap/>
            <w:vAlign w:val="center"/>
            <w:hideMark/>
          </w:tcPr>
          <w:p w14:paraId="6C9CF0A2" w14:textId="77777777" w:rsidR="00FF0F9B" w:rsidRPr="00EF1E43" w:rsidRDefault="00FF0F9B" w:rsidP="00374F41">
            <w:pPr>
              <w:jc w:val="center"/>
              <w:rPr>
                <w:sz w:val="24"/>
              </w:rPr>
            </w:pPr>
            <w:r w:rsidRPr="00EF1E43">
              <w:rPr>
                <w:sz w:val="24"/>
              </w:rPr>
              <w:t>9194</w:t>
            </w:r>
          </w:p>
        </w:tc>
        <w:tc>
          <w:tcPr>
            <w:tcW w:w="7371" w:type="dxa"/>
            <w:shd w:val="clear" w:color="auto" w:fill="FFFFFF" w:themeFill="background1"/>
            <w:vAlign w:val="center"/>
            <w:hideMark/>
          </w:tcPr>
          <w:p w14:paraId="5BC8606D" w14:textId="77777777" w:rsidR="00FF0F9B" w:rsidRPr="00EF1E43" w:rsidRDefault="00FF0F9B" w:rsidP="00374F41">
            <w:pPr>
              <w:rPr>
                <w:sz w:val="24"/>
              </w:rPr>
            </w:pPr>
            <w:r w:rsidRPr="00EF1E43">
              <w:rPr>
                <w:sz w:val="24"/>
              </w:rPr>
              <w:t>Ballard-Barbash R, Swanson CA (1996). Body weight: estimation of risk for breast and endometrial cancers. Am J Clin Nutr, 63(Suppl 3): S437-41.</w:t>
            </w:r>
          </w:p>
        </w:tc>
      </w:tr>
      <w:tr w:rsidR="00EF1E43" w:rsidRPr="00EF1E43" w14:paraId="213261E5" w14:textId="77777777" w:rsidTr="00CC61F1">
        <w:trPr>
          <w:cantSplit/>
        </w:trPr>
        <w:tc>
          <w:tcPr>
            <w:tcW w:w="1555" w:type="dxa"/>
            <w:shd w:val="clear" w:color="auto" w:fill="FFFFFF" w:themeFill="background1"/>
            <w:noWrap/>
            <w:vAlign w:val="center"/>
            <w:hideMark/>
          </w:tcPr>
          <w:p w14:paraId="688351C1" w14:textId="77777777" w:rsidR="00FF0F9B" w:rsidRPr="00EF1E43" w:rsidRDefault="00FF0F9B" w:rsidP="00374F41">
            <w:pPr>
              <w:jc w:val="center"/>
              <w:rPr>
                <w:sz w:val="24"/>
              </w:rPr>
            </w:pPr>
            <w:r w:rsidRPr="00EF1E43">
              <w:rPr>
                <w:sz w:val="24"/>
              </w:rPr>
              <w:t>35942</w:t>
            </w:r>
          </w:p>
        </w:tc>
        <w:tc>
          <w:tcPr>
            <w:tcW w:w="7371" w:type="dxa"/>
            <w:shd w:val="clear" w:color="auto" w:fill="FFFFFF" w:themeFill="background1"/>
            <w:vAlign w:val="center"/>
            <w:hideMark/>
          </w:tcPr>
          <w:p w14:paraId="10E44B88" w14:textId="77777777" w:rsidR="00FF0F9B" w:rsidRPr="00EF1E43" w:rsidRDefault="00FF0F9B" w:rsidP="00374F41">
            <w:pPr>
              <w:rPr>
                <w:sz w:val="24"/>
              </w:rPr>
            </w:pPr>
            <w:r w:rsidRPr="00EF1E43">
              <w:rPr>
                <w:sz w:val="24"/>
              </w:rPr>
              <w:t>Band PR, Le ND, Fang R, et al (2002). Carcinogenic and endocrine disrupting effects of cigarette smoke and risk of breast cancer. Lancet, 360(9339): 1044-9.</w:t>
            </w:r>
          </w:p>
        </w:tc>
      </w:tr>
      <w:tr w:rsidR="00EF1E43" w:rsidRPr="00EF1E43" w14:paraId="71B604EE" w14:textId="77777777" w:rsidTr="00CC61F1">
        <w:trPr>
          <w:cantSplit/>
        </w:trPr>
        <w:tc>
          <w:tcPr>
            <w:tcW w:w="1555" w:type="dxa"/>
            <w:shd w:val="clear" w:color="auto" w:fill="FFFFFF" w:themeFill="background1"/>
            <w:noWrap/>
            <w:vAlign w:val="center"/>
            <w:hideMark/>
          </w:tcPr>
          <w:p w14:paraId="24E25E97" w14:textId="77777777" w:rsidR="00FF0F9B" w:rsidRPr="00EF1E43" w:rsidRDefault="00FF0F9B" w:rsidP="00374F41">
            <w:pPr>
              <w:jc w:val="center"/>
              <w:rPr>
                <w:sz w:val="24"/>
              </w:rPr>
            </w:pPr>
            <w:r w:rsidRPr="00EF1E43">
              <w:rPr>
                <w:sz w:val="24"/>
              </w:rPr>
              <w:t>71478</w:t>
            </w:r>
          </w:p>
        </w:tc>
        <w:tc>
          <w:tcPr>
            <w:tcW w:w="7371" w:type="dxa"/>
            <w:shd w:val="clear" w:color="auto" w:fill="FFFFFF" w:themeFill="background1"/>
            <w:vAlign w:val="center"/>
            <w:hideMark/>
          </w:tcPr>
          <w:p w14:paraId="1B539CE0" w14:textId="77777777" w:rsidR="00FF0F9B" w:rsidRPr="00EF1E43" w:rsidRDefault="00FF0F9B" w:rsidP="00374F41">
            <w:pPr>
              <w:rPr>
                <w:sz w:val="24"/>
              </w:rPr>
            </w:pPr>
            <w:r w:rsidRPr="00EF1E43">
              <w:rPr>
                <w:sz w:val="24"/>
              </w:rPr>
              <w:t>Barcellos-Hoff MH (2013). New biological insights on the link between radiation exposure and breast cancer risk. J Mammary Gland Biol Neoplasia, 18(1): 3-13.</w:t>
            </w:r>
          </w:p>
        </w:tc>
      </w:tr>
      <w:tr w:rsidR="00EF1E43" w:rsidRPr="00EF1E43" w14:paraId="627CF604" w14:textId="77777777" w:rsidTr="00CC61F1">
        <w:trPr>
          <w:cantSplit/>
        </w:trPr>
        <w:tc>
          <w:tcPr>
            <w:tcW w:w="1555" w:type="dxa"/>
            <w:shd w:val="clear" w:color="auto" w:fill="FFFFFF" w:themeFill="background1"/>
            <w:noWrap/>
            <w:vAlign w:val="center"/>
            <w:hideMark/>
          </w:tcPr>
          <w:p w14:paraId="6EE80A35" w14:textId="77777777" w:rsidR="00FF0F9B" w:rsidRPr="00EF1E43" w:rsidRDefault="00FF0F9B" w:rsidP="00374F41">
            <w:pPr>
              <w:jc w:val="center"/>
              <w:rPr>
                <w:sz w:val="24"/>
              </w:rPr>
            </w:pPr>
            <w:r w:rsidRPr="00EF1E43">
              <w:rPr>
                <w:sz w:val="24"/>
              </w:rPr>
              <w:t>35833</w:t>
            </w:r>
          </w:p>
        </w:tc>
        <w:tc>
          <w:tcPr>
            <w:tcW w:w="7371" w:type="dxa"/>
            <w:shd w:val="clear" w:color="auto" w:fill="FFFFFF" w:themeFill="background1"/>
            <w:vAlign w:val="center"/>
            <w:hideMark/>
          </w:tcPr>
          <w:p w14:paraId="56DC74E2" w14:textId="77777777" w:rsidR="00FF0F9B" w:rsidRPr="00EF1E43" w:rsidRDefault="00FF0F9B" w:rsidP="00374F41">
            <w:pPr>
              <w:rPr>
                <w:sz w:val="24"/>
              </w:rPr>
            </w:pPr>
            <w:r w:rsidRPr="00EF1E43">
              <w:rPr>
                <w:sz w:val="24"/>
              </w:rPr>
              <w:t>Baron JA, Newcomb PA, Longnecker MP, et al (1996). Cigarette smoking and breast cancer. Cancer Epidemiol Biomarkers Prev, 5(5): 399-403.</w:t>
            </w:r>
          </w:p>
        </w:tc>
      </w:tr>
      <w:tr w:rsidR="00EF1E43" w:rsidRPr="00EF1E43" w14:paraId="5DD1D5F1" w14:textId="77777777" w:rsidTr="00CC61F1">
        <w:trPr>
          <w:cantSplit/>
        </w:trPr>
        <w:tc>
          <w:tcPr>
            <w:tcW w:w="1555" w:type="dxa"/>
            <w:shd w:val="clear" w:color="auto" w:fill="FFFFFF" w:themeFill="background1"/>
            <w:noWrap/>
            <w:vAlign w:val="center"/>
            <w:hideMark/>
          </w:tcPr>
          <w:p w14:paraId="6EF6D137" w14:textId="77777777" w:rsidR="00FF0F9B" w:rsidRPr="00EF1E43" w:rsidRDefault="00FF0F9B" w:rsidP="00374F41">
            <w:pPr>
              <w:jc w:val="center"/>
              <w:rPr>
                <w:sz w:val="24"/>
              </w:rPr>
            </w:pPr>
            <w:r w:rsidRPr="00EF1E43">
              <w:rPr>
                <w:sz w:val="24"/>
              </w:rPr>
              <w:t>35618</w:t>
            </w:r>
          </w:p>
        </w:tc>
        <w:tc>
          <w:tcPr>
            <w:tcW w:w="7371" w:type="dxa"/>
            <w:shd w:val="clear" w:color="auto" w:fill="FFFFFF" w:themeFill="background1"/>
            <w:vAlign w:val="center"/>
            <w:hideMark/>
          </w:tcPr>
          <w:p w14:paraId="0DC51C0D" w14:textId="77777777" w:rsidR="00FF0F9B" w:rsidRPr="00EF1E43" w:rsidRDefault="00FF0F9B" w:rsidP="00374F41">
            <w:pPr>
              <w:rPr>
                <w:sz w:val="24"/>
              </w:rPr>
            </w:pPr>
            <w:r w:rsidRPr="00EF1E43">
              <w:rPr>
                <w:sz w:val="24"/>
              </w:rPr>
              <w:t>Barthelmes L, Davidson LA, Gaffney C, et al (2005). Pregnancy and breast cancer. BMJ, 330(7504): 1375-8.</w:t>
            </w:r>
          </w:p>
        </w:tc>
      </w:tr>
      <w:tr w:rsidR="00EF1E43" w:rsidRPr="00EF1E43" w14:paraId="606ED8BC" w14:textId="77777777" w:rsidTr="00CC61F1">
        <w:trPr>
          <w:cantSplit/>
        </w:trPr>
        <w:tc>
          <w:tcPr>
            <w:tcW w:w="1555" w:type="dxa"/>
            <w:shd w:val="clear" w:color="auto" w:fill="FFFFFF" w:themeFill="background1"/>
            <w:noWrap/>
            <w:vAlign w:val="center"/>
            <w:hideMark/>
          </w:tcPr>
          <w:p w14:paraId="560979BB" w14:textId="77777777" w:rsidR="00FF0F9B" w:rsidRPr="00EF1E43" w:rsidRDefault="00FF0F9B" w:rsidP="00374F41">
            <w:pPr>
              <w:jc w:val="center"/>
              <w:rPr>
                <w:sz w:val="24"/>
              </w:rPr>
            </w:pPr>
            <w:r w:rsidRPr="00EF1E43">
              <w:rPr>
                <w:sz w:val="24"/>
              </w:rPr>
              <w:t>35574</w:t>
            </w:r>
          </w:p>
        </w:tc>
        <w:tc>
          <w:tcPr>
            <w:tcW w:w="7371" w:type="dxa"/>
            <w:shd w:val="clear" w:color="auto" w:fill="FFFFFF" w:themeFill="background1"/>
            <w:vAlign w:val="center"/>
            <w:hideMark/>
          </w:tcPr>
          <w:p w14:paraId="448FEC73" w14:textId="77777777" w:rsidR="00FF0F9B" w:rsidRPr="00EF1E43" w:rsidRDefault="00FF0F9B" w:rsidP="00374F41">
            <w:pPr>
              <w:rPr>
                <w:sz w:val="24"/>
              </w:rPr>
            </w:pPr>
            <w:r w:rsidRPr="00EF1E43">
              <w:rPr>
                <w:sz w:val="24"/>
              </w:rPr>
              <w:t>Beemsterboer PMM, Warmerdam PG, Boer R, et al (1998). Radiation risk of mammography related to benefit in screening programmes: a favourable balance?  Retrieved 14 July 2005, from http://www.ingentaconnect.com.ezproxy.library.uq.edu.au/content/rsm/jms/1998/000</w:t>
            </w:r>
          </w:p>
        </w:tc>
      </w:tr>
      <w:tr w:rsidR="00EF1E43" w:rsidRPr="00EF1E43" w14:paraId="32A686F3" w14:textId="77777777" w:rsidTr="00CC61F1">
        <w:trPr>
          <w:cantSplit/>
        </w:trPr>
        <w:tc>
          <w:tcPr>
            <w:tcW w:w="1555" w:type="dxa"/>
            <w:shd w:val="clear" w:color="auto" w:fill="FFFFFF" w:themeFill="background1"/>
            <w:noWrap/>
            <w:vAlign w:val="center"/>
            <w:hideMark/>
          </w:tcPr>
          <w:p w14:paraId="177D7FCA" w14:textId="77777777" w:rsidR="00FF0F9B" w:rsidRPr="00EF1E43" w:rsidRDefault="00FF0F9B" w:rsidP="00374F41">
            <w:pPr>
              <w:jc w:val="center"/>
              <w:rPr>
                <w:sz w:val="24"/>
              </w:rPr>
            </w:pPr>
            <w:r w:rsidRPr="00EF1E43">
              <w:rPr>
                <w:sz w:val="24"/>
              </w:rPr>
              <w:t>36020</w:t>
            </w:r>
          </w:p>
        </w:tc>
        <w:tc>
          <w:tcPr>
            <w:tcW w:w="7371" w:type="dxa"/>
            <w:shd w:val="clear" w:color="auto" w:fill="FFFFFF" w:themeFill="background1"/>
            <w:vAlign w:val="center"/>
            <w:hideMark/>
          </w:tcPr>
          <w:p w14:paraId="449C138B" w14:textId="77777777" w:rsidR="00FF0F9B" w:rsidRPr="00EF1E43" w:rsidRDefault="00FF0F9B" w:rsidP="00374F41">
            <w:pPr>
              <w:rPr>
                <w:sz w:val="24"/>
              </w:rPr>
            </w:pPr>
            <w:r w:rsidRPr="00EF1E43">
              <w:rPr>
                <w:sz w:val="24"/>
              </w:rPr>
              <w:t>Bennicke K, Conrad C, Sabroe S, et al (1995). Cigarette smoking and breast cancer. BMJ, 310(6992): 1431-3.</w:t>
            </w:r>
          </w:p>
        </w:tc>
      </w:tr>
      <w:tr w:rsidR="00EF1E43" w:rsidRPr="00EF1E43" w14:paraId="1CBF2F5A" w14:textId="77777777" w:rsidTr="00CC61F1">
        <w:trPr>
          <w:cantSplit/>
        </w:trPr>
        <w:tc>
          <w:tcPr>
            <w:tcW w:w="1555" w:type="dxa"/>
            <w:shd w:val="clear" w:color="auto" w:fill="FFFFFF" w:themeFill="background1"/>
            <w:noWrap/>
            <w:vAlign w:val="center"/>
          </w:tcPr>
          <w:p w14:paraId="3993EEBF" w14:textId="77777777" w:rsidR="00FF0F9B" w:rsidRPr="00EF1E43" w:rsidRDefault="00FF0F9B" w:rsidP="00374F41">
            <w:pPr>
              <w:jc w:val="center"/>
              <w:rPr>
                <w:sz w:val="24"/>
              </w:rPr>
            </w:pPr>
            <w:r w:rsidRPr="00EF1E43">
              <w:rPr>
                <w:sz w:val="24"/>
              </w:rPr>
              <w:lastRenderedPageBreak/>
              <w:t>35624</w:t>
            </w:r>
          </w:p>
        </w:tc>
        <w:tc>
          <w:tcPr>
            <w:tcW w:w="7371" w:type="dxa"/>
            <w:shd w:val="clear" w:color="auto" w:fill="FFFFFF" w:themeFill="background1"/>
            <w:vAlign w:val="center"/>
          </w:tcPr>
          <w:p w14:paraId="7B3AE063" w14:textId="77777777" w:rsidR="00FF0F9B" w:rsidRPr="00EF1E43" w:rsidRDefault="00FF0F9B" w:rsidP="00374F41">
            <w:pPr>
              <w:rPr>
                <w:sz w:val="24"/>
              </w:rPr>
            </w:pPr>
            <w:r w:rsidRPr="00EF1E43">
              <w:rPr>
                <w:sz w:val="24"/>
              </w:rPr>
              <w:t>Beral V, Bull D, Doll R, et al (2004). Breast cancer and abortion: collaborative reanalysis of data from 53 epidemiological studies, including 83?000 women with breast cancer from 16 countries. Lancet, 363(9414): 1007-16.</w:t>
            </w:r>
          </w:p>
        </w:tc>
      </w:tr>
      <w:tr w:rsidR="00EF1E43" w:rsidRPr="00EF1E43" w14:paraId="458B6023" w14:textId="77777777" w:rsidTr="00CC61F1">
        <w:trPr>
          <w:cantSplit/>
        </w:trPr>
        <w:tc>
          <w:tcPr>
            <w:tcW w:w="1555" w:type="dxa"/>
            <w:shd w:val="clear" w:color="auto" w:fill="FFFFFF" w:themeFill="background1"/>
            <w:noWrap/>
            <w:vAlign w:val="center"/>
            <w:hideMark/>
          </w:tcPr>
          <w:p w14:paraId="6D884D0F" w14:textId="77777777" w:rsidR="00FF0F9B" w:rsidRPr="00EF1E43" w:rsidRDefault="00FF0F9B" w:rsidP="00374F41">
            <w:pPr>
              <w:jc w:val="center"/>
              <w:rPr>
                <w:sz w:val="24"/>
              </w:rPr>
            </w:pPr>
            <w:r w:rsidRPr="00EF1E43">
              <w:rPr>
                <w:sz w:val="24"/>
              </w:rPr>
              <w:t>10261</w:t>
            </w:r>
          </w:p>
        </w:tc>
        <w:tc>
          <w:tcPr>
            <w:tcW w:w="7371" w:type="dxa"/>
            <w:shd w:val="clear" w:color="auto" w:fill="FFFFFF" w:themeFill="background1"/>
            <w:vAlign w:val="center"/>
            <w:hideMark/>
          </w:tcPr>
          <w:p w14:paraId="21012F96" w14:textId="77777777" w:rsidR="00FF0F9B" w:rsidRPr="00EF1E43" w:rsidRDefault="00FF0F9B" w:rsidP="00374F41">
            <w:pPr>
              <w:rPr>
                <w:sz w:val="24"/>
              </w:rPr>
            </w:pPr>
            <w:r w:rsidRPr="00EF1E43">
              <w:rPr>
                <w:sz w:val="24"/>
              </w:rPr>
              <w:t>Beral V, Reeves G, Bull D, et al (1996). In Reply: Breast cancer and hormone exposure. Lancet, 348(9028): 683.</w:t>
            </w:r>
          </w:p>
        </w:tc>
      </w:tr>
      <w:tr w:rsidR="00EF1E43" w:rsidRPr="00EF1E43" w14:paraId="051194CC" w14:textId="77777777" w:rsidTr="00CC61F1">
        <w:trPr>
          <w:cantSplit/>
        </w:trPr>
        <w:tc>
          <w:tcPr>
            <w:tcW w:w="1555" w:type="dxa"/>
            <w:shd w:val="clear" w:color="auto" w:fill="FFFFFF" w:themeFill="background1"/>
            <w:noWrap/>
            <w:vAlign w:val="center"/>
            <w:hideMark/>
          </w:tcPr>
          <w:p w14:paraId="0EF405F8" w14:textId="77777777" w:rsidR="00FF0F9B" w:rsidRPr="00EF1E43" w:rsidRDefault="00FF0F9B" w:rsidP="00374F41">
            <w:pPr>
              <w:jc w:val="center"/>
              <w:rPr>
                <w:sz w:val="24"/>
              </w:rPr>
            </w:pPr>
            <w:r w:rsidRPr="00EF1E43">
              <w:rPr>
                <w:sz w:val="24"/>
              </w:rPr>
              <w:t>4731</w:t>
            </w:r>
          </w:p>
        </w:tc>
        <w:tc>
          <w:tcPr>
            <w:tcW w:w="7371" w:type="dxa"/>
            <w:shd w:val="clear" w:color="auto" w:fill="FFFFFF" w:themeFill="background1"/>
            <w:vAlign w:val="center"/>
            <w:hideMark/>
          </w:tcPr>
          <w:p w14:paraId="4295BA1C" w14:textId="77777777" w:rsidR="00FF0F9B" w:rsidRPr="00EF1E43" w:rsidRDefault="00FF0F9B" w:rsidP="00374F41">
            <w:pPr>
              <w:rPr>
                <w:sz w:val="24"/>
              </w:rPr>
            </w:pPr>
            <w:r w:rsidRPr="00EF1E43">
              <w:rPr>
                <w:sz w:val="24"/>
              </w:rPr>
              <w:t>Berg JW, Hutter RV (1995). Breast cancer. Cancer, 75(Suppl 1): 257-69.</w:t>
            </w:r>
          </w:p>
        </w:tc>
      </w:tr>
      <w:tr w:rsidR="00EF1E43" w:rsidRPr="00EF1E43" w14:paraId="7DC620B7" w14:textId="77777777" w:rsidTr="00CC61F1">
        <w:trPr>
          <w:cantSplit/>
        </w:trPr>
        <w:tc>
          <w:tcPr>
            <w:tcW w:w="1555" w:type="dxa"/>
            <w:shd w:val="clear" w:color="auto" w:fill="FFFFFF" w:themeFill="background1"/>
            <w:noWrap/>
            <w:vAlign w:val="center"/>
            <w:hideMark/>
          </w:tcPr>
          <w:p w14:paraId="0E861AAC" w14:textId="77777777" w:rsidR="00FF0F9B" w:rsidRPr="00EF1E43" w:rsidRDefault="00FF0F9B" w:rsidP="00374F41">
            <w:pPr>
              <w:jc w:val="center"/>
              <w:rPr>
                <w:sz w:val="24"/>
              </w:rPr>
            </w:pPr>
            <w:r w:rsidRPr="00EF1E43">
              <w:rPr>
                <w:sz w:val="24"/>
              </w:rPr>
              <w:t>37135</w:t>
            </w:r>
          </w:p>
        </w:tc>
        <w:tc>
          <w:tcPr>
            <w:tcW w:w="7371" w:type="dxa"/>
            <w:shd w:val="clear" w:color="auto" w:fill="FFFFFF" w:themeFill="background1"/>
            <w:vAlign w:val="center"/>
            <w:hideMark/>
          </w:tcPr>
          <w:p w14:paraId="49B9F3AD" w14:textId="77777777" w:rsidR="00FF0F9B" w:rsidRPr="00EF1E43" w:rsidRDefault="00FF0F9B" w:rsidP="00374F41">
            <w:pPr>
              <w:rPr>
                <w:sz w:val="24"/>
              </w:rPr>
            </w:pPr>
            <w:r w:rsidRPr="00EF1E43">
              <w:rPr>
                <w:sz w:val="24"/>
              </w:rPr>
              <w:t>Berger A, Bodian CA (1997). Exercise and breast cancer. N Engl J Med, 337(10): 708; author reply 709.</w:t>
            </w:r>
          </w:p>
        </w:tc>
      </w:tr>
      <w:tr w:rsidR="00EF1E43" w:rsidRPr="00EF1E43" w14:paraId="5384938A" w14:textId="77777777" w:rsidTr="00CC61F1">
        <w:trPr>
          <w:cantSplit/>
        </w:trPr>
        <w:tc>
          <w:tcPr>
            <w:tcW w:w="1555" w:type="dxa"/>
            <w:shd w:val="clear" w:color="auto" w:fill="FFFFFF" w:themeFill="background1"/>
            <w:noWrap/>
            <w:vAlign w:val="center"/>
            <w:hideMark/>
          </w:tcPr>
          <w:p w14:paraId="34E209C3" w14:textId="77777777" w:rsidR="00FF0F9B" w:rsidRPr="00EF1E43" w:rsidRDefault="00FF0F9B" w:rsidP="00374F41">
            <w:pPr>
              <w:jc w:val="center"/>
              <w:rPr>
                <w:sz w:val="24"/>
              </w:rPr>
            </w:pPr>
            <w:r w:rsidRPr="00EF1E43">
              <w:rPr>
                <w:sz w:val="24"/>
              </w:rPr>
              <w:t>28143</w:t>
            </w:r>
          </w:p>
        </w:tc>
        <w:tc>
          <w:tcPr>
            <w:tcW w:w="7371" w:type="dxa"/>
            <w:shd w:val="clear" w:color="auto" w:fill="FFFFFF" w:themeFill="background1"/>
            <w:vAlign w:val="center"/>
            <w:hideMark/>
          </w:tcPr>
          <w:p w14:paraId="5E9D4C4A" w14:textId="77777777" w:rsidR="00FF0F9B" w:rsidRPr="00EF1E43" w:rsidRDefault="00FF0F9B" w:rsidP="00374F41">
            <w:pPr>
              <w:rPr>
                <w:sz w:val="24"/>
              </w:rPr>
            </w:pPr>
            <w:r w:rsidRPr="00EF1E43">
              <w:rPr>
                <w:sz w:val="24"/>
              </w:rPr>
              <w:t>Berglund G (2002). Anthropometry, physical activity and cancer of the breast and colon. IARC Sci Publ, 156: 237-41.</w:t>
            </w:r>
          </w:p>
        </w:tc>
      </w:tr>
      <w:tr w:rsidR="00EF1E43" w:rsidRPr="00EF1E43" w14:paraId="5A5005AA" w14:textId="77777777" w:rsidTr="00CC61F1">
        <w:trPr>
          <w:cantSplit/>
        </w:trPr>
        <w:tc>
          <w:tcPr>
            <w:tcW w:w="1555" w:type="dxa"/>
            <w:shd w:val="clear" w:color="auto" w:fill="FFFFFF" w:themeFill="background1"/>
            <w:noWrap/>
            <w:vAlign w:val="center"/>
            <w:hideMark/>
          </w:tcPr>
          <w:p w14:paraId="201CFB1D" w14:textId="77777777" w:rsidR="00FF0F9B" w:rsidRPr="00EF1E43" w:rsidRDefault="00FF0F9B" w:rsidP="00374F41">
            <w:pPr>
              <w:jc w:val="center"/>
              <w:rPr>
                <w:sz w:val="24"/>
              </w:rPr>
            </w:pPr>
            <w:r w:rsidRPr="00EF1E43">
              <w:rPr>
                <w:sz w:val="24"/>
              </w:rPr>
              <w:t>9195</w:t>
            </w:r>
          </w:p>
        </w:tc>
        <w:tc>
          <w:tcPr>
            <w:tcW w:w="7371" w:type="dxa"/>
            <w:shd w:val="clear" w:color="auto" w:fill="FFFFFF" w:themeFill="background1"/>
            <w:vAlign w:val="center"/>
            <w:hideMark/>
          </w:tcPr>
          <w:p w14:paraId="12DA432E" w14:textId="77777777" w:rsidR="00FF0F9B" w:rsidRPr="00EF1E43" w:rsidRDefault="00FF0F9B" w:rsidP="00374F41">
            <w:pPr>
              <w:rPr>
                <w:sz w:val="24"/>
              </w:rPr>
            </w:pPr>
            <w:r w:rsidRPr="00EF1E43">
              <w:rPr>
                <w:sz w:val="24"/>
              </w:rPr>
              <w:t>Berkel H, Birdsell DC, Jenkins H (1992). Breast augmentation: a risk factor for breast cancer? New Engl J Med, 326(25): 1649-53.</w:t>
            </w:r>
          </w:p>
        </w:tc>
      </w:tr>
      <w:tr w:rsidR="00EF1E43" w:rsidRPr="00EF1E43" w14:paraId="4E98645E" w14:textId="77777777" w:rsidTr="00CC61F1">
        <w:trPr>
          <w:cantSplit/>
        </w:trPr>
        <w:tc>
          <w:tcPr>
            <w:tcW w:w="1555" w:type="dxa"/>
            <w:shd w:val="clear" w:color="auto" w:fill="FFFFFF" w:themeFill="background1"/>
            <w:noWrap/>
            <w:vAlign w:val="center"/>
            <w:hideMark/>
          </w:tcPr>
          <w:p w14:paraId="4AF62F50" w14:textId="77777777" w:rsidR="00FF0F9B" w:rsidRPr="00EF1E43" w:rsidRDefault="00FF0F9B" w:rsidP="00374F41">
            <w:pPr>
              <w:jc w:val="center"/>
              <w:rPr>
                <w:sz w:val="24"/>
              </w:rPr>
            </w:pPr>
            <w:r w:rsidRPr="00EF1E43">
              <w:rPr>
                <w:sz w:val="24"/>
              </w:rPr>
              <w:t>70966</w:t>
            </w:r>
          </w:p>
        </w:tc>
        <w:tc>
          <w:tcPr>
            <w:tcW w:w="7371" w:type="dxa"/>
            <w:shd w:val="clear" w:color="auto" w:fill="FFFFFF" w:themeFill="background1"/>
            <w:vAlign w:val="center"/>
            <w:hideMark/>
          </w:tcPr>
          <w:p w14:paraId="6181E0C2" w14:textId="77777777" w:rsidR="00FF0F9B" w:rsidRPr="00EF1E43" w:rsidRDefault="00FF0F9B" w:rsidP="00374F41">
            <w:pPr>
              <w:rPr>
                <w:sz w:val="24"/>
              </w:rPr>
            </w:pPr>
            <w:r w:rsidRPr="00EF1E43">
              <w:rPr>
                <w:sz w:val="24"/>
              </w:rPr>
              <w:t>Bernatsky S, Ramsey-Goldman R, Foulkes WD, et al (2011). Breast, ovarian, and endometrial malignancies in systemic lupus erythematosus: a meta-analysis. Br J Cancer, 104(9): 1478-81.</w:t>
            </w:r>
          </w:p>
        </w:tc>
      </w:tr>
      <w:tr w:rsidR="00EF1E43" w:rsidRPr="00EF1E43" w14:paraId="30399245" w14:textId="77777777" w:rsidTr="00CC61F1">
        <w:trPr>
          <w:cantSplit/>
        </w:trPr>
        <w:tc>
          <w:tcPr>
            <w:tcW w:w="1555" w:type="dxa"/>
            <w:shd w:val="clear" w:color="auto" w:fill="FFFFFF" w:themeFill="background1"/>
            <w:noWrap/>
            <w:vAlign w:val="center"/>
            <w:hideMark/>
          </w:tcPr>
          <w:p w14:paraId="474F4795" w14:textId="77777777" w:rsidR="00FF0F9B" w:rsidRPr="00EF1E43" w:rsidRDefault="00FF0F9B" w:rsidP="00374F41">
            <w:pPr>
              <w:jc w:val="center"/>
              <w:rPr>
                <w:sz w:val="24"/>
              </w:rPr>
            </w:pPr>
            <w:r w:rsidRPr="00EF1E43">
              <w:rPr>
                <w:sz w:val="24"/>
              </w:rPr>
              <w:t>59324</w:t>
            </w:r>
          </w:p>
        </w:tc>
        <w:tc>
          <w:tcPr>
            <w:tcW w:w="7371" w:type="dxa"/>
            <w:shd w:val="clear" w:color="auto" w:fill="FFFFFF" w:themeFill="background1"/>
            <w:vAlign w:val="center"/>
            <w:hideMark/>
          </w:tcPr>
          <w:p w14:paraId="477A0C60" w14:textId="77777777" w:rsidR="00FF0F9B" w:rsidRPr="00EF1E43" w:rsidRDefault="00FF0F9B" w:rsidP="00374F41">
            <w:pPr>
              <w:rPr>
                <w:sz w:val="24"/>
              </w:rPr>
            </w:pPr>
            <w:r w:rsidRPr="00EF1E43">
              <w:rPr>
                <w:sz w:val="24"/>
              </w:rPr>
              <w:t>Berrington de Gonzalez A, Darby S (2004). Risk of cancer from diagnostic X-rays: estimates for the UK and 14 other countries. Lancet, 363(9406): 345-51.</w:t>
            </w:r>
          </w:p>
        </w:tc>
      </w:tr>
      <w:tr w:rsidR="00EF1E43" w:rsidRPr="00EF1E43" w14:paraId="1DCE3DBD" w14:textId="77777777" w:rsidTr="00CC61F1">
        <w:trPr>
          <w:cantSplit/>
        </w:trPr>
        <w:tc>
          <w:tcPr>
            <w:tcW w:w="1555" w:type="dxa"/>
            <w:shd w:val="clear" w:color="auto" w:fill="FFFFFF" w:themeFill="background1"/>
            <w:noWrap/>
            <w:vAlign w:val="center"/>
            <w:hideMark/>
          </w:tcPr>
          <w:p w14:paraId="2BAD4147" w14:textId="77777777" w:rsidR="00FF0F9B" w:rsidRPr="00EF1E43" w:rsidRDefault="00FF0F9B" w:rsidP="00374F41">
            <w:pPr>
              <w:jc w:val="center"/>
              <w:rPr>
                <w:sz w:val="24"/>
              </w:rPr>
            </w:pPr>
            <w:r w:rsidRPr="00EF1E43">
              <w:rPr>
                <w:sz w:val="24"/>
              </w:rPr>
              <w:t>71534</w:t>
            </w:r>
          </w:p>
        </w:tc>
        <w:tc>
          <w:tcPr>
            <w:tcW w:w="7371" w:type="dxa"/>
            <w:shd w:val="clear" w:color="auto" w:fill="FFFFFF" w:themeFill="background1"/>
            <w:vAlign w:val="center"/>
            <w:hideMark/>
          </w:tcPr>
          <w:p w14:paraId="30ADFCF6" w14:textId="77777777" w:rsidR="00FF0F9B" w:rsidRPr="00EF1E43" w:rsidRDefault="00FF0F9B" w:rsidP="00374F41">
            <w:pPr>
              <w:rPr>
                <w:sz w:val="24"/>
              </w:rPr>
            </w:pPr>
            <w:r w:rsidRPr="00EF1E43">
              <w:rPr>
                <w:sz w:val="24"/>
              </w:rPr>
              <w:t>Bertos NR, Park M (2011). Breast cancer - one term, many entities? J Clin Invest, 121(10): 3789-96.</w:t>
            </w:r>
          </w:p>
        </w:tc>
      </w:tr>
      <w:tr w:rsidR="00EF1E43" w:rsidRPr="00EF1E43" w14:paraId="7FA214D4" w14:textId="77777777" w:rsidTr="00CC61F1">
        <w:trPr>
          <w:cantSplit/>
        </w:trPr>
        <w:tc>
          <w:tcPr>
            <w:tcW w:w="1555" w:type="dxa"/>
            <w:shd w:val="clear" w:color="auto" w:fill="FFFFFF" w:themeFill="background1"/>
            <w:noWrap/>
            <w:vAlign w:val="center"/>
            <w:hideMark/>
          </w:tcPr>
          <w:p w14:paraId="0C23435F" w14:textId="77777777" w:rsidR="00FF0F9B" w:rsidRPr="00EF1E43" w:rsidRDefault="00FF0F9B" w:rsidP="00374F41">
            <w:pPr>
              <w:jc w:val="center"/>
              <w:rPr>
                <w:sz w:val="24"/>
              </w:rPr>
            </w:pPr>
            <w:r w:rsidRPr="00EF1E43">
              <w:rPr>
                <w:sz w:val="24"/>
              </w:rPr>
              <w:t>4766</w:t>
            </w:r>
          </w:p>
        </w:tc>
        <w:tc>
          <w:tcPr>
            <w:tcW w:w="7371" w:type="dxa"/>
            <w:shd w:val="clear" w:color="auto" w:fill="FFFFFF" w:themeFill="background1"/>
            <w:vAlign w:val="center"/>
            <w:hideMark/>
          </w:tcPr>
          <w:p w14:paraId="3FDC4078" w14:textId="77777777" w:rsidR="00FF0F9B" w:rsidRPr="00EF1E43" w:rsidRDefault="00FF0F9B" w:rsidP="00374F41">
            <w:pPr>
              <w:rPr>
                <w:sz w:val="24"/>
              </w:rPr>
            </w:pPr>
            <w:r w:rsidRPr="00EF1E43">
              <w:rPr>
                <w:sz w:val="24"/>
              </w:rPr>
              <w:t>Bezwoda WR, Hesdorffer C, Dansey R, et al (1987). Breast cancer in men. Clinical features, hormone receptor status, and response to therapy. Cancer, 60(6): 1337-40.</w:t>
            </w:r>
          </w:p>
        </w:tc>
      </w:tr>
      <w:tr w:rsidR="00EF1E43" w:rsidRPr="00EF1E43" w14:paraId="39369CE3" w14:textId="77777777" w:rsidTr="00CC61F1">
        <w:trPr>
          <w:cantSplit/>
        </w:trPr>
        <w:tc>
          <w:tcPr>
            <w:tcW w:w="1555" w:type="dxa"/>
            <w:shd w:val="clear" w:color="auto" w:fill="FFFFFF" w:themeFill="background1"/>
            <w:noWrap/>
            <w:vAlign w:val="center"/>
            <w:hideMark/>
          </w:tcPr>
          <w:p w14:paraId="08061609" w14:textId="77777777" w:rsidR="00FF0F9B" w:rsidRPr="00EF1E43" w:rsidRDefault="00FF0F9B" w:rsidP="00374F41">
            <w:pPr>
              <w:jc w:val="center"/>
              <w:rPr>
                <w:sz w:val="24"/>
              </w:rPr>
            </w:pPr>
            <w:r w:rsidRPr="00EF1E43">
              <w:rPr>
                <w:sz w:val="24"/>
              </w:rPr>
              <w:t>59460</w:t>
            </w:r>
          </w:p>
        </w:tc>
        <w:tc>
          <w:tcPr>
            <w:tcW w:w="7371" w:type="dxa"/>
            <w:shd w:val="clear" w:color="auto" w:fill="FFFFFF" w:themeFill="background1"/>
            <w:vAlign w:val="center"/>
            <w:hideMark/>
          </w:tcPr>
          <w:p w14:paraId="6C88050C" w14:textId="77777777" w:rsidR="00FF0F9B" w:rsidRPr="00EF1E43" w:rsidRDefault="00FF0F9B" w:rsidP="00374F41">
            <w:pPr>
              <w:rPr>
                <w:sz w:val="24"/>
              </w:rPr>
            </w:pPr>
            <w:r w:rsidRPr="00EF1E43">
              <w:rPr>
                <w:sz w:val="24"/>
              </w:rPr>
              <w:t>Bhatti P, Struewing JP, Alexander BH, et al (2008). Polymorphisms in DNA repair genes, ionizing radiation exposure and risk of breast cancer in U.S. Radiologic technologists. Int J Cancer, 122(1): 177-82.</w:t>
            </w:r>
          </w:p>
        </w:tc>
      </w:tr>
      <w:tr w:rsidR="00EF1E43" w:rsidRPr="00EF1E43" w14:paraId="7BE4D184" w14:textId="77777777" w:rsidTr="00CC61F1">
        <w:trPr>
          <w:cantSplit/>
        </w:trPr>
        <w:tc>
          <w:tcPr>
            <w:tcW w:w="1555" w:type="dxa"/>
            <w:shd w:val="clear" w:color="auto" w:fill="FFFFFF" w:themeFill="background1"/>
            <w:noWrap/>
            <w:vAlign w:val="center"/>
            <w:hideMark/>
          </w:tcPr>
          <w:p w14:paraId="7F2D904B" w14:textId="77777777" w:rsidR="00FF0F9B" w:rsidRPr="00EF1E43" w:rsidRDefault="00FF0F9B" w:rsidP="00374F41">
            <w:pPr>
              <w:jc w:val="center"/>
              <w:rPr>
                <w:sz w:val="24"/>
              </w:rPr>
            </w:pPr>
            <w:r w:rsidRPr="00EF1E43">
              <w:rPr>
                <w:sz w:val="24"/>
              </w:rPr>
              <w:t>71535</w:t>
            </w:r>
          </w:p>
        </w:tc>
        <w:tc>
          <w:tcPr>
            <w:tcW w:w="7371" w:type="dxa"/>
            <w:shd w:val="clear" w:color="auto" w:fill="FFFFFF" w:themeFill="background1"/>
            <w:vAlign w:val="center"/>
            <w:hideMark/>
          </w:tcPr>
          <w:p w14:paraId="120599AA" w14:textId="77777777" w:rsidR="00FF0F9B" w:rsidRPr="00EF1E43" w:rsidRDefault="00FF0F9B" w:rsidP="00374F41">
            <w:pPr>
              <w:rPr>
                <w:sz w:val="24"/>
              </w:rPr>
            </w:pPr>
            <w:r w:rsidRPr="00EF1E43">
              <w:rPr>
                <w:sz w:val="24"/>
              </w:rPr>
              <w:t>Biggar RJ, Andersen EW, Kroman N, et al (2013). Breast cancer in women using digoxin: tumor characteristics and relapse risk. Breast Cancer Res, 15(1): R13.</w:t>
            </w:r>
          </w:p>
        </w:tc>
      </w:tr>
      <w:tr w:rsidR="00EF1E43" w:rsidRPr="00EF1E43" w14:paraId="01AD8FE2" w14:textId="77777777" w:rsidTr="00CC61F1">
        <w:trPr>
          <w:cantSplit/>
        </w:trPr>
        <w:tc>
          <w:tcPr>
            <w:tcW w:w="1555" w:type="dxa"/>
            <w:shd w:val="clear" w:color="auto" w:fill="FFFFFF" w:themeFill="background1"/>
            <w:noWrap/>
            <w:vAlign w:val="center"/>
            <w:hideMark/>
          </w:tcPr>
          <w:p w14:paraId="1446AF17" w14:textId="77777777" w:rsidR="00FF0F9B" w:rsidRPr="00EF1E43" w:rsidRDefault="00FF0F9B" w:rsidP="00374F41">
            <w:pPr>
              <w:jc w:val="center"/>
              <w:rPr>
                <w:sz w:val="24"/>
              </w:rPr>
            </w:pPr>
            <w:r w:rsidRPr="00EF1E43">
              <w:rPr>
                <w:sz w:val="24"/>
              </w:rPr>
              <w:t>38262</w:t>
            </w:r>
          </w:p>
        </w:tc>
        <w:tc>
          <w:tcPr>
            <w:tcW w:w="7371" w:type="dxa"/>
            <w:shd w:val="clear" w:color="auto" w:fill="FFFFFF" w:themeFill="background1"/>
            <w:vAlign w:val="center"/>
            <w:hideMark/>
          </w:tcPr>
          <w:p w14:paraId="76B7BBD3" w14:textId="77777777" w:rsidR="00FF0F9B" w:rsidRPr="00EF1E43" w:rsidRDefault="00FF0F9B" w:rsidP="00374F41">
            <w:pPr>
              <w:rPr>
                <w:sz w:val="24"/>
              </w:rPr>
            </w:pPr>
            <w:r w:rsidRPr="00EF1E43">
              <w:rPr>
                <w:sz w:val="24"/>
              </w:rPr>
              <w:t>Binukumar B, Mathew A (2005). Dietary fat and risk of breast cancer. World J Surg Oncol, 3: 45.</w:t>
            </w:r>
          </w:p>
        </w:tc>
      </w:tr>
      <w:tr w:rsidR="00EF1E43" w:rsidRPr="00EF1E43" w14:paraId="5A7E7936" w14:textId="77777777" w:rsidTr="00CC61F1">
        <w:trPr>
          <w:cantSplit/>
        </w:trPr>
        <w:tc>
          <w:tcPr>
            <w:tcW w:w="1555" w:type="dxa"/>
            <w:shd w:val="clear" w:color="auto" w:fill="FFFFFF" w:themeFill="background1"/>
            <w:noWrap/>
            <w:vAlign w:val="center"/>
            <w:hideMark/>
          </w:tcPr>
          <w:p w14:paraId="7A7578E3" w14:textId="77777777" w:rsidR="00FF0F9B" w:rsidRPr="00EF1E43" w:rsidRDefault="00FF0F9B" w:rsidP="00374F41">
            <w:pPr>
              <w:jc w:val="center"/>
              <w:rPr>
                <w:sz w:val="24"/>
              </w:rPr>
            </w:pPr>
            <w:r w:rsidRPr="00EF1E43">
              <w:rPr>
                <w:sz w:val="24"/>
              </w:rPr>
              <w:t>57389</w:t>
            </w:r>
          </w:p>
        </w:tc>
        <w:tc>
          <w:tcPr>
            <w:tcW w:w="7371" w:type="dxa"/>
            <w:shd w:val="clear" w:color="auto" w:fill="FFFFFF" w:themeFill="background1"/>
            <w:vAlign w:val="center"/>
            <w:hideMark/>
          </w:tcPr>
          <w:p w14:paraId="07AB879E" w14:textId="77777777" w:rsidR="00FF0F9B" w:rsidRPr="00EF1E43" w:rsidRDefault="00FF0F9B" w:rsidP="00374F41">
            <w:pPr>
              <w:rPr>
                <w:sz w:val="24"/>
              </w:rPr>
            </w:pPr>
            <w:r w:rsidRPr="00EF1E43">
              <w:rPr>
                <w:sz w:val="24"/>
              </w:rPr>
              <w:t>Blecher CM (2010). [Comment] Alarm about computed tomography scans is unjustified. Med J Aust, 192(12): 723-4.</w:t>
            </w:r>
          </w:p>
        </w:tc>
      </w:tr>
      <w:tr w:rsidR="00EF1E43" w:rsidRPr="00EF1E43" w14:paraId="139C1B12" w14:textId="77777777" w:rsidTr="00CC61F1">
        <w:trPr>
          <w:cantSplit/>
        </w:trPr>
        <w:tc>
          <w:tcPr>
            <w:tcW w:w="1555" w:type="dxa"/>
            <w:shd w:val="clear" w:color="auto" w:fill="FFFFFF" w:themeFill="background1"/>
            <w:noWrap/>
            <w:vAlign w:val="center"/>
            <w:hideMark/>
          </w:tcPr>
          <w:p w14:paraId="40FCEB07" w14:textId="77777777" w:rsidR="00FF0F9B" w:rsidRPr="00EF1E43" w:rsidRDefault="00FF0F9B" w:rsidP="00374F41">
            <w:pPr>
              <w:jc w:val="center"/>
              <w:rPr>
                <w:sz w:val="24"/>
              </w:rPr>
            </w:pPr>
            <w:r w:rsidRPr="00EF1E43">
              <w:rPr>
                <w:sz w:val="24"/>
              </w:rPr>
              <w:t>50297</w:t>
            </w:r>
          </w:p>
        </w:tc>
        <w:tc>
          <w:tcPr>
            <w:tcW w:w="7371" w:type="dxa"/>
            <w:shd w:val="clear" w:color="auto" w:fill="FFFFFF" w:themeFill="background1"/>
            <w:vAlign w:val="center"/>
            <w:hideMark/>
          </w:tcPr>
          <w:p w14:paraId="41D14049" w14:textId="77777777" w:rsidR="00FF0F9B" w:rsidRPr="00EF1E43" w:rsidRDefault="00FF0F9B" w:rsidP="00374F41">
            <w:pPr>
              <w:rPr>
                <w:sz w:val="24"/>
              </w:rPr>
            </w:pPr>
            <w:r w:rsidRPr="00EF1E43">
              <w:rPr>
                <w:sz w:val="24"/>
              </w:rPr>
              <w:t>Boffetta P, McLaughlin JK, La Vecchia C, et al (2008). [Comment] False-positive results in cancer epidemiology: a plea for epistemological modesty. J Natl Cancer Inst, 100(14): 988-95.</w:t>
            </w:r>
          </w:p>
        </w:tc>
      </w:tr>
      <w:tr w:rsidR="00EF1E43" w:rsidRPr="00EF1E43" w14:paraId="599F2C9D" w14:textId="77777777" w:rsidTr="00CC61F1">
        <w:trPr>
          <w:cantSplit/>
        </w:trPr>
        <w:tc>
          <w:tcPr>
            <w:tcW w:w="1555" w:type="dxa"/>
            <w:shd w:val="clear" w:color="auto" w:fill="FFFFFF" w:themeFill="background1"/>
            <w:noWrap/>
            <w:vAlign w:val="center"/>
            <w:hideMark/>
          </w:tcPr>
          <w:p w14:paraId="66C74041" w14:textId="77777777" w:rsidR="00FF0F9B" w:rsidRPr="00EF1E43" w:rsidRDefault="00FF0F9B" w:rsidP="00374F41">
            <w:pPr>
              <w:jc w:val="center"/>
              <w:rPr>
                <w:sz w:val="24"/>
              </w:rPr>
            </w:pPr>
            <w:r w:rsidRPr="00EF1E43">
              <w:rPr>
                <w:sz w:val="24"/>
              </w:rPr>
              <w:t>35579</w:t>
            </w:r>
          </w:p>
        </w:tc>
        <w:tc>
          <w:tcPr>
            <w:tcW w:w="7371" w:type="dxa"/>
            <w:shd w:val="clear" w:color="auto" w:fill="FFFFFF" w:themeFill="background1"/>
            <w:vAlign w:val="center"/>
            <w:hideMark/>
          </w:tcPr>
          <w:p w14:paraId="04F8D8BB" w14:textId="77777777" w:rsidR="00FF0F9B" w:rsidRPr="00EF1E43" w:rsidRDefault="00FF0F9B" w:rsidP="00374F41">
            <w:pPr>
              <w:rPr>
                <w:sz w:val="24"/>
              </w:rPr>
            </w:pPr>
            <w:r w:rsidRPr="00EF1E43">
              <w:rPr>
                <w:sz w:val="24"/>
              </w:rPr>
              <w:t>Boice JD Jr (2001). Radiation and breast carcinogenesis. Med Pediatr Oncol, 36(5): 508-13.</w:t>
            </w:r>
          </w:p>
        </w:tc>
      </w:tr>
      <w:tr w:rsidR="00EF1E43" w:rsidRPr="00EF1E43" w14:paraId="475A2DAC" w14:textId="77777777" w:rsidTr="00CC61F1">
        <w:trPr>
          <w:cantSplit/>
        </w:trPr>
        <w:tc>
          <w:tcPr>
            <w:tcW w:w="1555" w:type="dxa"/>
            <w:shd w:val="clear" w:color="auto" w:fill="FFFFFF" w:themeFill="background1"/>
            <w:noWrap/>
            <w:vAlign w:val="center"/>
            <w:hideMark/>
          </w:tcPr>
          <w:p w14:paraId="4A7F6318" w14:textId="77777777" w:rsidR="00FF0F9B" w:rsidRPr="00EF1E43" w:rsidRDefault="00FF0F9B" w:rsidP="00374F41">
            <w:pPr>
              <w:jc w:val="center"/>
              <w:rPr>
                <w:sz w:val="24"/>
              </w:rPr>
            </w:pPr>
            <w:r w:rsidRPr="00EF1E43">
              <w:rPr>
                <w:sz w:val="24"/>
              </w:rPr>
              <w:t>9196</w:t>
            </w:r>
          </w:p>
        </w:tc>
        <w:tc>
          <w:tcPr>
            <w:tcW w:w="7371" w:type="dxa"/>
            <w:shd w:val="clear" w:color="auto" w:fill="FFFFFF" w:themeFill="background1"/>
            <w:vAlign w:val="center"/>
            <w:hideMark/>
          </w:tcPr>
          <w:p w14:paraId="14096451" w14:textId="77777777" w:rsidR="00FF0F9B" w:rsidRPr="00EF1E43" w:rsidRDefault="00FF0F9B" w:rsidP="00374F41">
            <w:pPr>
              <w:rPr>
                <w:sz w:val="24"/>
              </w:rPr>
            </w:pPr>
            <w:r w:rsidRPr="00EF1E43">
              <w:rPr>
                <w:sz w:val="24"/>
              </w:rPr>
              <w:t>Boice JD Jr, Mandel JS, Doody MM (1996). [Comment] Breast cancer among radiologic technologies. JAMA, 274(5): 394-401.</w:t>
            </w:r>
          </w:p>
        </w:tc>
      </w:tr>
      <w:tr w:rsidR="00EF1E43" w:rsidRPr="00EF1E43" w14:paraId="56E1219D" w14:textId="77777777" w:rsidTr="00CC61F1">
        <w:trPr>
          <w:cantSplit/>
        </w:trPr>
        <w:tc>
          <w:tcPr>
            <w:tcW w:w="1555" w:type="dxa"/>
            <w:shd w:val="clear" w:color="auto" w:fill="FFFFFF" w:themeFill="background1"/>
            <w:noWrap/>
            <w:vAlign w:val="center"/>
            <w:hideMark/>
          </w:tcPr>
          <w:p w14:paraId="69970CCD" w14:textId="77777777" w:rsidR="00FF0F9B" w:rsidRPr="00EF1E43" w:rsidRDefault="00FF0F9B" w:rsidP="00374F41">
            <w:pPr>
              <w:jc w:val="center"/>
              <w:rPr>
                <w:sz w:val="24"/>
              </w:rPr>
            </w:pPr>
            <w:r w:rsidRPr="00EF1E43">
              <w:rPr>
                <w:sz w:val="24"/>
              </w:rPr>
              <w:t>35577</w:t>
            </w:r>
          </w:p>
        </w:tc>
        <w:tc>
          <w:tcPr>
            <w:tcW w:w="7371" w:type="dxa"/>
            <w:shd w:val="clear" w:color="auto" w:fill="FFFFFF" w:themeFill="background1"/>
            <w:vAlign w:val="center"/>
            <w:hideMark/>
          </w:tcPr>
          <w:p w14:paraId="62D31533" w14:textId="77777777" w:rsidR="00FF0F9B" w:rsidRPr="00EF1E43" w:rsidRDefault="00FF0F9B" w:rsidP="00374F41">
            <w:pPr>
              <w:rPr>
                <w:sz w:val="24"/>
              </w:rPr>
            </w:pPr>
            <w:r w:rsidRPr="00EF1E43">
              <w:rPr>
                <w:sz w:val="24"/>
              </w:rPr>
              <w:t>Boice JD, Mandel JS, Morin Doody M (1995). Breast cancer among radiologic technologists. JAMA, 274(5): 394-401.</w:t>
            </w:r>
          </w:p>
        </w:tc>
      </w:tr>
      <w:tr w:rsidR="00EF1E43" w:rsidRPr="00EF1E43" w14:paraId="0E7FAE86" w14:textId="77777777" w:rsidTr="00CC61F1">
        <w:trPr>
          <w:cantSplit/>
        </w:trPr>
        <w:tc>
          <w:tcPr>
            <w:tcW w:w="1555" w:type="dxa"/>
            <w:shd w:val="clear" w:color="auto" w:fill="FFFFFF" w:themeFill="background1"/>
            <w:noWrap/>
            <w:vAlign w:val="center"/>
            <w:hideMark/>
          </w:tcPr>
          <w:p w14:paraId="15D366F2" w14:textId="77777777" w:rsidR="00FF0F9B" w:rsidRPr="00EF1E43" w:rsidRDefault="00FF0F9B" w:rsidP="00374F41">
            <w:pPr>
              <w:jc w:val="center"/>
              <w:rPr>
                <w:sz w:val="24"/>
              </w:rPr>
            </w:pPr>
            <w:r w:rsidRPr="00EF1E43">
              <w:rPr>
                <w:sz w:val="24"/>
              </w:rPr>
              <w:t>71542</w:t>
            </w:r>
          </w:p>
        </w:tc>
        <w:tc>
          <w:tcPr>
            <w:tcW w:w="7371" w:type="dxa"/>
            <w:shd w:val="clear" w:color="auto" w:fill="FFFFFF" w:themeFill="background1"/>
            <w:vAlign w:val="center"/>
            <w:hideMark/>
          </w:tcPr>
          <w:p w14:paraId="6A20FC65" w14:textId="77777777" w:rsidR="00FF0F9B" w:rsidRPr="00EF1E43" w:rsidRDefault="00FF0F9B" w:rsidP="00374F41">
            <w:pPr>
              <w:rPr>
                <w:sz w:val="24"/>
              </w:rPr>
            </w:pPr>
            <w:r w:rsidRPr="00EF1E43">
              <w:rPr>
                <w:sz w:val="24"/>
              </w:rPr>
              <w:t>Bonde JP, Hansen J, Kolstad HA, et al (2012). Work at night and breast cancer--report on evidence-based options for preventive actions. Scand J Work Environ Health, 38(4): 380-90.</w:t>
            </w:r>
          </w:p>
        </w:tc>
      </w:tr>
      <w:tr w:rsidR="00EF1E43" w:rsidRPr="00EF1E43" w14:paraId="318FFD0F" w14:textId="77777777" w:rsidTr="00CC61F1">
        <w:trPr>
          <w:cantSplit/>
        </w:trPr>
        <w:tc>
          <w:tcPr>
            <w:tcW w:w="1555" w:type="dxa"/>
            <w:shd w:val="clear" w:color="auto" w:fill="FFFFFF" w:themeFill="background1"/>
            <w:noWrap/>
            <w:vAlign w:val="center"/>
            <w:hideMark/>
          </w:tcPr>
          <w:p w14:paraId="5356F982" w14:textId="77777777" w:rsidR="00FF0F9B" w:rsidRPr="00EF1E43" w:rsidRDefault="00FF0F9B" w:rsidP="00374F41">
            <w:pPr>
              <w:jc w:val="center"/>
              <w:rPr>
                <w:sz w:val="24"/>
              </w:rPr>
            </w:pPr>
            <w:r w:rsidRPr="00EF1E43">
              <w:rPr>
                <w:sz w:val="24"/>
              </w:rPr>
              <w:lastRenderedPageBreak/>
              <w:t>70135</w:t>
            </w:r>
          </w:p>
        </w:tc>
        <w:tc>
          <w:tcPr>
            <w:tcW w:w="7371" w:type="dxa"/>
            <w:shd w:val="clear" w:color="auto" w:fill="FFFFFF" w:themeFill="background1"/>
            <w:vAlign w:val="center"/>
            <w:hideMark/>
          </w:tcPr>
          <w:p w14:paraId="4AAEDE39" w14:textId="77777777" w:rsidR="00FF0F9B" w:rsidRPr="00EF1E43" w:rsidRDefault="00FF0F9B" w:rsidP="00374F41">
            <w:pPr>
              <w:rPr>
                <w:sz w:val="24"/>
              </w:rPr>
            </w:pPr>
            <w:r w:rsidRPr="00EF1E43">
              <w:rPr>
                <w:sz w:val="24"/>
              </w:rPr>
              <w:t>Bonifazi M, Tramacere I, Pomponio G, et al (2013). Systemic sclerosis (scleroderma) and cancer risk: systematic review and meta-analysis of observational studies. Rheumatology (Oxford), 52(1): 143-54.</w:t>
            </w:r>
          </w:p>
        </w:tc>
      </w:tr>
      <w:tr w:rsidR="00EF1E43" w:rsidRPr="00EF1E43" w14:paraId="45F66BE9" w14:textId="77777777" w:rsidTr="00CC61F1">
        <w:trPr>
          <w:cantSplit/>
        </w:trPr>
        <w:tc>
          <w:tcPr>
            <w:tcW w:w="1555" w:type="dxa"/>
            <w:shd w:val="clear" w:color="auto" w:fill="FFFFFF" w:themeFill="background1"/>
            <w:noWrap/>
            <w:vAlign w:val="center"/>
            <w:hideMark/>
          </w:tcPr>
          <w:p w14:paraId="7BEC05CE" w14:textId="77777777" w:rsidR="00FF0F9B" w:rsidRPr="00EF1E43" w:rsidRDefault="00FF0F9B" w:rsidP="00374F41">
            <w:pPr>
              <w:jc w:val="center"/>
              <w:rPr>
                <w:sz w:val="24"/>
              </w:rPr>
            </w:pPr>
            <w:r w:rsidRPr="00EF1E43">
              <w:rPr>
                <w:sz w:val="24"/>
              </w:rPr>
              <w:t>35614</w:t>
            </w:r>
          </w:p>
        </w:tc>
        <w:tc>
          <w:tcPr>
            <w:tcW w:w="7371" w:type="dxa"/>
            <w:shd w:val="clear" w:color="auto" w:fill="FFFFFF" w:themeFill="background1"/>
            <w:vAlign w:val="center"/>
            <w:hideMark/>
          </w:tcPr>
          <w:p w14:paraId="28A7BC7A" w14:textId="77777777" w:rsidR="00FF0F9B" w:rsidRPr="00EF1E43" w:rsidRDefault="00FF0F9B" w:rsidP="00374F41">
            <w:pPr>
              <w:rPr>
                <w:sz w:val="24"/>
              </w:rPr>
            </w:pPr>
            <w:r w:rsidRPr="00EF1E43">
              <w:rPr>
                <w:sz w:val="24"/>
              </w:rPr>
              <w:t>Bosetti C, Spertini L, Parpinel M, et al (2005). Flavonoids and breast cancer risk in Italy. Cancer Epidemiol Biomarkers Prev, 14(4): 805-8.</w:t>
            </w:r>
          </w:p>
        </w:tc>
      </w:tr>
      <w:tr w:rsidR="00EF1E43" w:rsidRPr="00EF1E43" w14:paraId="0EE70452" w14:textId="77777777" w:rsidTr="00CC61F1">
        <w:trPr>
          <w:cantSplit/>
        </w:trPr>
        <w:tc>
          <w:tcPr>
            <w:tcW w:w="1555" w:type="dxa"/>
            <w:shd w:val="clear" w:color="auto" w:fill="FFFFFF" w:themeFill="background1"/>
            <w:noWrap/>
            <w:vAlign w:val="center"/>
            <w:hideMark/>
          </w:tcPr>
          <w:p w14:paraId="1996B073" w14:textId="77777777" w:rsidR="00FF0F9B" w:rsidRPr="00EF1E43" w:rsidRDefault="00FF0F9B" w:rsidP="00374F41">
            <w:pPr>
              <w:jc w:val="center"/>
              <w:rPr>
                <w:sz w:val="24"/>
              </w:rPr>
            </w:pPr>
            <w:r w:rsidRPr="00EF1E43">
              <w:rPr>
                <w:sz w:val="24"/>
              </w:rPr>
              <w:t>35719</w:t>
            </w:r>
          </w:p>
        </w:tc>
        <w:tc>
          <w:tcPr>
            <w:tcW w:w="7371" w:type="dxa"/>
            <w:shd w:val="clear" w:color="auto" w:fill="FFFFFF" w:themeFill="background1"/>
            <w:vAlign w:val="center"/>
            <w:hideMark/>
          </w:tcPr>
          <w:p w14:paraId="44FBE758" w14:textId="77777777" w:rsidR="00FF0F9B" w:rsidRPr="00EF1E43" w:rsidRDefault="00FF0F9B" w:rsidP="00374F41">
            <w:pPr>
              <w:rPr>
                <w:sz w:val="24"/>
              </w:rPr>
            </w:pPr>
            <w:r w:rsidRPr="00EF1E43">
              <w:rPr>
                <w:sz w:val="24"/>
              </w:rPr>
              <w:t>Bowlin SJ, Leske MC, Varma A, et al (1997). Breast cancer risk and alcohol consumption: results from a large case-control study. Int J Epidemiol, 26(5): 915-23.</w:t>
            </w:r>
          </w:p>
        </w:tc>
      </w:tr>
      <w:tr w:rsidR="00EF1E43" w:rsidRPr="00EF1E43" w14:paraId="3543959E" w14:textId="77777777" w:rsidTr="00CC61F1">
        <w:trPr>
          <w:cantSplit/>
        </w:trPr>
        <w:tc>
          <w:tcPr>
            <w:tcW w:w="1555" w:type="dxa"/>
            <w:shd w:val="clear" w:color="auto" w:fill="FFFFFF" w:themeFill="background1"/>
            <w:noWrap/>
            <w:vAlign w:val="center"/>
            <w:hideMark/>
          </w:tcPr>
          <w:p w14:paraId="4F9D801A" w14:textId="77777777" w:rsidR="00FF0F9B" w:rsidRPr="00EF1E43" w:rsidRDefault="00FF0F9B" w:rsidP="00374F41">
            <w:pPr>
              <w:jc w:val="center"/>
              <w:rPr>
                <w:sz w:val="24"/>
              </w:rPr>
            </w:pPr>
            <w:r w:rsidRPr="00EF1E43">
              <w:rPr>
                <w:sz w:val="24"/>
              </w:rPr>
              <w:t>9198</w:t>
            </w:r>
          </w:p>
        </w:tc>
        <w:tc>
          <w:tcPr>
            <w:tcW w:w="7371" w:type="dxa"/>
            <w:shd w:val="clear" w:color="auto" w:fill="FFFFFF" w:themeFill="background1"/>
            <w:vAlign w:val="center"/>
            <w:hideMark/>
          </w:tcPr>
          <w:p w14:paraId="684835C4" w14:textId="77777777" w:rsidR="00FF0F9B" w:rsidRPr="00EF1E43" w:rsidRDefault="00FF0F9B" w:rsidP="00374F41">
            <w:pPr>
              <w:rPr>
                <w:sz w:val="24"/>
              </w:rPr>
            </w:pPr>
            <w:r w:rsidRPr="00EF1E43">
              <w:rPr>
                <w:sz w:val="24"/>
              </w:rPr>
              <w:t>Boyd NF, Martin LJ, Noffel M, et al (1993). A meta-analysis of studies of dietary fat and breast cancer risk. Br J Cancer, 68(3): 627-36.</w:t>
            </w:r>
          </w:p>
        </w:tc>
      </w:tr>
      <w:tr w:rsidR="00EF1E43" w:rsidRPr="00EF1E43" w14:paraId="709B8081" w14:textId="77777777" w:rsidTr="00CC61F1">
        <w:trPr>
          <w:cantSplit/>
        </w:trPr>
        <w:tc>
          <w:tcPr>
            <w:tcW w:w="1555" w:type="dxa"/>
            <w:shd w:val="clear" w:color="auto" w:fill="FFFFFF" w:themeFill="background1"/>
            <w:noWrap/>
            <w:vAlign w:val="center"/>
            <w:hideMark/>
          </w:tcPr>
          <w:p w14:paraId="7CCF9A13" w14:textId="77777777" w:rsidR="00FF0F9B" w:rsidRPr="00EF1E43" w:rsidRDefault="00FF0F9B" w:rsidP="00374F41">
            <w:pPr>
              <w:jc w:val="center"/>
              <w:rPr>
                <w:sz w:val="24"/>
              </w:rPr>
            </w:pPr>
            <w:r w:rsidRPr="00EF1E43">
              <w:rPr>
                <w:sz w:val="24"/>
              </w:rPr>
              <w:t>36017</w:t>
            </w:r>
          </w:p>
        </w:tc>
        <w:tc>
          <w:tcPr>
            <w:tcW w:w="7371" w:type="dxa"/>
            <w:shd w:val="clear" w:color="auto" w:fill="FFFFFF" w:themeFill="background1"/>
            <w:vAlign w:val="center"/>
            <w:hideMark/>
          </w:tcPr>
          <w:p w14:paraId="4356B646" w14:textId="77777777" w:rsidR="00FF0F9B" w:rsidRPr="00EF1E43" w:rsidRDefault="00FF0F9B" w:rsidP="00374F41">
            <w:pPr>
              <w:rPr>
                <w:sz w:val="24"/>
              </w:rPr>
            </w:pPr>
            <w:r w:rsidRPr="00EF1E43">
              <w:rPr>
                <w:sz w:val="24"/>
              </w:rPr>
              <w:t>Braga C, Negri E, La Vecchia C, et al (1996). Cigarette smoking and the risk of breast cancer. Eur J Cancer Prev, 5(3): 159-64.</w:t>
            </w:r>
          </w:p>
        </w:tc>
      </w:tr>
      <w:tr w:rsidR="00EF1E43" w:rsidRPr="00EF1E43" w14:paraId="4F6A6C5D" w14:textId="77777777" w:rsidTr="00CC61F1">
        <w:trPr>
          <w:cantSplit/>
        </w:trPr>
        <w:tc>
          <w:tcPr>
            <w:tcW w:w="1555" w:type="dxa"/>
            <w:shd w:val="clear" w:color="auto" w:fill="FFFFFF" w:themeFill="background1"/>
            <w:noWrap/>
            <w:vAlign w:val="center"/>
            <w:hideMark/>
          </w:tcPr>
          <w:p w14:paraId="189DD658" w14:textId="77777777" w:rsidR="00FF0F9B" w:rsidRPr="00EF1E43" w:rsidRDefault="00FF0F9B" w:rsidP="00374F41">
            <w:pPr>
              <w:jc w:val="center"/>
              <w:rPr>
                <w:sz w:val="24"/>
              </w:rPr>
            </w:pPr>
            <w:r w:rsidRPr="00EF1E43">
              <w:rPr>
                <w:sz w:val="24"/>
              </w:rPr>
              <w:t>59653</w:t>
            </w:r>
          </w:p>
        </w:tc>
        <w:tc>
          <w:tcPr>
            <w:tcW w:w="7371" w:type="dxa"/>
            <w:shd w:val="clear" w:color="auto" w:fill="FFFFFF" w:themeFill="background1"/>
            <w:vAlign w:val="center"/>
            <w:hideMark/>
          </w:tcPr>
          <w:p w14:paraId="7A349CA5" w14:textId="77777777" w:rsidR="00FF0F9B" w:rsidRPr="00EF1E43" w:rsidRDefault="00FF0F9B" w:rsidP="00374F41">
            <w:pPr>
              <w:rPr>
                <w:sz w:val="24"/>
              </w:rPr>
            </w:pPr>
            <w:r w:rsidRPr="00EF1E43">
              <w:rPr>
                <w:sz w:val="24"/>
              </w:rPr>
              <w:t>Brenner DJ, Hall EJ (2007). Computed tomography--an increasing source of radiation exposure. N Engl J Med, 357(22): 2277-84.</w:t>
            </w:r>
          </w:p>
        </w:tc>
      </w:tr>
      <w:tr w:rsidR="00EF1E43" w:rsidRPr="00EF1E43" w14:paraId="5DD7F6EF" w14:textId="77777777" w:rsidTr="00CC61F1">
        <w:trPr>
          <w:cantSplit/>
        </w:trPr>
        <w:tc>
          <w:tcPr>
            <w:tcW w:w="1555" w:type="dxa"/>
            <w:shd w:val="clear" w:color="auto" w:fill="FFFFFF" w:themeFill="background1"/>
            <w:noWrap/>
            <w:vAlign w:val="center"/>
            <w:hideMark/>
          </w:tcPr>
          <w:p w14:paraId="40CC0088" w14:textId="77777777" w:rsidR="00FF0F9B" w:rsidRPr="00EF1E43" w:rsidRDefault="00FF0F9B" w:rsidP="00374F41">
            <w:pPr>
              <w:jc w:val="center"/>
              <w:rPr>
                <w:sz w:val="24"/>
              </w:rPr>
            </w:pPr>
            <w:r w:rsidRPr="00EF1E43">
              <w:rPr>
                <w:sz w:val="24"/>
              </w:rPr>
              <w:t>36992</w:t>
            </w:r>
          </w:p>
        </w:tc>
        <w:tc>
          <w:tcPr>
            <w:tcW w:w="7371" w:type="dxa"/>
            <w:shd w:val="clear" w:color="auto" w:fill="FFFFFF" w:themeFill="background1"/>
            <w:vAlign w:val="center"/>
            <w:hideMark/>
          </w:tcPr>
          <w:p w14:paraId="6D3D2597" w14:textId="77777777" w:rsidR="00FF0F9B" w:rsidRPr="00EF1E43" w:rsidRDefault="00FF0F9B" w:rsidP="00374F41">
            <w:pPr>
              <w:rPr>
                <w:sz w:val="24"/>
              </w:rPr>
            </w:pPr>
            <w:r w:rsidRPr="00EF1E43">
              <w:rPr>
                <w:sz w:val="24"/>
              </w:rPr>
              <w:t>Breslow RA, Ballard-Barbash R, Munoz K, et al (2001). Long-term recreational physical activity and breast cancer in the National Health and Nutrition Examination Survey I epidemiologic follow-up study. Cancer Epidemiol Biomarkers Prev, 10(7): 805-8.</w:t>
            </w:r>
          </w:p>
        </w:tc>
      </w:tr>
      <w:tr w:rsidR="00EF1E43" w:rsidRPr="00EF1E43" w14:paraId="543B4E62" w14:textId="77777777" w:rsidTr="00CC61F1">
        <w:trPr>
          <w:cantSplit/>
        </w:trPr>
        <w:tc>
          <w:tcPr>
            <w:tcW w:w="1555" w:type="dxa"/>
            <w:shd w:val="clear" w:color="auto" w:fill="FFFFFF" w:themeFill="background1"/>
            <w:noWrap/>
            <w:vAlign w:val="center"/>
            <w:hideMark/>
          </w:tcPr>
          <w:p w14:paraId="41290A03" w14:textId="77777777" w:rsidR="00FF0F9B" w:rsidRPr="00EF1E43" w:rsidRDefault="00FF0F9B" w:rsidP="00374F41">
            <w:pPr>
              <w:jc w:val="center"/>
              <w:rPr>
                <w:sz w:val="24"/>
              </w:rPr>
            </w:pPr>
            <w:r w:rsidRPr="00EF1E43">
              <w:rPr>
                <w:sz w:val="24"/>
              </w:rPr>
              <w:t>9547</w:t>
            </w:r>
          </w:p>
        </w:tc>
        <w:tc>
          <w:tcPr>
            <w:tcW w:w="7371" w:type="dxa"/>
            <w:shd w:val="clear" w:color="auto" w:fill="FFFFFF" w:themeFill="background1"/>
            <w:vAlign w:val="center"/>
            <w:hideMark/>
          </w:tcPr>
          <w:p w14:paraId="5E71F11A" w14:textId="77777777" w:rsidR="00FF0F9B" w:rsidRPr="00EF1E43" w:rsidRDefault="00FF0F9B" w:rsidP="00374F41">
            <w:pPr>
              <w:rPr>
                <w:sz w:val="24"/>
              </w:rPr>
            </w:pPr>
            <w:r w:rsidRPr="00EF1E43">
              <w:rPr>
                <w:sz w:val="24"/>
              </w:rPr>
              <w:t>Briggs M (1977). The Beagle dog and contraceptive steroids. Life Sci, 21(3): 275-84.</w:t>
            </w:r>
          </w:p>
        </w:tc>
      </w:tr>
      <w:tr w:rsidR="00EF1E43" w:rsidRPr="00EF1E43" w14:paraId="777286B4" w14:textId="77777777" w:rsidTr="00CC61F1">
        <w:trPr>
          <w:cantSplit/>
        </w:trPr>
        <w:tc>
          <w:tcPr>
            <w:tcW w:w="1555" w:type="dxa"/>
            <w:shd w:val="clear" w:color="auto" w:fill="FFFFFF" w:themeFill="background1"/>
            <w:noWrap/>
            <w:vAlign w:val="center"/>
            <w:hideMark/>
          </w:tcPr>
          <w:p w14:paraId="023ADA93" w14:textId="77777777" w:rsidR="00FF0F9B" w:rsidRPr="00EF1E43" w:rsidRDefault="00FF0F9B" w:rsidP="00374F41">
            <w:pPr>
              <w:jc w:val="center"/>
              <w:rPr>
                <w:sz w:val="24"/>
              </w:rPr>
            </w:pPr>
            <w:r w:rsidRPr="00EF1E43">
              <w:rPr>
                <w:sz w:val="24"/>
              </w:rPr>
              <w:t>71536</w:t>
            </w:r>
          </w:p>
        </w:tc>
        <w:tc>
          <w:tcPr>
            <w:tcW w:w="7371" w:type="dxa"/>
            <w:shd w:val="clear" w:color="auto" w:fill="FFFFFF" w:themeFill="background1"/>
            <w:vAlign w:val="center"/>
            <w:hideMark/>
          </w:tcPr>
          <w:p w14:paraId="26DFEC21" w14:textId="77777777" w:rsidR="00FF0F9B" w:rsidRPr="00EF1E43" w:rsidRDefault="00FF0F9B" w:rsidP="00374F41">
            <w:pPr>
              <w:rPr>
                <w:sz w:val="24"/>
              </w:rPr>
            </w:pPr>
            <w:r w:rsidRPr="00EF1E43">
              <w:rPr>
                <w:sz w:val="24"/>
              </w:rPr>
              <w:t>Brinton LA (2012). Breast cancer risk after use of fertility drugs: stimulating new controversy. J Natl Cancer Inst, 104(13): 962-4.</w:t>
            </w:r>
          </w:p>
        </w:tc>
      </w:tr>
      <w:tr w:rsidR="00EF1E43" w:rsidRPr="00EF1E43" w14:paraId="16418BF4" w14:textId="77777777" w:rsidTr="00CC61F1">
        <w:trPr>
          <w:cantSplit/>
        </w:trPr>
        <w:tc>
          <w:tcPr>
            <w:tcW w:w="1555" w:type="dxa"/>
            <w:shd w:val="clear" w:color="auto" w:fill="FFFFFF" w:themeFill="background1"/>
            <w:noWrap/>
            <w:vAlign w:val="center"/>
            <w:hideMark/>
          </w:tcPr>
          <w:p w14:paraId="7FA69AA0" w14:textId="77777777" w:rsidR="00FF0F9B" w:rsidRPr="00EF1E43" w:rsidRDefault="00FF0F9B" w:rsidP="00374F41">
            <w:pPr>
              <w:jc w:val="center"/>
              <w:rPr>
                <w:sz w:val="24"/>
              </w:rPr>
            </w:pPr>
            <w:r w:rsidRPr="00EF1E43">
              <w:rPr>
                <w:sz w:val="24"/>
              </w:rPr>
              <w:t>36987</w:t>
            </w:r>
          </w:p>
        </w:tc>
        <w:tc>
          <w:tcPr>
            <w:tcW w:w="7371" w:type="dxa"/>
            <w:shd w:val="clear" w:color="auto" w:fill="FFFFFF" w:themeFill="background1"/>
            <w:vAlign w:val="center"/>
            <w:hideMark/>
          </w:tcPr>
          <w:p w14:paraId="3586FA6A" w14:textId="77777777" w:rsidR="00FF0F9B" w:rsidRPr="00EF1E43" w:rsidRDefault="00FF0F9B" w:rsidP="00374F41">
            <w:pPr>
              <w:rPr>
                <w:sz w:val="24"/>
              </w:rPr>
            </w:pPr>
            <w:r w:rsidRPr="00EF1E43">
              <w:rPr>
                <w:sz w:val="24"/>
              </w:rPr>
              <w:t>Brinton LA, Bernstein L, Colditz GA (1998). Summary of the workshop: Workshop on physical activity and breast cancer, November 13-14, 1997. Cancer, 83(Suppl 3): 595-9.</w:t>
            </w:r>
          </w:p>
        </w:tc>
      </w:tr>
      <w:tr w:rsidR="00EF1E43" w:rsidRPr="00EF1E43" w14:paraId="127B84EE" w14:textId="77777777" w:rsidTr="00CC61F1">
        <w:trPr>
          <w:cantSplit/>
        </w:trPr>
        <w:tc>
          <w:tcPr>
            <w:tcW w:w="1555" w:type="dxa"/>
            <w:shd w:val="clear" w:color="auto" w:fill="FFFFFF" w:themeFill="background1"/>
            <w:noWrap/>
            <w:vAlign w:val="center"/>
            <w:hideMark/>
          </w:tcPr>
          <w:p w14:paraId="6BA2C224" w14:textId="77777777" w:rsidR="00FF0F9B" w:rsidRPr="00EF1E43" w:rsidRDefault="00FF0F9B" w:rsidP="00374F41">
            <w:pPr>
              <w:jc w:val="center"/>
              <w:rPr>
                <w:sz w:val="24"/>
              </w:rPr>
            </w:pPr>
            <w:r w:rsidRPr="00EF1E43">
              <w:rPr>
                <w:sz w:val="24"/>
              </w:rPr>
              <w:t>9199</w:t>
            </w:r>
          </w:p>
        </w:tc>
        <w:tc>
          <w:tcPr>
            <w:tcW w:w="7371" w:type="dxa"/>
            <w:shd w:val="clear" w:color="auto" w:fill="FFFFFF" w:themeFill="background1"/>
            <w:vAlign w:val="center"/>
            <w:hideMark/>
          </w:tcPr>
          <w:p w14:paraId="5DFEC940" w14:textId="77777777" w:rsidR="00FF0F9B" w:rsidRPr="00EF1E43" w:rsidRDefault="00FF0F9B" w:rsidP="00374F41">
            <w:pPr>
              <w:rPr>
                <w:sz w:val="24"/>
              </w:rPr>
            </w:pPr>
            <w:r w:rsidRPr="00EF1E43">
              <w:rPr>
                <w:sz w:val="24"/>
              </w:rPr>
              <w:t>Brinton LA, Hoover R, Fraumeni JF Jr (1983). Reproductive factors in the aetiology of breast cancer. Br J Cancer, 47(6): 757-62.</w:t>
            </w:r>
          </w:p>
        </w:tc>
      </w:tr>
      <w:tr w:rsidR="00EF1E43" w:rsidRPr="00EF1E43" w14:paraId="1CD38A33" w14:textId="77777777" w:rsidTr="00CC61F1">
        <w:trPr>
          <w:cantSplit/>
        </w:trPr>
        <w:tc>
          <w:tcPr>
            <w:tcW w:w="1555" w:type="dxa"/>
            <w:shd w:val="clear" w:color="auto" w:fill="FFFFFF" w:themeFill="background1"/>
            <w:noWrap/>
            <w:vAlign w:val="center"/>
            <w:hideMark/>
          </w:tcPr>
          <w:p w14:paraId="27A7486C" w14:textId="77777777" w:rsidR="00FF0F9B" w:rsidRPr="00EF1E43" w:rsidRDefault="00FF0F9B" w:rsidP="00374F41">
            <w:pPr>
              <w:jc w:val="center"/>
              <w:rPr>
                <w:sz w:val="24"/>
              </w:rPr>
            </w:pPr>
            <w:r w:rsidRPr="00EF1E43">
              <w:rPr>
                <w:sz w:val="24"/>
              </w:rPr>
              <w:t>71712</w:t>
            </w:r>
          </w:p>
        </w:tc>
        <w:tc>
          <w:tcPr>
            <w:tcW w:w="7371" w:type="dxa"/>
            <w:shd w:val="clear" w:color="auto" w:fill="FFFFFF" w:themeFill="background1"/>
            <w:vAlign w:val="center"/>
            <w:hideMark/>
          </w:tcPr>
          <w:p w14:paraId="57922648" w14:textId="77777777" w:rsidR="00FF0F9B" w:rsidRPr="00EF1E43" w:rsidRDefault="00FF0F9B" w:rsidP="00374F41">
            <w:pPr>
              <w:rPr>
                <w:sz w:val="24"/>
              </w:rPr>
            </w:pPr>
            <w:r w:rsidRPr="00EF1E43">
              <w:rPr>
                <w:sz w:val="24"/>
              </w:rPr>
              <w:t>Britt K, Ashworth A, Smalley M (2007). Pregnancy and the risk of breast cancer. Endocr Relat Cancer, 14(4): 907-33.</w:t>
            </w:r>
          </w:p>
        </w:tc>
      </w:tr>
      <w:tr w:rsidR="00EF1E43" w:rsidRPr="00EF1E43" w14:paraId="29D3DF13" w14:textId="77777777" w:rsidTr="00CC61F1">
        <w:trPr>
          <w:cantSplit/>
        </w:trPr>
        <w:tc>
          <w:tcPr>
            <w:tcW w:w="1555" w:type="dxa"/>
            <w:shd w:val="clear" w:color="auto" w:fill="FFFFFF" w:themeFill="background1"/>
            <w:noWrap/>
            <w:vAlign w:val="center"/>
            <w:hideMark/>
          </w:tcPr>
          <w:p w14:paraId="7A698B88" w14:textId="77777777" w:rsidR="00FF0F9B" w:rsidRPr="00EF1E43" w:rsidRDefault="00FF0F9B" w:rsidP="00374F41">
            <w:pPr>
              <w:jc w:val="center"/>
              <w:rPr>
                <w:sz w:val="24"/>
              </w:rPr>
            </w:pPr>
            <w:r w:rsidRPr="00EF1E43">
              <w:rPr>
                <w:sz w:val="24"/>
              </w:rPr>
              <w:t>72908</w:t>
            </w:r>
          </w:p>
        </w:tc>
        <w:tc>
          <w:tcPr>
            <w:tcW w:w="7371" w:type="dxa"/>
            <w:shd w:val="clear" w:color="auto" w:fill="FFFFFF" w:themeFill="background1"/>
            <w:vAlign w:val="center"/>
            <w:hideMark/>
          </w:tcPr>
          <w:p w14:paraId="3E1AEBC6" w14:textId="77777777" w:rsidR="00FF0F9B" w:rsidRPr="00EF1E43" w:rsidRDefault="00FF0F9B" w:rsidP="00374F41">
            <w:pPr>
              <w:rPr>
                <w:sz w:val="24"/>
              </w:rPr>
            </w:pPr>
            <w:r w:rsidRPr="00EF1E43">
              <w:rPr>
                <w:sz w:val="24"/>
              </w:rPr>
              <w:t>Brody JG, Moysich KB, Humblet O, et al (2007). Environmental pollutants and breast cancer: epidemiologic studies. Cancer, 109(Suppl 12): 2667-711.</w:t>
            </w:r>
          </w:p>
        </w:tc>
      </w:tr>
      <w:tr w:rsidR="00EF1E43" w:rsidRPr="00EF1E43" w14:paraId="01C1CC0B" w14:textId="77777777" w:rsidTr="00CC61F1">
        <w:trPr>
          <w:cantSplit/>
        </w:trPr>
        <w:tc>
          <w:tcPr>
            <w:tcW w:w="1555" w:type="dxa"/>
            <w:shd w:val="clear" w:color="auto" w:fill="FFFFFF" w:themeFill="background1"/>
            <w:noWrap/>
            <w:vAlign w:val="center"/>
            <w:hideMark/>
          </w:tcPr>
          <w:p w14:paraId="4021B511" w14:textId="77777777" w:rsidR="00FF0F9B" w:rsidRPr="00EF1E43" w:rsidRDefault="00FF0F9B" w:rsidP="00374F41">
            <w:pPr>
              <w:jc w:val="center"/>
              <w:rPr>
                <w:sz w:val="24"/>
              </w:rPr>
            </w:pPr>
            <w:r w:rsidRPr="00EF1E43">
              <w:rPr>
                <w:sz w:val="24"/>
              </w:rPr>
              <w:t>9200</w:t>
            </w:r>
          </w:p>
        </w:tc>
        <w:tc>
          <w:tcPr>
            <w:tcW w:w="7371" w:type="dxa"/>
            <w:shd w:val="clear" w:color="auto" w:fill="FFFFFF" w:themeFill="background1"/>
            <w:vAlign w:val="center"/>
            <w:hideMark/>
          </w:tcPr>
          <w:p w14:paraId="682C2CDB" w14:textId="77777777" w:rsidR="00FF0F9B" w:rsidRPr="00EF1E43" w:rsidRDefault="00FF0F9B" w:rsidP="00374F41">
            <w:pPr>
              <w:rPr>
                <w:sz w:val="24"/>
              </w:rPr>
            </w:pPr>
            <w:r w:rsidRPr="00EF1E43">
              <w:rPr>
                <w:sz w:val="24"/>
              </w:rPr>
              <w:t>Bryant H, Brasher P (1995). Breast implants and breast cancer - reanalysis of a linkage study. New Engl J Med, 332(23): 1535-9.</w:t>
            </w:r>
          </w:p>
        </w:tc>
      </w:tr>
      <w:tr w:rsidR="00EF1E43" w:rsidRPr="00EF1E43" w14:paraId="37947ABF" w14:textId="77777777" w:rsidTr="00CC61F1">
        <w:trPr>
          <w:cantSplit/>
        </w:trPr>
        <w:tc>
          <w:tcPr>
            <w:tcW w:w="1555" w:type="dxa"/>
            <w:shd w:val="clear" w:color="auto" w:fill="FFFFFF" w:themeFill="background1"/>
            <w:noWrap/>
            <w:vAlign w:val="center"/>
            <w:hideMark/>
          </w:tcPr>
          <w:p w14:paraId="02BD667E" w14:textId="77777777" w:rsidR="00FF0F9B" w:rsidRPr="00EF1E43" w:rsidRDefault="00FF0F9B" w:rsidP="00374F41">
            <w:pPr>
              <w:jc w:val="center"/>
              <w:rPr>
                <w:sz w:val="24"/>
              </w:rPr>
            </w:pPr>
            <w:r w:rsidRPr="00EF1E43">
              <w:rPr>
                <w:sz w:val="24"/>
              </w:rPr>
              <w:t>7138</w:t>
            </w:r>
          </w:p>
        </w:tc>
        <w:tc>
          <w:tcPr>
            <w:tcW w:w="7371" w:type="dxa"/>
            <w:shd w:val="clear" w:color="auto" w:fill="FFFFFF" w:themeFill="background1"/>
            <w:vAlign w:val="center"/>
            <w:hideMark/>
          </w:tcPr>
          <w:p w14:paraId="37118E7F" w14:textId="77777777" w:rsidR="00FF0F9B" w:rsidRPr="00EF1E43" w:rsidRDefault="00FF0F9B" w:rsidP="00374F41">
            <w:pPr>
              <w:rPr>
                <w:sz w:val="24"/>
              </w:rPr>
            </w:pPr>
            <w:r w:rsidRPr="00EF1E43">
              <w:rPr>
                <w:sz w:val="24"/>
              </w:rPr>
              <w:t>Busund M, Bugge NS, Braaten T, et al (2018). Progestin-only and combined oral contraceptives and receptor-defined premenopausal breast cancer risk: The Norwegian Women and Cancer Study. Int J Cancer, 142(11): 2293-302.</w:t>
            </w:r>
          </w:p>
        </w:tc>
      </w:tr>
      <w:tr w:rsidR="00EF1E43" w:rsidRPr="00EF1E43" w14:paraId="0202821F" w14:textId="77777777" w:rsidTr="00CC61F1">
        <w:trPr>
          <w:cantSplit/>
        </w:trPr>
        <w:tc>
          <w:tcPr>
            <w:tcW w:w="1555" w:type="dxa"/>
            <w:shd w:val="clear" w:color="auto" w:fill="FFFFFF" w:themeFill="background1"/>
            <w:noWrap/>
            <w:vAlign w:val="center"/>
            <w:hideMark/>
          </w:tcPr>
          <w:p w14:paraId="5635B0B3" w14:textId="77777777" w:rsidR="00FF0F9B" w:rsidRPr="00EF1E43" w:rsidRDefault="00FF0F9B" w:rsidP="00374F41">
            <w:pPr>
              <w:jc w:val="center"/>
              <w:rPr>
                <w:sz w:val="24"/>
              </w:rPr>
            </w:pPr>
            <w:r w:rsidRPr="00EF1E43">
              <w:rPr>
                <w:sz w:val="24"/>
              </w:rPr>
              <w:t>87301</w:t>
            </w:r>
          </w:p>
        </w:tc>
        <w:tc>
          <w:tcPr>
            <w:tcW w:w="7371" w:type="dxa"/>
            <w:shd w:val="clear" w:color="auto" w:fill="FFFFFF" w:themeFill="background1"/>
            <w:vAlign w:val="center"/>
            <w:hideMark/>
          </w:tcPr>
          <w:p w14:paraId="64C8AF86" w14:textId="77777777" w:rsidR="00FF0F9B" w:rsidRPr="00EF1E43" w:rsidRDefault="00FF0F9B" w:rsidP="00374F41">
            <w:pPr>
              <w:rPr>
                <w:sz w:val="24"/>
              </w:rPr>
            </w:pPr>
            <w:r w:rsidRPr="00EF1E43">
              <w:rPr>
                <w:sz w:val="24"/>
              </w:rPr>
              <w:t>Butt S, Borgquist S, Anagnostaki L, et al (2014). Breastfeeding in relation to risk of different breast cancer characteristics. BMC Res Notes, 7: 216.</w:t>
            </w:r>
          </w:p>
        </w:tc>
      </w:tr>
      <w:tr w:rsidR="00EF1E43" w:rsidRPr="00EF1E43" w14:paraId="6C6B43D2" w14:textId="77777777" w:rsidTr="00CC61F1">
        <w:trPr>
          <w:cantSplit/>
        </w:trPr>
        <w:tc>
          <w:tcPr>
            <w:tcW w:w="1555" w:type="dxa"/>
            <w:shd w:val="clear" w:color="auto" w:fill="FFFFFF" w:themeFill="background1"/>
            <w:noWrap/>
            <w:vAlign w:val="center"/>
            <w:hideMark/>
          </w:tcPr>
          <w:p w14:paraId="35469BF4" w14:textId="77777777" w:rsidR="00FF0F9B" w:rsidRPr="00EF1E43" w:rsidRDefault="00FF0F9B" w:rsidP="00374F41">
            <w:pPr>
              <w:jc w:val="center"/>
              <w:rPr>
                <w:sz w:val="24"/>
              </w:rPr>
            </w:pPr>
            <w:r w:rsidRPr="00EF1E43">
              <w:rPr>
                <w:sz w:val="24"/>
              </w:rPr>
              <w:t>38258</w:t>
            </w:r>
          </w:p>
        </w:tc>
        <w:tc>
          <w:tcPr>
            <w:tcW w:w="7371" w:type="dxa"/>
            <w:shd w:val="clear" w:color="auto" w:fill="FFFFFF" w:themeFill="background1"/>
            <w:vAlign w:val="center"/>
            <w:hideMark/>
          </w:tcPr>
          <w:p w14:paraId="70D9BE6D" w14:textId="77777777" w:rsidR="00FF0F9B" w:rsidRPr="00EF1E43" w:rsidRDefault="00FF0F9B" w:rsidP="00374F41">
            <w:pPr>
              <w:rPr>
                <w:sz w:val="24"/>
              </w:rPr>
            </w:pPr>
            <w:r w:rsidRPr="00EF1E43">
              <w:rPr>
                <w:sz w:val="24"/>
              </w:rPr>
              <w:t>Buzdar AU (2006). Dietary modification and risk of breast cancer. JAMA, 295(6): 691-2.</w:t>
            </w:r>
          </w:p>
        </w:tc>
      </w:tr>
      <w:tr w:rsidR="00EF1E43" w:rsidRPr="00EF1E43" w14:paraId="68DA377A" w14:textId="77777777" w:rsidTr="00CC61F1">
        <w:trPr>
          <w:cantSplit/>
        </w:trPr>
        <w:tc>
          <w:tcPr>
            <w:tcW w:w="1555" w:type="dxa"/>
            <w:shd w:val="clear" w:color="auto" w:fill="FFFFFF" w:themeFill="background1"/>
            <w:noWrap/>
            <w:vAlign w:val="center"/>
            <w:hideMark/>
          </w:tcPr>
          <w:p w14:paraId="6A15C29A" w14:textId="77777777" w:rsidR="00FF0F9B" w:rsidRPr="00EF1E43" w:rsidRDefault="00FF0F9B" w:rsidP="00374F41">
            <w:pPr>
              <w:jc w:val="center"/>
              <w:rPr>
                <w:sz w:val="24"/>
              </w:rPr>
            </w:pPr>
            <w:r w:rsidRPr="00EF1E43">
              <w:rPr>
                <w:sz w:val="24"/>
              </w:rPr>
              <w:t>71537</w:t>
            </w:r>
          </w:p>
        </w:tc>
        <w:tc>
          <w:tcPr>
            <w:tcW w:w="7371" w:type="dxa"/>
            <w:shd w:val="clear" w:color="auto" w:fill="FFFFFF" w:themeFill="background1"/>
            <w:vAlign w:val="center"/>
            <w:hideMark/>
          </w:tcPr>
          <w:p w14:paraId="5FD77CC3" w14:textId="77777777" w:rsidR="00FF0F9B" w:rsidRPr="00EF1E43" w:rsidRDefault="00FF0F9B" w:rsidP="00374F41">
            <w:pPr>
              <w:rPr>
                <w:sz w:val="24"/>
              </w:rPr>
            </w:pPr>
            <w:r w:rsidRPr="00EF1E43">
              <w:rPr>
                <w:sz w:val="24"/>
              </w:rPr>
              <w:t>Byrne C, Divekar SD, Storchan GB, et al (2013). Metals and breast cancer. J Mammary Gland Biol Neoplasia, 18(1): 63-73.</w:t>
            </w:r>
          </w:p>
        </w:tc>
      </w:tr>
      <w:tr w:rsidR="00EF1E43" w:rsidRPr="00EF1E43" w14:paraId="7F7D781C" w14:textId="77777777" w:rsidTr="00CC61F1">
        <w:trPr>
          <w:cantSplit/>
        </w:trPr>
        <w:tc>
          <w:tcPr>
            <w:tcW w:w="1555" w:type="dxa"/>
            <w:shd w:val="clear" w:color="auto" w:fill="FFFFFF" w:themeFill="background1"/>
            <w:noWrap/>
            <w:vAlign w:val="center"/>
            <w:hideMark/>
          </w:tcPr>
          <w:p w14:paraId="168F4014" w14:textId="77777777" w:rsidR="00FF0F9B" w:rsidRPr="00EF1E43" w:rsidRDefault="00FF0F9B" w:rsidP="00374F41">
            <w:pPr>
              <w:jc w:val="center"/>
              <w:rPr>
                <w:sz w:val="24"/>
              </w:rPr>
            </w:pPr>
            <w:r w:rsidRPr="00EF1E43">
              <w:rPr>
                <w:sz w:val="24"/>
              </w:rPr>
              <w:lastRenderedPageBreak/>
              <w:t>9201</w:t>
            </w:r>
          </w:p>
        </w:tc>
        <w:tc>
          <w:tcPr>
            <w:tcW w:w="7371" w:type="dxa"/>
            <w:shd w:val="clear" w:color="auto" w:fill="FFFFFF" w:themeFill="background1"/>
            <w:vAlign w:val="center"/>
            <w:hideMark/>
          </w:tcPr>
          <w:p w14:paraId="109A034E" w14:textId="77777777" w:rsidR="00FF0F9B" w:rsidRPr="00EF1E43" w:rsidRDefault="00FF0F9B" w:rsidP="00374F41">
            <w:pPr>
              <w:rPr>
                <w:sz w:val="24"/>
              </w:rPr>
            </w:pPr>
            <w:r w:rsidRPr="00EF1E43">
              <w:rPr>
                <w:sz w:val="24"/>
              </w:rPr>
              <w:t>Calle EE, Miracle-McMahill HL, Thun MJ, et al (1994). Cigarette smoking and risk of fatal breast cancer. Am J Epidemiol, 139(10): 1001-7.</w:t>
            </w:r>
          </w:p>
        </w:tc>
      </w:tr>
      <w:tr w:rsidR="00EF1E43" w:rsidRPr="00EF1E43" w14:paraId="5E4D9A1A" w14:textId="77777777" w:rsidTr="00CC61F1">
        <w:trPr>
          <w:cantSplit/>
        </w:trPr>
        <w:tc>
          <w:tcPr>
            <w:tcW w:w="1555" w:type="dxa"/>
            <w:shd w:val="clear" w:color="auto" w:fill="FFFFFF" w:themeFill="background1"/>
            <w:noWrap/>
            <w:vAlign w:val="center"/>
            <w:hideMark/>
          </w:tcPr>
          <w:p w14:paraId="0B75D3E5" w14:textId="77777777" w:rsidR="00FF0F9B" w:rsidRPr="00EF1E43" w:rsidRDefault="00FF0F9B" w:rsidP="00374F41">
            <w:pPr>
              <w:jc w:val="center"/>
              <w:rPr>
                <w:sz w:val="24"/>
              </w:rPr>
            </w:pPr>
            <w:r w:rsidRPr="00EF1E43">
              <w:rPr>
                <w:sz w:val="24"/>
              </w:rPr>
              <w:t>35610</w:t>
            </w:r>
          </w:p>
        </w:tc>
        <w:tc>
          <w:tcPr>
            <w:tcW w:w="7371" w:type="dxa"/>
            <w:shd w:val="clear" w:color="auto" w:fill="FFFFFF" w:themeFill="background1"/>
            <w:vAlign w:val="center"/>
            <w:hideMark/>
          </w:tcPr>
          <w:p w14:paraId="424EA646" w14:textId="77777777" w:rsidR="00FF0F9B" w:rsidRPr="00EF1E43" w:rsidRDefault="00FF0F9B" w:rsidP="00374F41">
            <w:pPr>
              <w:rPr>
                <w:sz w:val="24"/>
              </w:rPr>
            </w:pPr>
            <w:r w:rsidRPr="00EF1E43">
              <w:rPr>
                <w:sz w:val="24"/>
              </w:rPr>
              <w:t>Caplan LS, Schoenfeld ER, O'Leary ES, et al (2000). Breast cancer and electromagnetic fields--a review. Ann Epidemiol, 10(1): 31-44.</w:t>
            </w:r>
          </w:p>
        </w:tc>
      </w:tr>
      <w:tr w:rsidR="00EF1E43" w:rsidRPr="00EF1E43" w14:paraId="5F43AFBC" w14:textId="77777777" w:rsidTr="00CC61F1">
        <w:trPr>
          <w:cantSplit/>
        </w:trPr>
        <w:tc>
          <w:tcPr>
            <w:tcW w:w="1555" w:type="dxa"/>
            <w:shd w:val="clear" w:color="auto" w:fill="FFFFFF" w:themeFill="background1"/>
            <w:noWrap/>
            <w:vAlign w:val="center"/>
            <w:hideMark/>
          </w:tcPr>
          <w:p w14:paraId="621DCD02" w14:textId="77777777" w:rsidR="00FF0F9B" w:rsidRPr="00EF1E43" w:rsidRDefault="00FF0F9B" w:rsidP="00374F41">
            <w:pPr>
              <w:jc w:val="center"/>
              <w:rPr>
                <w:sz w:val="24"/>
              </w:rPr>
            </w:pPr>
            <w:r w:rsidRPr="00EF1E43">
              <w:rPr>
                <w:sz w:val="24"/>
              </w:rPr>
              <w:t>35572</w:t>
            </w:r>
          </w:p>
        </w:tc>
        <w:tc>
          <w:tcPr>
            <w:tcW w:w="7371" w:type="dxa"/>
            <w:shd w:val="clear" w:color="auto" w:fill="FFFFFF" w:themeFill="background1"/>
            <w:vAlign w:val="center"/>
            <w:hideMark/>
          </w:tcPr>
          <w:p w14:paraId="2C4E9F58" w14:textId="77777777" w:rsidR="00FF0F9B" w:rsidRPr="00EF1E43" w:rsidRDefault="00FF0F9B" w:rsidP="00374F41">
            <w:pPr>
              <w:rPr>
                <w:sz w:val="24"/>
              </w:rPr>
            </w:pPr>
            <w:r w:rsidRPr="00EF1E43">
              <w:rPr>
                <w:sz w:val="24"/>
              </w:rPr>
              <w:t>Cardis E, Vrijheid M, Blettner M, et al (2005). Risk of cancer after low doses of ionising radiation: retrospective cohort study in 15 countries. BMJ, 331(7508): 77.</w:t>
            </w:r>
          </w:p>
        </w:tc>
      </w:tr>
      <w:tr w:rsidR="00EF1E43" w:rsidRPr="00EF1E43" w14:paraId="2D7564F9" w14:textId="77777777" w:rsidTr="00CC61F1">
        <w:trPr>
          <w:cantSplit/>
        </w:trPr>
        <w:tc>
          <w:tcPr>
            <w:tcW w:w="1555" w:type="dxa"/>
            <w:shd w:val="clear" w:color="auto" w:fill="FFFFFF" w:themeFill="background1"/>
            <w:noWrap/>
            <w:vAlign w:val="center"/>
            <w:hideMark/>
          </w:tcPr>
          <w:p w14:paraId="42B9A50D" w14:textId="77777777" w:rsidR="00FF0F9B" w:rsidRPr="00EF1E43" w:rsidRDefault="00FF0F9B" w:rsidP="00374F41">
            <w:pPr>
              <w:jc w:val="center"/>
              <w:rPr>
                <w:sz w:val="24"/>
              </w:rPr>
            </w:pPr>
            <w:r w:rsidRPr="00EF1E43">
              <w:rPr>
                <w:sz w:val="24"/>
              </w:rPr>
              <w:t>43945</w:t>
            </w:r>
          </w:p>
        </w:tc>
        <w:tc>
          <w:tcPr>
            <w:tcW w:w="7371" w:type="dxa"/>
            <w:shd w:val="clear" w:color="auto" w:fill="FFFFFF" w:themeFill="background1"/>
            <w:vAlign w:val="center"/>
            <w:hideMark/>
          </w:tcPr>
          <w:p w14:paraId="66FDB0D2" w14:textId="77777777" w:rsidR="00FF0F9B" w:rsidRPr="00EF1E43" w:rsidRDefault="00FF0F9B" w:rsidP="00374F41">
            <w:pPr>
              <w:rPr>
                <w:sz w:val="24"/>
              </w:rPr>
            </w:pPr>
            <w:r w:rsidRPr="00EF1E43">
              <w:rPr>
                <w:sz w:val="24"/>
              </w:rPr>
              <w:t>Cardis E, Vrijheid M, Blettner M, et al (2007). The 15-Country collaborative study of cancer risk among radiation workers in the nuclear industry: estimates of radiation-related cancer risks. Radiat Res, 167(4): 396-416.</w:t>
            </w:r>
          </w:p>
        </w:tc>
      </w:tr>
      <w:tr w:rsidR="00EF1E43" w:rsidRPr="00EF1E43" w14:paraId="5FF1FC88" w14:textId="77777777" w:rsidTr="00CC61F1">
        <w:trPr>
          <w:cantSplit/>
        </w:trPr>
        <w:tc>
          <w:tcPr>
            <w:tcW w:w="1555" w:type="dxa"/>
            <w:shd w:val="clear" w:color="auto" w:fill="FFFFFF" w:themeFill="background1"/>
            <w:noWrap/>
            <w:vAlign w:val="center"/>
            <w:hideMark/>
          </w:tcPr>
          <w:p w14:paraId="0BAF6187" w14:textId="77777777" w:rsidR="00FF0F9B" w:rsidRPr="00EF1E43" w:rsidRDefault="00FF0F9B" w:rsidP="00374F41">
            <w:pPr>
              <w:jc w:val="center"/>
              <w:rPr>
                <w:sz w:val="24"/>
              </w:rPr>
            </w:pPr>
            <w:r w:rsidRPr="00EF1E43">
              <w:rPr>
                <w:sz w:val="24"/>
              </w:rPr>
              <w:t>35569</w:t>
            </w:r>
          </w:p>
        </w:tc>
        <w:tc>
          <w:tcPr>
            <w:tcW w:w="7371" w:type="dxa"/>
            <w:shd w:val="clear" w:color="auto" w:fill="FFFFFF" w:themeFill="background1"/>
            <w:vAlign w:val="center"/>
            <w:hideMark/>
          </w:tcPr>
          <w:p w14:paraId="623D2CF1" w14:textId="77777777" w:rsidR="00FF0F9B" w:rsidRPr="00EF1E43" w:rsidRDefault="00FF0F9B" w:rsidP="00374F41">
            <w:pPr>
              <w:rPr>
                <w:sz w:val="24"/>
              </w:rPr>
            </w:pPr>
            <w:r w:rsidRPr="00EF1E43">
              <w:rPr>
                <w:sz w:val="24"/>
              </w:rPr>
              <w:t>Carmichael A, Sami AS, Dixon JM (2003). Breast cancer risk among the survivors of atomic bomb and patients exposed to therapeutic ionising radiation. Eur J Surg Oncol, 29(5): 475-9.</w:t>
            </w:r>
          </w:p>
        </w:tc>
      </w:tr>
      <w:tr w:rsidR="00EF1E43" w:rsidRPr="00EF1E43" w14:paraId="19D7554B" w14:textId="77777777" w:rsidTr="00CC61F1">
        <w:trPr>
          <w:cantSplit/>
        </w:trPr>
        <w:tc>
          <w:tcPr>
            <w:tcW w:w="1555" w:type="dxa"/>
            <w:shd w:val="clear" w:color="auto" w:fill="FFFFFF" w:themeFill="background1"/>
            <w:noWrap/>
            <w:vAlign w:val="center"/>
            <w:hideMark/>
          </w:tcPr>
          <w:p w14:paraId="6171C538" w14:textId="77777777" w:rsidR="00FF0F9B" w:rsidRPr="00EF1E43" w:rsidRDefault="00FF0F9B" w:rsidP="00374F41">
            <w:pPr>
              <w:jc w:val="center"/>
              <w:rPr>
                <w:sz w:val="24"/>
              </w:rPr>
            </w:pPr>
            <w:r w:rsidRPr="00EF1E43">
              <w:rPr>
                <w:sz w:val="24"/>
              </w:rPr>
              <w:t>36912</w:t>
            </w:r>
          </w:p>
        </w:tc>
        <w:tc>
          <w:tcPr>
            <w:tcW w:w="7371" w:type="dxa"/>
            <w:shd w:val="clear" w:color="auto" w:fill="FFFFFF" w:themeFill="background1"/>
            <w:vAlign w:val="center"/>
            <w:hideMark/>
          </w:tcPr>
          <w:p w14:paraId="64A7F10C" w14:textId="77777777" w:rsidR="00FF0F9B" w:rsidRPr="00EF1E43" w:rsidRDefault="00FF0F9B" w:rsidP="00374F41">
            <w:pPr>
              <w:rPr>
                <w:sz w:val="24"/>
              </w:rPr>
            </w:pPr>
            <w:r w:rsidRPr="00EF1E43">
              <w:rPr>
                <w:sz w:val="24"/>
              </w:rPr>
              <w:t>Carmichael AR, Bates T (2004). Obesity and breast cancer: a review of the literature. Breast, 13(2): 85-92.</w:t>
            </w:r>
          </w:p>
        </w:tc>
      </w:tr>
      <w:tr w:rsidR="00EF1E43" w:rsidRPr="00EF1E43" w14:paraId="6B0C9FDA" w14:textId="77777777" w:rsidTr="00CC61F1">
        <w:trPr>
          <w:cantSplit/>
        </w:trPr>
        <w:tc>
          <w:tcPr>
            <w:tcW w:w="1555" w:type="dxa"/>
            <w:shd w:val="clear" w:color="auto" w:fill="FFFFFF" w:themeFill="background1"/>
            <w:noWrap/>
            <w:vAlign w:val="center"/>
            <w:hideMark/>
          </w:tcPr>
          <w:p w14:paraId="74EFE25A" w14:textId="77777777" w:rsidR="00FF0F9B" w:rsidRPr="00EF1E43" w:rsidRDefault="00FF0F9B" w:rsidP="00374F41">
            <w:pPr>
              <w:jc w:val="center"/>
              <w:rPr>
                <w:sz w:val="24"/>
              </w:rPr>
            </w:pPr>
            <w:r w:rsidRPr="00EF1E43">
              <w:rPr>
                <w:sz w:val="24"/>
              </w:rPr>
              <w:t>37120</w:t>
            </w:r>
          </w:p>
        </w:tc>
        <w:tc>
          <w:tcPr>
            <w:tcW w:w="7371" w:type="dxa"/>
            <w:shd w:val="clear" w:color="auto" w:fill="FFFFFF" w:themeFill="background1"/>
            <w:vAlign w:val="center"/>
            <w:hideMark/>
          </w:tcPr>
          <w:p w14:paraId="31CB9B2B" w14:textId="77777777" w:rsidR="00FF0F9B" w:rsidRPr="00EF1E43" w:rsidRDefault="00FF0F9B" w:rsidP="00374F41">
            <w:pPr>
              <w:rPr>
                <w:sz w:val="24"/>
              </w:rPr>
            </w:pPr>
            <w:r w:rsidRPr="00EF1E43">
              <w:rPr>
                <w:sz w:val="24"/>
              </w:rPr>
              <w:t>Carpenter CL, Ross RK, Paganini-Hill A, et al (1999). Lifetime exercise activity and breast cancer risk among post-menopausal women. Br J Cancer, 80(11): 1852-8.</w:t>
            </w:r>
          </w:p>
        </w:tc>
      </w:tr>
      <w:tr w:rsidR="00EF1E43" w:rsidRPr="00EF1E43" w14:paraId="0AD6BE40" w14:textId="77777777" w:rsidTr="00CC61F1">
        <w:trPr>
          <w:cantSplit/>
        </w:trPr>
        <w:tc>
          <w:tcPr>
            <w:tcW w:w="1555" w:type="dxa"/>
            <w:shd w:val="clear" w:color="auto" w:fill="FFFFFF" w:themeFill="background1"/>
            <w:noWrap/>
            <w:vAlign w:val="center"/>
            <w:hideMark/>
          </w:tcPr>
          <w:p w14:paraId="5E5D693A" w14:textId="77777777" w:rsidR="00FF0F9B" w:rsidRPr="00EF1E43" w:rsidRDefault="00FF0F9B" w:rsidP="00374F41">
            <w:pPr>
              <w:jc w:val="center"/>
              <w:rPr>
                <w:sz w:val="24"/>
              </w:rPr>
            </w:pPr>
            <w:r w:rsidRPr="00EF1E43">
              <w:rPr>
                <w:sz w:val="24"/>
              </w:rPr>
              <w:t>80746</w:t>
            </w:r>
          </w:p>
        </w:tc>
        <w:tc>
          <w:tcPr>
            <w:tcW w:w="7371" w:type="dxa"/>
            <w:shd w:val="clear" w:color="auto" w:fill="FFFFFF" w:themeFill="background1"/>
            <w:vAlign w:val="center"/>
            <w:hideMark/>
          </w:tcPr>
          <w:p w14:paraId="409AB9CD" w14:textId="77777777" w:rsidR="00FF0F9B" w:rsidRPr="00EF1E43" w:rsidRDefault="00FF0F9B" w:rsidP="00374F41">
            <w:pPr>
              <w:rPr>
                <w:sz w:val="24"/>
              </w:rPr>
            </w:pPr>
            <w:r w:rsidRPr="00EF1E43">
              <w:rPr>
                <w:sz w:val="24"/>
              </w:rPr>
              <w:t>Carter M, Robotham F, Wise K, et al (2006). Australian Participants in British Nuclear Tests in Australia, Vol 1: Dosimetry. Commonwealth of Australia.</w:t>
            </w:r>
          </w:p>
        </w:tc>
      </w:tr>
      <w:tr w:rsidR="00EF1E43" w:rsidRPr="00EF1E43" w14:paraId="4FF3B7A1" w14:textId="77777777" w:rsidTr="00CC61F1">
        <w:trPr>
          <w:cantSplit/>
        </w:trPr>
        <w:tc>
          <w:tcPr>
            <w:tcW w:w="1555" w:type="dxa"/>
            <w:shd w:val="clear" w:color="auto" w:fill="FFFFFF" w:themeFill="background1"/>
            <w:noWrap/>
            <w:vAlign w:val="center"/>
            <w:hideMark/>
          </w:tcPr>
          <w:p w14:paraId="6B4D4961" w14:textId="77777777" w:rsidR="00FF0F9B" w:rsidRPr="00EF1E43" w:rsidRDefault="00FF0F9B" w:rsidP="00374F41">
            <w:pPr>
              <w:jc w:val="center"/>
              <w:rPr>
                <w:sz w:val="24"/>
              </w:rPr>
            </w:pPr>
            <w:r w:rsidRPr="00EF1E43">
              <w:rPr>
                <w:sz w:val="24"/>
              </w:rPr>
              <w:t>9202</w:t>
            </w:r>
          </w:p>
        </w:tc>
        <w:tc>
          <w:tcPr>
            <w:tcW w:w="7371" w:type="dxa"/>
            <w:shd w:val="clear" w:color="auto" w:fill="FFFFFF" w:themeFill="background1"/>
            <w:vAlign w:val="center"/>
            <w:hideMark/>
          </w:tcPr>
          <w:p w14:paraId="0F050DEB" w14:textId="77777777" w:rsidR="00FF0F9B" w:rsidRPr="00EF1E43" w:rsidRDefault="00FF0F9B" w:rsidP="00374F41">
            <w:pPr>
              <w:rPr>
                <w:sz w:val="24"/>
              </w:rPr>
            </w:pPr>
            <w:r w:rsidRPr="00EF1E43">
              <w:rPr>
                <w:sz w:val="24"/>
              </w:rPr>
              <w:t>Cassileth BR (1996). Stress and the development of breast cancer: a persistent and popular link despite contrary evidence. Cancer, 77(6): 1015-6.</w:t>
            </w:r>
          </w:p>
        </w:tc>
      </w:tr>
      <w:tr w:rsidR="00EF1E43" w:rsidRPr="00EF1E43" w14:paraId="5C7EAC5E" w14:textId="77777777" w:rsidTr="00CC61F1">
        <w:trPr>
          <w:cantSplit/>
        </w:trPr>
        <w:tc>
          <w:tcPr>
            <w:tcW w:w="1555" w:type="dxa"/>
            <w:shd w:val="clear" w:color="auto" w:fill="FFFFFF" w:themeFill="background1"/>
            <w:noWrap/>
            <w:vAlign w:val="center"/>
            <w:hideMark/>
          </w:tcPr>
          <w:p w14:paraId="53D86B5C" w14:textId="77777777" w:rsidR="00FF0F9B" w:rsidRPr="00EF1E43" w:rsidRDefault="00FF0F9B" w:rsidP="00374F41">
            <w:pPr>
              <w:jc w:val="center"/>
              <w:rPr>
                <w:sz w:val="24"/>
              </w:rPr>
            </w:pPr>
            <w:r w:rsidRPr="00EF1E43">
              <w:rPr>
                <w:sz w:val="24"/>
              </w:rPr>
              <w:t>80747</w:t>
            </w:r>
          </w:p>
        </w:tc>
        <w:tc>
          <w:tcPr>
            <w:tcW w:w="7371" w:type="dxa"/>
            <w:shd w:val="clear" w:color="auto" w:fill="FFFFFF" w:themeFill="background1"/>
            <w:vAlign w:val="center"/>
            <w:hideMark/>
          </w:tcPr>
          <w:p w14:paraId="309B9A64" w14:textId="77777777" w:rsidR="00FF0F9B" w:rsidRPr="00EF1E43" w:rsidRDefault="00FF0F9B" w:rsidP="00374F41">
            <w:pPr>
              <w:rPr>
                <w:sz w:val="24"/>
              </w:rPr>
            </w:pPr>
            <w:r w:rsidRPr="00EF1E43">
              <w:rPr>
                <w:sz w:val="24"/>
              </w:rPr>
              <w:t>Centers for Disease Control and Prevention (CDC) (2015). Radioisotope brief: Uranium. Retrieved 8 February 2017, from https://emergency.cdc.gov/radiation/isotopes/uranium.asp</w:t>
            </w:r>
          </w:p>
        </w:tc>
      </w:tr>
      <w:tr w:rsidR="00EF1E43" w:rsidRPr="00EF1E43" w14:paraId="68E18137" w14:textId="77777777" w:rsidTr="00CC61F1">
        <w:trPr>
          <w:cantSplit/>
        </w:trPr>
        <w:tc>
          <w:tcPr>
            <w:tcW w:w="1555" w:type="dxa"/>
            <w:shd w:val="clear" w:color="auto" w:fill="FFFFFF" w:themeFill="background1"/>
            <w:noWrap/>
            <w:vAlign w:val="center"/>
            <w:hideMark/>
          </w:tcPr>
          <w:p w14:paraId="02A77B47" w14:textId="77777777" w:rsidR="00FF0F9B" w:rsidRPr="00EF1E43" w:rsidRDefault="00FF0F9B" w:rsidP="00374F41">
            <w:pPr>
              <w:jc w:val="center"/>
              <w:rPr>
                <w:sz w:val="24"/>
              </w:rPr>
            </w:pPr>
            <w:r w:rsidRPr="00EF1E43">
              <w:rPr>
                <w:sz w:val="24"/>
              </w:rPr>
              <w:t>35649</w:t>
            </w:r>
          </w:p>
        </w:tc>
        <w:tc>
          <w:tcPr>
            <w:tcW w:w="7371" w:type="dxa"/>
            <w:shd w:val="clear" w:color="auto" w:fill="FFFFFF" w:themeFill="background1"/>
            <w:vAlign w:val="center"/>
            <w:hideMark/>
          </w:tcPr>
          <w:p w14:paraId="6E310032" w14:textId="77777777" w:rsidR="00FF0F9B" w:rsidRPr="00EF1E43" w:rsidRDefault="00FF0F9B" w:rsidP="00374F41">
            <w:pPr>
              <w:rPr>
                <w:sz w:val="24"/>
              </w:rPr>
            </w:pPr>
            <w:r w:rsidRPr="00EF1E43">
              <w:rPr>
                <w:sz w:val="24"/>
              </w:rPr>
              <w:t>Chang-Claude J, Eby N, Kiechle M, et al (2000). Breastfeeding and breast cancer risk by age 50 among women in Germany. Cancer Causes Control, 11(8): 687-95.</w:t>
            </w:r>
          </w:p>
        </w:tc>
      </w:tr>
      <w:tr w:rsidR="00EF1E43" w:rsidRPr="00EF1E43" w14:paraId="588D0793" w14:textId="77777777" w:rsidTr="00CC61F1">
        <w:trPr>
          <w:cantSplit/>
        </w:trPr>
        <w:tc>
          <w:tcPr>
            <w:tcW w:w="1555" w:type="dxa"/>
            <w:shd w:val="clear" w:color="auto" w:fill="FFFFFF" w:themeFill="background1"/>
            <w:noWrap/>
            <w:vAlign w:val="center"/>
            <w:hideMark/>
          </w:tcPr>
          <w:p w14:paraId="2E26FFE9" w14:textId="77777777" w:rsidR="00FF0F9B" w:rsidRPr="00EF1E43" w:rsidRDefault="00FF0F9B" w:rsidP="00374F41">
            <w:pPr>
              <w:jc w:val="center"/>
              <w:rPr>
                <w:sz w:val="24"/>
              </w:rPr>
            </w:pPr>
            <w:r w:rsidRPr="00EF1E43">
              <w:rPr>
                <w:sz w:val="24"/>
              </w:rPr>
              <w:t>71538</w:t>
            </w:r>
          </w:p>
        </w:tc>
        <w:tc>
          <w:tcPr>
            <w:tcW w:w="7371" w:type="dxa"/>
            <w:shd w:val="clear" w:color="auto" w:fill="FFFFFF" w:themeFill="background1"/>
            <w:vAlign w:val="center"/>
            <w:hideMark/>
          </w:tcPr>
          <w:p w14:paraId="29345AD3" w14:textId="77777777" w:rsidR="00FF0F9B" w:rsidRPr="00EF1E43" w:rsidRDefault="00FF0F9B" w:rsidP="00374F41">
            <w:pPr>
              <w:rPr>
                <w:sz w:val="24"/>
              </w:rPr>
            </w:pPr>
            <w:r w:rsidRPr="00EF1E43">
              <w:rPr>
                <w:sz w:val="24"/>
              </w:rPr>
              <w:t>Chen C, Ma X, Zhong M, et al (2010). Extremely low-frequency electromagnetic fields exposure and female breast cancer risk: a meta-analysis based on 24,338 cases and 60,628 controls. Breast Cancer Res Treat, 123(2): 569-76.</w:t>
            </w:r>
          </w:p>
        </w:tc>
      </w:tr>
      <w:tr w:rsidR="00EF1E43" w:rsidRPr="00EF1E43" w14:paraId="47118192" w14:textId="77777777" w:rsidTr="00CC61F1">
        <w:trPr>
          <w:cantSplit/>
        </w:trPr>
        <w:tc>
          <w:tcPr>
            <w:tcW w:w="1555" w:type="dxa"/>
            <w:shd w:val="clear" w:color="auto" w:fill="FFFFFF" w:themeFill="background1"/>
            <w:noWrap/>
            <w:vAlign w:val="center"/>
            <w:hideMark/>
          </w:tcPr>
          <w:p w14:paraId="356871B6" w14:textId="77777777" w:rsidR="00FF0F9B" w:rsidRPr="00EF1E43" w:rsidRDefault="00FF0F9B" w:rsidP="00374F41">
            <w:pPr>
              <w:jc w:val="center"/>
              <w:rPr>
                <w:sz w:val="24"/>
              </w:rPr>
            </w:pPr>
            <w:r w:rsidRPr="00EF1E43">
              <w:rPr>
                <w:sz w:val="24"/>
              </w:rPr>
              <w:t>37138</w:t>
            </w:r>
          </w:p>
        </w:tc>
        <w:tc>
          <w:tcPr>
            <w:tcW w:w="7371" w:type="dxa"/>
            <w:shd w:val="clear" w:color="auto" w:fill="FFFFFF" w:themeFill="background1"/>
            <w:vAlign w:val="center"/>
            <w:hideMark/>
          </w:tcPr>
          <w:p w14:paraId="02DF2EC2" w14:textId="77777777" w:rsidR="00FF0F9B" w:rsidRPr="00EF1E43" w:rsidRDefault="00FF0F9B" w:rsidP="00374F41">
            <w:pPr>
              <w:rPr>
                <w:sz w:val="24"/>
              </w:rPr>
            </w:pPr>
            <w:r w:rsidRPr="00EF1E43">
              <w:rPr>
                <w:sz w:val="24"/>
              </w:rPr>
              <w:t>Chen CL, White E, Malone KE, et al (1997). Leisure-time physical activity in relation to breast cancer among young women (Washington, United States). Cancer Causes Control, 8(1): 77-84.</w:t>
            </w:r>
          </w:p>
        </w:tc>
      </w:tr>
      <w:tr w:rsidR="00EF1E43" w:rsidRPr="00EF1E43" w14:paraId="77453EDE" w14:textId="77777777" w:rsidTr="00CC61F1">
        <w:trPr>
          <w:cantSplit/>
        </w:trPr>
        <w:tc>
          <w:tcPr>
            <w:tcW w:w="1555" w:type="dxa"/>
            <w:shd w:val="clear" w:color="auto" w:fill="FFFFFF" w:themeFill="background1"/>
            <w:noWrap/>
            <w:vAlign w:val="center"/>
            <w:hideMark/>
          </w:tcPr>
          <w:p w14:paraId="05A4A79F" w14:textId="77777777" w:rsidR="00FF0F9B" w:rsidRPr="00EF1E43" w:rsidRDefault="00FF0F9B" w:rsidP="00374F41">
            <w:pPr>
              <w:jc w:val="center"/>
              <w:rPr>
                <w:sz w:val="24"/>
              </w:rPr>
            </w:pPr>
            <w:r w:rsidRPr="00EF1E43">
              <w:rPr>
                <w:sz w:val="24"/>
              </w:rPr>
              <w:t>71540</w:t>
            </w:r>
          </w:p>
        </w:tc>
        <w:tc>
          <w:tcPr>
            <w:tcW w:w="7371" w:type="dxa"/>
            <w:shd w:val="clear" w:color="auto" w:fill="FFFFFF" w:themeFill="background1"/>
            <w:vAlign w:val="center"/>
            <w:hideMark/>
          </w:tcPr>
          <w:p w14:paraId="18BF2042" w14:textId="77777777" w:rsidR="00FF0F9B" w:rsidRPr="00EF1E43" w:rsidRDefault="00FF0F9B" w:rsidP="00374F41">
            <w:pPr>
              <w:rPr>
                <w:sz w:val="24"/>
              </w:rPr>
            </w:pPr>
            <w:r w:rsidRPr="00EF1E43">
              <w:rPr>
                <w:sz w:val="24"/>
              </w:rPr>
              <w:t>Chen WY (2011). Postmenopausal hormone therapy and breast cancer risk: current status and unanswered questions. Endocrinol Metab Clin North Am, 40(3): 509-18, viii.</w:t>
            </w:r>
          </w:p>
        </w:tc>
      </w:tr>
      <w:tr w:rsidR="00EF1E43" w:rsidRPr="00EF1E43" w14:paraId="28FBD4D0" w14:textId="77777777" w:rsidTr="00CC61F1">
        <w:trPr>
          <w:cantSplit/>
        </w:trPr>
        <w:tc>
          <w:tcPr>
            <w:tcW w:w="1555" w:type="dxa"/>
            <w:shd w:val="clear" w:color="auto" w:fill="FFFFFF" w:themeFill="background1"/>
            <w:noWrap/>
            <w:vAlign w:val="center"/>
            <w:hideMark/>
          </w:tcPr>
          <w:p w14:paraId="3689C203" w14:textId="77777777" w:rsidR="00FF0F9B" w:rsidRPr="00EF1E43" w:rsidRDefault="00FF0F9B" w:rsidP="00374F41">
            <w:pPr>
              <w:jc w:val="center"/>
              <w:rPr>
                <w:sz w:val="24"/>
              </w:rPr>
            </w:pPr>
            <w:r w:rsidRPr="00EF1E43">
              <w:rPr>
                <w:sz w:val="24"/>
              </w:rPr>
              <w:t>35632</w:t>
            </w:r>
          </w:p>
        </w:tc>
        <w:tc>
          <w:tcPr>
            <w:tcW w:w="7371" w:type="dxa"/>
            <w:shd w:val="clear" w:color="auto" w:fill="FFFFFF" w:themeFill="background1"/>
            <w:vAlign w:val="center"/>
            <w:hideMark/>
          </w:tcPr>
          <w:p w14:paraId="5DE4AE33" w14:textId="77777777" w:rsidR="00FF0F9B" w:rsidRPr="00EF1E43" w:rsidRDefault="00FF0F9B" w:rsidP="00374F41">
            <w:pPr>
              <w:rPr>
                <w:sz w:val="24"/>
              </w:rPr>
            </w:pPr>
            <w:r w:rsidRPr="00EF1E43">
              <w:rPr>
                <w:sz w:val="24"/>
              </w:rPr>
              <w:t>Chen WY, Colditz GA, Rosner B, et al (2002). Use of postmenopausal hormones, alcohol, and risk for invasive breast cancer. Ann Intern Med, 137(10): 798-804.</w:t>
            </w:r>
          </w:p>
        </w:tc>
      </w:tr>
      <w:tr w:rsidR="00EF1E43" w:rsidRPr="00EF1E43" w14:paraId="6D8ED93B" w14:textId="77777777" w:rsidTr="00CC61F1">
        <w:trPr>
          <w:cantSplit/>
        </w:trPr>
        <w:tc>
          <w:tcPr>
            <w:tcW w:w="1555" w:type="dxa"/>
            <w:shd w:val="clear" w:color="auto" w:fill="FFFFFF" w:themeFill="background1"/>
            <w:noWrap/>
            <w:vAlign w:val="center"/>
            <w:hideMark/>
          </w:tcPr>
          <w:p w14:paraId="601FF3D2" w14:textId="77777777" w:rsidR="00FF0F9B" w:rsidRPr="00EF1E43" w:rsidRDefault="00FF0F9B" w:rsidP="00374F41">
            <w:pPr>
              <w:jc w:val="center"/>
              <w:rPr>
                <w:sz w:val="24"/>
              </w:rPr>
            </w:pPr>
            <w:r w:rsidRPr="00EF1E43">
              <w:rPr>
                <w:sz w:val="24"/>
              </w:rPr>
              <w:lastRenderedPageBreak/>
              <w:t>71541</w:t>
            </w:r>
          </w:p>
        </w:tc>
        <w:tc>
          <w:tcPr>
            <w:tcW w:w="7371" w:type="dxa"/>
            <w:shd w:val="clear" w:color="auto" w:fill="FFFFFF" w:themeFill="background1"/>
            <w:vAlign w:val="center"/>
            <w:hideMark/>
          </w:tcPr>
          <w:p w14:paraId="44D9AB56" w14:textId="77777777" w:rsidR="00FF0F9B" w:rsidRPr="00EF1E43" w:rsidRDefault="00FF0F9B" w:rsidP="00374F41">
            <w:pPr>
              <w:rPr>
                <w:sz w:val="24"/>
              </w:rPr>
            </w:pPr>
            <w:r w:rsidRPr="00EF1E43">
              <w:rPr>
                <w:sz w:val="24"/>
              </w:rPr>
              <w:t>Cheraghi Z, Poorolajal J, Hashem T, et al (2012). Effect of body mass index on breast cancer during premenopausal and postmenopausal periods: a meta-analysis. PLoS One, 7(12): e51446.</w:t>
            </w:r>
          </w:p>
        </w:tc>
      </w:tr>
      <w:tr w:rsidR="00EF1E43" w:rsidRPr="00EF1E43" w14:paraId="79E3084D" w14:textId="77777777" w:rsidTr="00CC61F1">
        <w:trPr>
          <w:cantSplit/>
        </w:trPr>
        <w:tc>
          <w:tcPr>
            <w:tcW w:w="1555" w:type="dxa"/>
            <w:shd w:val="clear" w:color="auto" w:fill="FFFFFF" w:themeFill="background1"/>
            <w:noWrap/>
            <w:vAlign w:val="center"/>
            <w:hideMark/>
          </w:tcPr>
          <w:p w14:paraId="1C30A838" w14:textId="77777777" w:rsidR="00FF0F9B" w:rsidRPr="00EF1E43" w:rsidRDefault="00FF0F9B" w:rsidP="00374F41">
            <w:pPr>
              <w:jc w:val="center"/>
              <w:rPr>
                <w:sz w:val="24"/>
              </w:rPr>
            </w:pPr>
            <w:r w:rsidRPr="00EF1E43">
              <w:rPr>
                <w:sz w:val="24"/>
              </w:rPr>
              <w:t>4687</w:t>
            </w:r>
          </w:p>
        </w:tc>
        <w:tc>
          <w:tcPr>
            <w:tcW w:w="7371" w:type="dxa"/>
            <w:shd w:val="clear" w:color="auto" w:fill="FFFFFF" w:themeFill="background1"/>
            <w:vAlign w:val="center"/>
            <w:hideMark/>
          </w:tcPr>
          <w:p w14:paraId="11B22285" w14:textId="77777777" w:rsidR="00FF0F9B" w:rsidRPr="00EF1E43" w:rsidRDefault="00FF0F9B" w:rsidP="00374F41">
            <w:pPr>
              <w:rPr>
                <w:sz w:val="24"/>
              </w:rPr>
            </w:pPr>
            <w:r w:rsidRPr="00EF1E43">
              <w:rPr>
                <w:sz w:val="24"/>
              </w:rPr>
              <w:t>Chilvers C (1994). Oral contraceptives and cancer. Lancet, 344(8934): 1378-9.</w:t>
            </w:r>
          </w:p>
        </w:tc>
      </w:tr>
      <w:tr w:rsidR="00EF1E43" w:rsidRPr="00EF1E43" w14:paraId="3F6EF04C" w14:textId="77777777" w:rsidTr="00CC61F1">
        <w:trPr>
          <w:cantSplit/>
        </w:trPr>
        <w:tc>
          <w:tcPr>
            <w:tcW w:w="1555" w:type="dxa"/>
            <w:shd w:val="clear" w:color="auto" w:fill="FFFFFF" w:themeFill="background1"/>
            <w:noWrap/>
            <w:vAlign w:val="center"/>
            <w:hideMark/>
          </w:tcPr>
          <w:p w14:paraId="15C276D3" w14:textId="77777777" w:rsidR="00FF0F9B" w:rsidRPr="00EF1E43" w:rsidRDefault="00FF0F9B" w:rsidP="00374F41">
            <w:pPr>
              <w:jc w:val="center"/>
              <w:rPr>
                <w:sz w:val="24"/>
              </w:rPr>
            </w:pPr>
            <w:r w:rsidRPr="00EF1E43">
              <w:rPr>
                <w:sz w:val="24"/>
              </w:rPr>
              <w:t>71543</w:t>
            </w:r>
          </w:p>
        </w:tc>
        <w:tc>
          <w:tcPr>
            <w:tcW w:w="7371" w:type="dxa"/>
            <w:shd w:val="clear" w:color="auto" w:fill="FFFFFF" w:themeFill="background1"/>
            <w:vAlign w:val="center"/>
            <w:hideMark/>
          </w:tcPr>
          <w:p w14:paraId="60553213" w14:textId="77777777" w:rsidR="00FF0F9B" w:rsidRPr="00EF1E43" w:rsidRDefault="00FF0F9B" w:rsidP="00374F41">
            <w:pPr>
              <w:rPr>
                <w:sz w:val="24"/>
              </w:rPr>
            </w:pPr>
            <w:r w:rsidRPr="00EF1E43">
              <w:rPr>
                <w:sz w:val="24"/>
              </w:rPr>
              <w:t>Chlebowski RT, Anderson GL (2012). Changing concepts: Menopausal hormone therapy and breast cancer. J Natl Cancer Inst, 104(7): 517-27.</w:t>
            </w:r>
          </w:p>
        </w:tc>
      </w:tr>
      <w:tr w:rsidR="00EF1E43" w:rsidRPr="00EF1E43" w14:paraId="6533C03B" w14:textId="77777777" w:rsidTr="00CC61F1">
        <w:trPr>
          <w:cantSplit/>
        </w:trPr>
        <w:tc>
          <w:tcPr>
            <w:tcW w:w="1555" w:type="dxa"/>
            <w:shd w:val="clear" w:color="auto" w:fill="FFFFFF" w:themeFill="background1"/>
            <w:noWrap/>
            <w:vAlign w:val="center"/>
            <w:hideMark/>
          </w:tcPr>
          <w:p w14:paraId="1E0574F2" w14:textId="77777777" w:rsidR="00FF0F9B" w:rsidRPr="00EF1E43" w:rsidRDefault="00FF0F9B" w:rsidP="00374F41">
            <w:pPr>
              <w:jc w:val="center"/>
              <w:rPr>
                <w:sz w:val="24"/>
              </w:rPr>
            </w:pPr>
            <w:r w:rsidRPr="00EF1E43">
              <w:rPr>
                <w:sz w:val="24"/>
              </w:rPr>
              <w:t>81690</w:t>
            </w:r>
          </w:p>
        </w:tc>
        <w:tc>
          <w:tcPr>
            <w:tcW w:w="7371" w:type="dxa"/>
            <w:shd w:val="clear" w:color="auto" w:fill="FFFFFF" w:themeFill="background1"/>
            <w:vAlign w:val="center"/>
            <w:hideMark/>
          </w:tcPr>
          <w:p w14:paraId="52641984" w14:textId="77777777" w:rsidR="00FF0F9B" w:rsidRPr="00EF1E43" w:rsidRDefault="00FF0F9B" w:rsidP="00374F41">
            <w:pPr>
              <w:rPr>
                <w:sz w:val="24"/>
              </w:rPr>
            </w:pPr>
            <w:r w:rsidRPr="00EF1E43">
              <w:rPr>
                <w:sz w:val="24"/>
              </w:rPr>
              <w:t>Chowdhury R, Sinha B, Sankar MJ, et al (2015). Breastfeeding and maternal health outcomes: a systematic review and meta-analysis. Acta Paediatr, 104(467): 96-113.</w:t>
            </w:r>
          </w:p>
        </w:tc>
      </w:tr>
      <w:tr w:rsidR="00EF1E43" w:rsidRPr="00EF1E43" w14:paraId="03DEDF1E" w14:textId="77777777" w:rsidTr="00CC61F1">
        <w:trPr>
          <w:cantSplit/>
        </w:trPr>
        <w:tc>
          <w:tcPr>
            <w:tcW w:w="1555" w:type="dxa"/>
            <w:shd w:val="clear" w:color="auto" w:fill="FFFFFF" w:themeFill="background1"/>
            <w:noWrap/>
            <w:vAlign w:val="center"/>
            <w:hideMark/>
          </w:tcPr>
          <w:p w14:paraId="0D628B20" w14:textId="77777777" w:rsidR="00FF0F9B" w:rsidRPr="00EF1E43" w:rsidRDefault="00FF0F9B" w:rsidP="00374F41">
            <w:pPr>
              <w:jc w:val="center"/>
              <w:rPr>
                <w:sz w:val="24"/>
              </w:rPr>
            </w:pPr>
            <w:r w:rsidRPr="00EF1E43">
              <w:rPr>
                <w:sz w:val="24"/>
              </w:rPr>
              <w:t>35646</w:t>
            </w:r>
          </w:p>
        </w:tc>
        <w:tc>
          <w:tcPr>
            <w:tcW w:w="7371" w:type="dxa"/>
            <w:shd w:val="clear" w:color="auto" w:fill="FFFFFF" w:themeFill="background1"/>
            <w:vAlign w:val="center"/>
            <w:hideMark/>
          </w:tcPr>
          <w:p w14:paraId="18800F7D" w14:textId="77777777" w:rsidR="00FF0F9B" w:rsidRPr="00EF1E43" w:rsidRDefault="00FF0F9B" w:rsidP="00374F41">
            <w:pPr>
              <w:rPr>
                <w:sz w:val="24"/>
              </w:rPr>
            </w:pPr>
            <w:r w:rsidRPr="00EF1E43">
              <w:rPr>
                <w:sz w:val="24"/>
              </w:rPr>
              <w:t>Claus EB, Stowe M, Carter D (2003). Oral contraceptives and the risk of ductal breast carcinoma in situ. Breast Cancer Res Treat, 81(2): 129-36.</w:t>
            </w:r>
          </w:p>
        </w:tc>
      </w:tr>
      <w:tr w:rsidR="00EF1E43" w:rsidRPr="00EF1E43" w14:paraId="62126588" w14:textId="77777777" w:rsidTr="00CC61F1">
        <w:trPr>
          <w:cantSplit/>
        </w:trPr>
        <w:tc>
          <w:tcPr>
            <w:tcW w:w="1555" w:type="dxa"/>
            <w:shd w:val="clear" w:color="auto" w:fill="FFFFFF" w:themeFill="background1"/>
            <w:noWrap/>
            <w:vAlign w:val="center"/>
            <w:hideMark/>
          </w:tcPr>
          <w:p w14:paraId="182237ED" w14:textId="77777777" w:rsidR="00FF0F9B" w:rsidRPr="00EF1E43" w:rsidRDefault="00FF0F9B" w:rsidP="00374F41">
            <w:pPr>
              <w:jc w:val="center"/>
              <w:rPr>
                <w:sz w:val="24"/>
              </w:rPr>
            </w:pPr>
            <w:r w:rsidRPr="00EF1E43">
              <w:rPr>
                <w:sz w:val="24"/>
              </w:rPr>
              <w:t>35620</w:t>
            </w:r>
          </w:p>
        </w:tc>
        <w:tc>
          <w:tcPr>
            <w:tcW w:w="7371" w:type="dxa"/>
            <w:shd w:val="clear" w:color="auto" w:fill="FFFFFF" w:themeFill="background1"/>
            <w:vAlign w:val="center"/>
            <w:hideMark/>
          </w:tcPr>
          <w:p w14:paraId="73C83126" w14:textId="77777777" w:rsidR="00FF0F9B" w:rsidRPr="00EF1E43" w:rsidRDefault="00FF0F9B" w:rsidP="00374F41">
            <w:pPr>
              <w:rPr>
                <w:sz w:val="24"/>
              </w:rPr>
            </w:pPr>
            <w:r w:rsidRPr="00EF1E43">
              <w:rPr>
                <w:sz w:val="24"/>
              </w:rPr>
              <w:t>Clavel-Chapelon F, Gerber M (2002). Reproductive factors and breast cancer risk. Do they differ according to age at diagnosis? Breast Cancer Res Treat, 72(2): 107-15.</w:t>
            </w:r>
          </w:p>
        </w:tc>
      </w:tr>
      <w:tr w:rsidR="00EF1E43" w:rsidRPr="00EF1E43" w14:paraId="07552BBE" w14:textId="77777777" w:rsidTr="00CC61F1">
        <w:trPr>
          <w:cantSplit/>
        </w:trPr>
        <w:tc>
          <w:tcPr>
            <w:tcW w:w="1555" w:type="dxa"/>
            <w:shd w:val="clear" w:color="auto" w:fill="FFFFFF" w:themeFill="background1"/>
            <w:noWrap/>
            <w:vAlign w:val="center"/>
            <w:hideMark/>
          </w:tcPr>
          <w:p w14:paraId="76CDED71" w14:textId="77777777" w:rsidR="00FF0F9B" w:rsidRPr="00EF1E43" w:rsidRDefault="00FF0F9B" w:rsidP="00374F41">
            <w:pPr>
              <w:jc w:val="center"/>
              <w:rPr>
                <w:sz w:val="24"/>
              </w:rPr>
            </w:pPr>
            <w:r w:rsidRPr="00EF1E43">
              <w:rPr>
                <w:sz w:val="24"/>
              </w:rPr>
              <w:t>35935</w:t>
            </w:r>
          </w:p>
        </w:tc>
        <w:tc>
          <w:tcPr>
            <w:tcW w:w="7371" w:type="dxa"/>
            <w:shd w:val="clear" w:color="auto" w:fill="FFFFFF" w:themeFill="background1"/>
            <w:vAlign w:val="center"/>
            <w:hideMark/>
          </w:tcPr>
          <w:p w14:paraId="551AFC7D" w14:textId="77777777" w:rsidR="00FF0F9B" w:rsidRPr="00EF1E43" w:rsidRDefault="00FF0F9B" w:rsidP="00374F41">
            <w:pPr>
              <w:rPr>
                <w:sz w:val="24"/>
              </w:rPr>
            </w:pPr>
            <w:r w:rsidRPr="00EF1E43">
              <w:rPr>
                <w:sz w:val="24"/>
              </w:rPr>
              <w:t>Clavel-Chappelon F, Thiebaut A, Berrino F (2002). Alcohol consumption and breast cancer risk. Preliminary results of the EPIC cohort. IARC Sci Publ, 156: 155-60.</w:t>
            </w:r>
          </w:p>
        </w:tc>
      </w:tr>
      <w:tr w:rsidR="00EF1E43" w:rsidRPr="00EF1E43" w14:paraId="324CBE3D" w14:textId="77777777" w:rsidTr="00CC61F1">
        <w:trPr>
          <w:cantSplit/>
        </w:trPr>
        <w:tc>
          <w:tcPr>
            <w:tcW w:w="1555" w:type="dxa"/>
            <w:shd w:val="clear" w:color="auto" w:fill="FFFFFF" w:themeFill="background1"/>
            <w:noWrap/>
            <w:vAlign w:val="center"/>
            <w:hideMark/>
          </w:tcPr>
          <w:p w14:paraId="697BD3D0" w14:textId="77777777" w:rsidR="00FF0F9B" w:rsidRPr="00EF1E43" w:rsidRDefault="00FF0F9B" w:rsidP="00374F41">
            <w:pPr>
              <w:jc w:val="center"/>
              <w:rPr>
                <w:sz w:val="24"/>
              </w:rPr>
            </w:pPr>
            <w:r w:rsidRPr="00EF1E43">
              <w:rPr>
                <w:sz w:val="24"/>
              </w:rPr>
              <w:t>37104</w:t>
            </w:r>
          </w:p>
        </w:tc>
        <w:tc>
          <w:tcPr>
            <w:tcW w:w="7371" w:type="dxa"/>
            <w:shd w:val="clear" w:color="auto" w:fill="FFFFFF" w:themeFill="background1"/>
            <w:vAlign w:val="center"/>
            <w:hideMark/>
          </w:tcPr>
          <w:p w14:paraId="4E79D0D1" w14:textId="77777777" w:rsidR="00FF0F9B" w:rsidRPr="00EF1E43" w:rsidRDefault="00FF0F9B" w:rsidP="00374F41">
            <w:pPr>
              <w:rPr>
                <w:sz w:val="24"/>
              </w:rPr>
            </w:pPr>
            <w:r w:rsidRPr="00EF1E43">
              <w:rPr>
                <w:sz w:val="24"/>
              </w:rPr>
              <w:t>Cleary MP, Maihle NJ (1997). The role of body mass index in the relative risk of developing premenopausal versus postmenopausal breast cancer. Proc Soc Exp Biol Med, 216(1): 28-43.</w:t>
            </w:r>
          </w:p>
        </w:tc>
      </w:tr>
      <w:tr w:rsidR="00EF1E43" w:rsidRPr="00EF1E43" w14:paraId="23C05D1F" w14:textId="77777777" w:rsidTr="00CC61F1">
        <w:trPr>
          <w:cantSplit/>
        </w:trPr>
        <w:tc>
          <w:tcPr>
            <w:tcW w:w="1555" w:type="dxa"/>
            <w:shd w:val="clear" w:color="auto" w:fill="FFFFFF" w:themeFill="background1"/>
            <w:noWrap/>
            <w:vAlign w:val="center"/>
            <w:hideMark/>
          </w:tcPr>
          <w:p w14:paraId="452AFB9B" w14:textId="77777777" w:rsidR="00FF0F9B" w:rsidRPr="00EF1E43" w:rsidRDefault="00FF0F9B" w:rsidP="00374F41">
            <w:pPr>
              <w:jc w:val="center"/>
              <w:rPr>
                <w:sz w:val="24"/>
              </w:rPr>
            </w:pPr>
            <w:r w:rsidRPr="00EF1E43">
              <w:rPr>
                <w:sz w:val="24"/>
              </w:rPr>
              <w:t>35597</w:t>
            </w:r>
          </w:p>
        </w:tc>
        <w:tc>
          <w:tcPr>
            <w:tcW w:w="7371" w:type="dxa"/>
            <w:shd w:val="clear" w:color="auto" w:fill="FFFFFF" w:themeFill="background1"/>
            <w:vAlign w:val="center"/>
            <w:hideMark/>
          </w:tcPr>
          <w:p w14:paraId="1D035429" w14:textId="77777777" w:rsidR="00FF0F9B" w:rsidRPr="00EF1E43" w:rsidRDefault="00FF0F9B" w:rsidP="00374F41">
            <w:pPr>
              <w:rPr>
                <w:sz w:val="24"/>
              </w:rPr>
            </w:pPr>
            <w:r w:rsidRPr="00EF1E43">
              <w:rPr>
                <w:sz w:val="24"/>
              </w:rPr>
              <w:t>Clemons M, Loijens L, Goss P (2000). Breast cancer risk following irradiation for Hodgkin's disease. Cancer Treat Rev, 26(4): 291-302.</w:t>
            </w:r>
          </w:p>
        </w:tc>
      </w:tr>
      <w:tr w:rsidR="00EF1E43" w:rsidRPr="00EF1E43" w14:paraId="0861637D" w14:textId="77777777" w:rsidTr="00CC61F1">
        <w:trPr>
          <w:cantSplit/>
        </w:trPr>
        <w:tc>
          <w:tcPr>
            <w:tcW w:w="1555" w:type="dxa"/>
            <w:shd w:val="clear" w:color="auto" w:fill="FFFFFF" w:themeFill="background1"/>
            <w:noWrap/>
            <w:vAlign w:val="center"/>
            <w:hideMark/>
          </w:tcPr>
          <w:p w14:paraId="25C138E4" w14:textId="77777777" w:rsidR="00FF0F9B" w:rsidRPr="00EF1E43" w:rsidRDefault="00FF0F9B" w:rsidP="00374F41">
            <w:pPr>
              <w:jc w:val="center"/>
              <w:rPr>
                <w:sz w:val="24"/>
              </w:rPr>
            </w:pPr>
            <w:r w:rsidRPr="00EF1E43">
              <w:rPr>
                <w:sz w:val="24"/>
              </w:rPr>
              <w:t>37178</w:t>
            </w:r>
          </w:p>
        </w:tc>
        <w:tc>
          <w:tcPr>
            <w:tcW w:w="7371" w:type="dxa"/>
            <w:shd w:val="clear" w:color="auto" w:fill="FFFFFF" w:themeFill="background1"/>
            <w:vAlign w:val="center"/>
            <w:hideMark/>
          </w:tcPr>
          <w:p w14:paraId="00B05960" w14:textId="77777777" w:rsidR="00FF0F9B" w:rsidRPr="00EF1E43" w:rsidRDefault="00FF0F9B" w:rsidP="00374F41">
            <w:pPr>
              <w:rPr>
                <w:sz w:val="24"/>
              </w:rPr>
            </w:pPr>
            <w:r w:rsidRPr="00EF1E43">
              <w:rPr>
                <w:sz w:val="24"/>
              </w:rPr>
              <w:t>Coates RJ, Uhler RJ, Hall HI, et al (1999). Risk of breast cancer in young women in relation to body size and weight gain in adolescence and early adulthood. Br J Cancer, 81(1): 167-74.</w:t>
            </w:r>
          </w:p>
        </w:tc>
      </w:tr>
      <w:tr w:rsidR="00EF1E43" w:rsidRPr="00EF1E43" w14:paraId="768CFB37" w14:textId="77777777" w:rsidTr="00CC61F1">
        <w:trPr>
          <w:cantSplit/>
        </w:trPr>
        <w:tc>
          <w:tcPr>
            <w:tcW w:w="1555" w:type="dxa"/>
            <w:shd w:val="clear" w:color="auto" w:fill="FFFFFF" w:themeFill="background1"/>
            <w:noWrap/>
            <w:vAlign w:val="center"/>
            <w:hideMark/>
          </w:tcPr>
          <w:p w14:paraId="1B325AF3" w14:textId="77777777" w:rsidR="00FF0F9B" w:rsidRPr="00EF1E43" w:rsidRDefault="00FF0F9B" w:rsidP="00374F41">
            <w:pPr>
              <w:jc w:val="center"/>
              <w:rPr>
                <w:sz w:val="24"/>
              </w:rPr>
            </w:pPr>
            <w:r w:rsidRPr="00EF1E43">
              <w:rPr>
                <w:sz w:val="24"/>
              </w:rPr>
              <w:t>72909</w:t>
            </w:r>
          </w:p>
        </w:tc>
        <w:tc>
          <w:tcPr>
            <w:tcW w:w="7371" w:type="dxa"/>
            <w:shd w:val="clear" w:color="auto" w:fill="FFFFFF" w:themeFill="background1"/>
            <w:vAlign w:val="center"/>
            <w:hideMark/>
          </w:tcPr>
          <w:p w14:paraId="75D7E584" w14:textId="77777777" w:rsidR="00FF0F9B" w:rsidRPr="00EF1E43" w:rsidRDefault="00FF0F9B" w:rsidP="00374F41">
            <w:pPr>
              <w:rPr>
                <w:sz w:val="24"/>
              </w:rPr>
            </w:pPr>
            <w:r w:rsidRPr="00EF1E43">
              <w:rPr>
                <w:sz w:val="24"/>
              </w:rPr>
              <w:t>Cohn BA, Terry MB, Plumb M, et al (2012). Exposure to polychlorinated biphenyl (PCB) congeners measured shortly after giving birth and subsequent risk of maternal breast cancer before age 50. Breast Cancer Res Treat, 136(1): 267-75.</w:t>
            </w:r>
          </w:p>
        </w:tc>
      </w:tr>
      <w:tr w:rsidR="00EF1E43" w:rsidRPr="00EF1E43" w14:paraId="45AC75AA" w14:textId="77777777" w:rsidTr="00CC61F1">
        <w:trPr>
          <w:cantSplit/>
        </w:trPr>
        <w:tc>
          <w:tcPr>
            <w:tcW w:w="1555" w:type="dxa"/>
            <w:shd w:val="clear" w:color="auto" w:fill="FFFFFF" w:themeFill="background1"/>
            <w:noWrap/>
            <w:vAlign w:val="center"/>
            <w:hideMark/>
          </w:tcPr>
          <w:p w14:paraId="198E51C3" w14:textId="77777777" w:rsidR="00FF0F9B" w:rsidRPr="00EF1E43" w:rsidRDefault="00FF0F9B" w:rsidP="00374F41">
            <w:pPr>
              <w:jc w:val="center"/>
              <w:rPr>
                <w:sz w:val="24"/>
              </w:rPr>
            </w:pPr>
            <w:r w:rsidRPr="00EF1E43">
              <w:rPr>
                <w:sz w:val="24"/>
              </w:rPr>
              <w:t>35657</w:t>
            </w:r>
          </w:p>
        </w:tc>
        <w:tc>
          <w:tcPr>
            <w:tcW w:w="7371" w:type="dxa"/>
            <w:shd w:val="clear" w:color="auto" w:fill="FFFFFF" w:themeFill="background1"/>
            <w:vAlign w:val="center"/>
            <w:hideMark/>
          </w:tcPr>
          <w:p w14:paraId="03E36529" w14:textId="77777777" w:rsidR="00FF0F9B" w:rsidRPr="00EF1E43" w:rsidRDefault="00FF0F9B" w:rsidP="00374F41">
            <w:pPr>
              <w:rPr>
                <w:sz w:val="24"/>
              </w:rPr>
            </w:pPr>
            <w:r w:rsidRPr="00EF1E43">
              <w:rPr>
                <w:sz w:val="24"/>
              </w:rPr>
              <w:t>Col NF, Kim JA, Chlebowski RT (2005). Menopausal hormone therapy after breast cancer: a meta-analysis and critical appraisal of the evidence. Breast Cancer Res, 7(4): R535-40.</w:t>
            </w:r>
          </w:p>
        </w:tc>
      </w:tr>
      <w:tr w:rsidR="00EF1E43" w:rsidRPr="00EF1E43" w14:paraId="47C4BD21" w14:textId="77777777" w:rsidTr="00CC61F1">
        <w:trPr>
          <w:cantSplit/>
        </w:trPr>
        <w:tc>
          <w:tcPr>
            <w:tcW w:w="1555" w:type="dxa"/>
            <w:shd w:val="clear" w:color="auto" w:fill="FFFFFF" w:themeFill="background1"/>
            <w:noWrap/>
            <w:vAlign w:val="center"/>
            <w:hideMark/>
          </w:tcPr>
          <w:p w14:paraId="042AD533" w14:textId="77777777" w:rsidR="00FF0F9B" w:rsidRPr="00EF1E43" w:rsidRDefault="00FF0F9B" w:rsidP="00374F41">
            <w:pPr>
              <w:jc w:val="center"/>
              <w:rPr>
                <w:sz w:val="24"/>
              </w:rPr>
            </w:pPr>
            <w:r w:rsidRPr="00EF1E43">
              <w:rPr>
                <w:sz w:val="24"/>
              </w:rPr>
              <w:t>71621</w:t>
            </w:r>
          </w:p>
        </w:tc>
        <w:tc>
          <w:tcPr>
            <w:tcW w:w="7371" w:type="dxa"/>
            <w:shd w:val="clear" w:color="auto" w:fill="FFFFFF" w:themeFill="background1"/>
            <w:vAlign w:val="center"/>
            <w:hideMark/>
          </w:tcPr>
          <w:p w14:paraId="7A41C237" w14:textId="77777777" w:rsidR="00FF0F9B" w:rsidRPr="00EF1E43" w:rsidRDefault="00FF0F9B" w:rsidP="00374F41">
            <w:pPr>
              <w:rPr>
                <w:sz w:val="24"/>
              </w:rPr>
            </w:pPr>
            <w:r w:rsidRPr="00EF1E43">
              <w:rPr>
                <w:sz w:val="24"/>
              </w:rPr>
              <w:t>Colaci M, Giuggioli D, Vacchi C, et al (2014). Breast cancer in systemic sclerosis: results of a cross-linkage of an Italian Rheumatologic Center and a population-based Cancer Registry and review of the literature. Autoimmun Rev, 13(2): 132-7.</w:t>
            </w:r>
          </w:p>
        </w:tc>
      </w:tr>
      <w:tr w:rsidR="00EF1E43" w:rsidRPr="00EF1E43" w14:paraId="3799A3CB" w14:textId="77777777" w:rsidTr="00CC61F1">
        <w:trPr>
          <w:cantSplit/>
        </w:trPr>
        <w:tc>
          <w:tcPr>
            <w:tcW w:w="1555" w:type="dxa"/>
            <w:shd w:val="clear" w:color="auto" w:fill="FFFFFF" w:themeFill="background1"/>
            <w:noWrap/>
            <w:vAlign w:val="center"/>
            <w:hideMark/>
          </w:tcPr>
          <w:p w14:paraId="61986C49" w14:textId="77777777" w:rsidR="00FF0F9B" w:rsidRPr="00EF1E43" w:rsidRDefault="00FF0F9B" w:rsidP="00374F41">
            <w:pPr>
              <w:jc w:val="center"/>
              <w:rPr>
                <w:sz w:val="24"/>
              </w:rPr>
            </w:pPr>
            <w:r w:rsidRPr="00EF1E43">
              <w:rPr>
                <w:sz w:val="24"/>
              </w:rPr>
              <w:t>9203</w:t>
            </w:r>
          </w:p>
        </w:tc>
        <w:tc>
          <w:tcPr>
            <w:tcW w:w="7371" w:type="dxa"/>
            <w:shd w:val="clear" w:color="auto" w:fill="FFFFFF" w:themeFill="background1"/>
            <w:vAlign w:val="center"/>
            <w:hideMark/>
          </w:tcPr>
          <w:p w14:paraId="2F7F096F" w14:textId="77777777" w:rsidR="00FF0F9B" w:rsidRPr="00EF1E43" w:rsidRDefault="00FF0F9B" w:rsidP="00374F41">
            <w:pPr>
              <w:rPr>
                <w:sz w:val="24"/>
              </w:rPr>
            </w:pPr>
            <w:r w:rsidRPr="00EF1E43">
              <w:rPr>
                <w:sz w:val="24"/>
              </w:rPr>
              <w:t>Colditz GA (1993). Epidemiology of breast cancer. Findings from the nurses' health study. Cancer, 71(Suppl 4): 1480-9.</w:t>
            </w:r>
          </w:p>
        </w:tc>
      </w:tr>
      <w:tr w:rsidR="00EF1E43" w:rsidRPr="00EF1E43" w14:paraId="2BDA01F0" w14:textId="77777777" w:rsidTr="00CC61F1">
        <w:trPr>
          <w:cantSplit/>
        </w:trPr>
        <w:tc>
          <w:tcPr>
            <w:tcW w:w="1555" w:type="dxa"/>
            <w:shd w:val="clear" w:color="auto" w:fill="FFFFFF" w:themeFill="background1"/>
            <w:noWrap/>
            <w:vAlign w:val="center"/>
            <w:hideMark/>
          </w:tcPr>
          <w:p w14:paraId="1C2D6CA1" w14:textId="77777777" w:rsidR="00FF0F9B" w:rsidRPr="00EF1E43" w:rsidRDefault="00FF0F9B" w:rsidP="00374F41">
            <w:pPr>
              <w:jc w:val="center"/>
              <w:rPr>
                <w:sz w:val="24"/>
              </w:rPr>
            </w:pPr>
            <w:r w:rsidRPr="00EF1E43">
              <w:rPr>
                <w:sz w:val="24"/>
              </w:rPr>
              <w:t>35628</w:t>
            </w:r>
          </w:p>
        </w:tc>
        <w:tc>
          <w:tcPr>
            <w:tcW w:w="7371" w:type="dxa"/>
            <w:shd w:val="clear" w:color="auto" w:fill="FFFFFF" w:themeFill="background1"/>
            <w:vAlign w:val="center"/>
            <w:hideMark/>
          </w:tcPr>
          <w:p w14:paraId="15AD13B7" w14:textId="77777777" w:rsidR="00FF0F9B" w:rsidRPr="00EF1E43" w:rsidRDefault="00FF0F9B" w:rsidP="00374F41">
            <w:pPr>
              <w:rPr>
                <w:sz w:val="24"/>
              </w:rPr>
            </w:pPr>
            <w:r w:rsidRPr="00EF1E43">
              <w:rPr>
                <w:sz w:val="24"/>
              </w:rPr>
              <w:t>Colditz GA (2005). Estrogen, estrogen plus progestin therapy, and risk of breast cancer. Clin Cancer Res, 11(2 Pt 2): S909-17.</w:t>
            </w:r>
          </w:p>
        </w:tc>
      </w:tr>
      <w:tr w:rsidR="00EF1E43" w:rsidRPr="00EF1E43" w14:paraId="61D4C8CC" w14:textId="77777777" w:rsidTr="00CC61F1">
        <w:trPr>
          <w:cantSplit/>
        </w:trPr>
        <w:tc>
          <w:tcPr>
            <w:tcW w:w="1555" w:type="dxa"/>
            <w:shd w:val="clear" w:color="auto" w:fill="FFFFFF" w:themeFill="background1"/>
            <w:noWrap/>
            <w:vAlign w:val="center"/>
            <w:hideMark/>
          </w:tcPr>
          <w:p w14:paraId="65891F57" w14:textId="77777777" w:rsidR="00FF0F9B" w:rsidRPr="00EF1E43" w:rsidRDefault="00FF0F9B" w:rsidP="00374F41">
            <w:pPr>
              <w:jc w:val="center"/>
              <w:rPr>
                <w:sz w:val="24"/>
              </w:rPr>
            </w:pPr>
            <w:r w:rsidRPr="00EF1E43">
              <w:rPr>
                <w:sz w:val="24"/>
              </w:rPr>
              <w:t>36995</w:t>
            </w:r>
          </w:p>
        </w:tc>
        <w:tc>
          <w:tcPr>
            <w:tcW w:w="7371" w:type="dxa"/>
            <w:shd w:val="clear" w:color="auto" w:fill="FFFFFF" w:themeFill="background1"/>
            <w:vAlign w:val="center"/>
            <w:hideMark/>
          </w:tcPr>
          <w:p w14:paraId="58842D90" w14:textId="77777777" w:rsidR="00FF0F9B" w:rsidRPr="00EF1E43" w:rsidRDefault="00FF0F9B" w:rsidP="00374F41">
            <w:pPr>
              <w:rPr>
                <w:sz w:val="24"/>
              </w:rPr>
            </w:pPr>
            <w:r w:rsidRPr="00EF1E43">
              <w:rPr>
                <w:sz w:val="24"/>
              </w:rPr>
              <w:t>Colditz GA, Feskanich D, Chen WY, et al (2003). Physical activity and risk of breast cancer in premenopausal women. Br J Cancer, 89(5): 847-51.</w:t>
            </w:r>
          </w:p>
        </w:tc>
      </w:tr>
      <w:tr w:rsidR="00EF1E43" w:rsidRPr="00EF1E43" w14:paraId="3C9F7BD3" w14:textId="77777777" w:rsidTr="00CC61F1">
        <w:trPr>
          <w:cantSplit/>
        </w:trPr>
        <w:tc>
          <w:tcPr>
            <w:tcW w:w="1555" w:type="dxa"/>
            <w:shd w:val="clear" w:color="auto" w:fill="FFFFFF" w:themeFill="background1"/>
            <w:noWrap/>
            <w:vAlign w:val="center"/>
            <w:hideMark/>
          </w:tcPr>
          <w:p w14:paraId="3B2831FF" w14:textId="77777777" w:rsidR="00FF0F9B" w:rsidRPr="00EF1E43" w:rsidRDefault="00FF0F9B" w:rsidP="00374F41">
            <w:pPr>
              <w:jc w:val="center"/>
              <w:rPr>
                <w:sz w:val="24"/>
              </w:rPr>
            </w:pPr>
            <w:r w:rsidRPr="00EF1E43">
              <w:rPr>
                <w:sz w:val="24"/>
              </w:rPr>
              <w:lastRenderedPageBreak/>
              <w:t>9204</w:t>
            </w:r>
          </w:p>
        </w:tc>
        <w:tc>
          <w:tcPr>
            <w:tcW w:w="7371" w:type="dxa"/>
            <w:shd w:val="clear" w:color="auto" w:fill="FFFFFF" w:themeFill="background1"/>
            <w:vAlign w:val="center"/>
            <w:hideMark/>
          </w:tcPr>
          <w:p w14:paraId="1012CF18" w14:textId="77777777" w:rsidR="00FF0F9B" w:rsidRPr="00EF1E43" w:rsidRDefault="00FF0F9B" w:rsidP="00374F41">
            <w:pPr>
              <w:rPr>
                <w:sz w:val="24"/>
              </w:rPr>
            </w:pPr>
            <w:r w:rsidRPr="00EF1E43">
              <w:rPr>
                <w:sz w:val="24"/>
              </w:rPr>
              <w:t>Colditz GA, Hankinson SE, Hunter DJ, et al (1995). The use of oestrogens and progestins and the risk of breast cancer in postmenopausal women. New Engl J Med, 332(24): 1589-93.</w:t>
            </w:r>
          </w:p>
        </w:tc>
      </w:tr>
      <w:tr w:rsidR="00EF1E43" w:rsidRPr="00EF1E43" w14:paraId="3A75AE74" w14:textId="77777777" w:rsidTr="00CC61F1">
        <w:trPr>
          <w:cantSplit/>
        </w:trPr>
        <w:tc>
          <w:tcPr>
            <w:tcW w:w="1555" w:type="dxa"/>
            <w:shd w:val="clear" w:color="auto" w:fill="FFFFFF" w:themeFill="background1"/>
            <w:noWrap/>
            <w:vAlign w:val="center"/>
            <w:hideMark/>
          </w:tcPr>
          <w:p w14:paraId="4D5E18A8" w14:textId="77777777" w:rsidR="00FF0F9B" w:rsidRPr="00EF1E43" w:rsidRDefault="00FF0F9B" w:rsidP="00374F41">
            <w:pPr>
              <w:jc w:val="center"/>
              <w:rPr>
                <w:sz w:val="24"/>
              </w:rPr>
            </w:pPr>
            <w:r w:rsidRPr="00EF1E43">
              <w:rPr>
                <w:sz w:val="24"/>
              </w:rPr>
              <w:t>35651</w:t>
            </w:r>
          </w:p>
        </w:tc>
        <w:tc>
          <w:tcPr>
            <w:tcW w:w="7371" w:type="dxa"/>
            <w:shd w:val="clear" w:color="auto" w:fill="FFFFFF" w:themeFill="background1"/>
            <w:vAlign w:val="center"/>
            <w:hideMark/>
          </w:tcPr>
          <w:p w14:paraId="2DE4B80E" w14:textId="77777777" w:rsidR="00FF0F9B" w:rsidRPr="00EF1E43" w:rsidRDefault="00FF0F9B" w:rsidP="00374F41">
            <w:pPr>
              <w:rPr>
                <w:sz w:val="24"/>
              </w:rPr>
            </w:pPr>
            <w:r w:rsidRPr="00EF1E43">
              <w:rPr>
                <w:sz w:val="24"/>
              </w:rPr>
              <w:t>Colditz GA, Rosner B (2000). Cumulative risk of breast cancer to age 70 years according to risk factor status: data from the Nurses' Health Study. Am J Epidemiol, 152(10): 950-64.</w:t>
            </w:r>
          </w:p>
        </w:tc>
      </w:tr>
      <w:tr w:rsidR="00EF1E43" w:rsidRPr="00EF1E43" w14:paraId="79134D2D" w14:textId="77777777" w:rsidTr="00CC61F1">
        <w:trPr>
          <w:cantSplit/>
        </w:trPr>
        <w:tc>
          <w:tcPr>
            <w:tcW w:w="1555" w:type="dxa"/>
            <w:shd w:val="clear" w:color="auto" w:fill="FFFFFF" w:themeFill="background1"/>
            <w:noWrap/>
            <w:vAlign w:val="center"/>
            <w:hideMark/>
          </w:tcPr>
          <w:p w14:paraId="4FB268EA" w14:textId="77777777" w:rsidR="00FF0F9B" w:rsidRPr="00EF1E43" w:rsidRDefault="00FF0F9B" w:rsidP="00374F41">
            <w:pPr>
              <w:jc w:val="center"/>
              <w:rPr>
                <w:sz w:val="24"/>
              </w:rPr>
            </w:pPr>
            <w:r w:rsidRPr="00EF1E43">
              <w:rPr>
                <w:sz w:val="24"/>
              </w:rPr>
              <w:t>35648</w:t>
            </w:r>
          </w:p>
        </w:tc>
        <w:tc>
          <w:tcPr>
            <w:tcW w:w="7371" w:type="dxa"/>
            <w:shd w:val="clear" w:color="auto" w:fill="FFFFFF" w:themeFill="background1"/>
            <w:vAlign w:val="center"/>
            <w:hideMark/>
          </w:tcPr>
          <w:p w14:paraId="0A6FAB82" w14:textId="77777777" w:rsidR="00FF0F9B" w:rsidRPr="00EF1E43" w:rsidRDefault="00FF0F9B" w:rsidP="00374F41">
            <w:pPr>
              <w:rPr>
                <w:sz w:val="24"/>
              </w:rPr>
            </w:pPr>
            <w:r w:rsidRPr="00EF1E43">
              <w:rPr>
                <w:sz w:val="24"/>
              </w:rPr>
              <w:t>Collaborative Group on Hormonal Factors in Breast Cancer (2002). Breast cancer and breastfeeding: collaborative reanalysis of individual data from 47 epidemiological studies in 30 countries, including 50302 women with breast cancer and 96973 women without the disease. Lancet, 360(9328): 187-95.</w:t>
            </w:r>
          </w:p>
        </w:tc>
      </w:tr>
      <w:tr w:rsidR="00EF1E43" w:rsidRPr="00EF1E43" w14:paraId="2C8B0EA5" w14:textId="77777777" w:rsidTr="00CC61F1">
        <w:trPr>
          <w:cantSplit/>
        </w:trPr>
        <w:tc>
          <w:tcPr>
            <w:tcW w:w="1555" w:type="dxa"/>
            <w:shd w:val="clear" w:color="auto" w:fill="FFFFFF" w:themeFill="background1"/>
            <w:noWrap/>
            <w:vAlign w:val="center"/>
            <w:hideMark/>
          </w:tcPr>
          <w:p w14:paraId="7484A4F7" w14:textId="77777777" w:rsidR="00FF0F9B" w:rsidRPr="00EF1E43" w:rsidRDefault="00FF0F9B" w:rsidP="00374F41">
            <w:pPr>
              <w:jc w:val="center"/>
              <w:rPr>
                <w:sz w:val="24"/>
              </w:rPr>
            </w:pPr>
            <w:r w:rsidRPr="00EF1E43">
              <w:rPr>
                <w:sz w:val="24"/>
              </w:rPr>
              <w:t>35627</w:t>
            </w:r>
          </w:p>
        </w:tc>
        <w:tc>
          <w:tcPr>
            <w:tcW w:w="7371" w:type="dxa"/>
            <w:shd w:val="clear" w:color="auto" w:fill="FFFFFF" w:themeFill="background1"/>
            <w:vAlign w:val="center"/>
            <w:hideMark/>
          </w:tcPr>
          <w:p w14:paraId="1FB98E0B" w14:textId="77777777" w:rsidR="00FF0F9B" w:rsidRPr="00EF1E43" w:rsidRDefault="00FF0F9B" w:rsidP="00374F41">
            <w:pPr>
              <w:rPr>
                <w:sz w:val="24"/>
              </w:rPr>
            </w:pPr>
            <w:r w:rsidRPr="00EF1E43">
              <w:rPr>
                <w:sz w:val="24"/>
              </w:rPr>
              <w:t>Collaborative Group on Hormonal Factors in Breast Cancer (1997). Breast cancer and hormone replacement therapy: collaborative reanalysis of data from 51 epidemiological studies of 52,705 women with breast cancer and 108,411 women without breast cancer. Lancet, 350(9084): 1047-59.</w:t>
            </w:r>
          </w:p>
        </w:tc>
      </w:tr>
      <w:tr w:rsidR="00EF1E43" w:rsidRPr="00EF1E43" w14:paraId="28B7C564" w14:textId="77777777" w:rsidTr="00CC61F1">
        <w:trPr>
          <w:cantSplit/>
        </w:trPr>
        <w:tc>
          <w:tcPr>
            <w:tcW w:w="1555" w:type="dxa"/>
            <w:shd w:val="clear" w:color="auto" w:fill="FFFFFF" w:themeFill="background1"/>
            <w:noWrap/>
            <w:vAlign w:val="center"/>
            <w:hideMark/>
          </w:tcPr>
          <w:p w14:paraId="6DBD90D4" w14:textId="77777777" w:rsidR="00FF0F9B" w:rsidRPr="00EF1E43" w:rsidRDefault="00FF0F9B" w:rsidP="00374F41">
            <w:pPr>
              <w:jc w:val="center"/>
              <w:rPr>
                <w:sz w:val="24"/>
              </w:rPr>
            </w:pPr>
            <w:r w:rsidRPr="00EF1E43">
              <w:rPr>
                <w:sz w:val="24"/>
              </w:rPr>
              <w:t>9205</w:t>
            </w:r>
          </w:p>
        </w:tc>
        <w:tc>
          <w:tcPr>
            <w:tcW w:w="7371" w:type="dxa"/>
            <w:shd w:val="clear" w:color="auto" w:fill="FFFFFF" w:themeFill="background1"/>
            <w:vAlign w:val="center"/>
            <w:hideMark/>
          </w:tcPr>
          <w:p w14:paraId="1C69FA65" w14:textId="77777777" w:rsidR="00FF0F9B" w:rsidRPr="00EF1E43" w:rsidRDefault="00FF0F9B" w:rsidP="00374F41">
            <w:pPr>
              <w:rPr>
                <w:sz w:val="24"/>
              </w:rPr>
            </w:pPr>
            <w:r w:rsidRPr="00EF1E43">
              <w:rPr>
                <w:sz w:val="24"/>
              </w:rPr>
              <w:t>Collaborative Group on Hormonal Factors in Breast Cancer (1996). Breast cancer and hormonal contraceptives: collaborative reanalysis of individual data on 53 297 women with breast cancer and 100 239 women without breast cancer from 54 epidemiological studies. Lancet, 347(9017): 1713-27.</w:t>
            </w:r>
          </w:p>
        </w:tc>
      </w:tr>
      <w:tr w:rsidR="00EF1E43" w:rsidRPr="00EF1E43" w14:paraId="42D84B85" w14:textId="77777777" w:rsidTr="00CC61F1">
        <w:trPr>
          <w:cantSplit/>
        </w:trPr>
        <w:tc>
          <w:tcPr>
            <w:tcW w:w="1555" w:type="dxa"/>
            <w:shd w:val="clear" w:color="auto" w:fill="FFFFFF" w:themeFill="background1"/>
            <w:noWrap/>
            <w:vAlign w:val="center"/>
            <w:hideMark/>
          </w:tcPr>
          <w:p w14:paraId="2D1C58DB" w14:textId="77777777" w:rsidR="00FF0F9B" w:rsidRPr="00EF1E43" w:rsidRDefault="00FF0F9B" w:rsidP="00374F41">
            <w:pPr>
              <w:jc w:val="center"/>
              <w:rPr>
                <w:sz w:val="24"/>
              </w:rPr>
            </w:pPr>
            <w:r w:rsidRPr="00EF1E43">
              <w:rPr>
                <w:sz w:val="24"/>
              </w:rPr>
              <w:t>9206</w:t>
            </w:r>
          </w:p>
        </w:tc>
        <w:tc>
          <w:tcPr>
            <w:tcW w:w="7371" w:type="dxa"/>
            <w:shd w:val="clear" w:color="auto" w:fill="FFFFFF" w:themeFill="background1"/>
            <w:vAlign w:val="center"/>
            <w:hideMark/>
          </w:tcPr>
          <w:p w14:paraId="3389A6FF" w14:textId="77777777" w:rsidR="00FF0F9B" w:rsidRPr="00EF1E43" w:rsidRDefault="00FF0F9B" w:rsidP="00374F41">
            <w:pPr>
              <w:rPr>
                <w:sz w:val="24"/>
              </w:rPr>
            </w:pPr>
            <w:r w:rsidRPr="00EF1E43">
              <w:rPr>
                <w:sz w:val="24"/>
              </w:rPr>
              <w:t>Colvett KT (1995). Bilateral breast carcinoma after radiation therapy for Hodgkin's disease. South Med J, 88(2): 239-42.</w:t>
            </w:r>
          </w:p>
        </w:tc>
      </w:tr>
      <w:tr w:rsidR="00EF1E43" w:rsidRPr="00EF1E43" w14:paraId="025920B0" w14:textId="77777777" w:rsidTr="00CC61F1">
        <w:trPr>
          <w:cantSplit/>
        </w:trPr>
        <w:tc>
          <w:tcPr>
            <w:tcW w:w="1555" w:type="dxa"/>
            <w:shd w:val="clear" w:color="auto" w:fill="FFFFFF" w:themeFill="background1"/>
            <w:noWrap/>
            <w:vAlign w:val="center"/>
            <w:hideMark/>
          </w:tcPr>
          <w:p w14:paraId="7ED600B5" w14:textId="77777777" w:rsidR="00FF0F9B" w:rsidRPr="00EF1E43" w:rsidRDefault="00FF0F9B" w:rsidP="00374F41">
            <w:pPr>
              <w:jc w:val="center"/>
              <w:rPr>
                <w:sz w:val="24"/>
              </w:rPr>
            </w:pPr>
            <w:r w:rsidRPr="00EF1E43">
              <w:rPr>
                <w:sz w:val="24"/>
              </w:rPr>
              <w:t>35721</w:t>
            </w:r>
          </w:p>
        </w:tc>
        <w:tc>
          <w:tcPr>
            <w:tcW w:w="7371" w:type="dxa"/>
            <w:shd w:val="clear" w:color="auto" w:fill="FFFFFF" w:themeFill="background1"/>
            <w:vAlign w:val="center"/>
            <w:hideMark/>
          </w:tcPr>
          <w:p w14:paraId="72E62653" w14:textId="77777777" w:rsidR="00FF0F9B" w:rsidRPr="00EF1E43" w:rsidRDefault="00FF0F9B" w:rsidP="00374F41">
            <w:pPr>
              <w:rPr>
                <w:sz w:val="24"/>
              </w:rPr>
            </w:pPr>
            <w:r w:rsidRPr="00EF1E43">
              <w:rPr>
                <w:sz w:val="24"/>
              </w:rPr>
              <w:t>Committee on Gynecologic Practice, American College of Obstetricians and Gynecologists (2003). ACOG committee opinion. Induced abortion and breast cancer risk. Number 285, August 2003. Int J Gynaecol Obstet, 83(2): 233-5.</w:t>
            </w:r>
          </w:p>
        </w:tc>
      </w:tr>
      <w:tr w:rsidR="00EF1E43" w:rsidRPr="00EF1E43" w14:paraId="17DDFBFA" w14:textId="77777777" w:rsidTr="00CC61F1">
        <w:trPr>
          <w:cantSplit/>
        </w:trPr>
        <w:tc>
          <w:tcPr>
            <w:tcW w:w="1555" w:type="dxa"/>
            <w:shd w:val="clear" w:color="auto" w:fill="FFFFFF" w:themeFill="background1"/>
            <w:noWrap/>
            <w:vAlign w:val="center"/>
            <w:hideMark/>
          </w:tcPr>
          <w:p w14:paraId="3047AE05" w14:textId="77777777" w:rsidR="00FF0F9B" w:rsidRPr="00EF1E43" w:rsidRDefault="00FF0F9B" w:rsidP="00374F41">
            <w:pPr>
              <w:jc w:val="center"/>
              <w:rPr>
                <w:sz w:val="24"/>
              </w:rPr>
            </w:pPr>
            <w:r w:rsidRPr="00EF1E43">
              <w:rPr>
                <w:sz w:val="24"/>
              </w:rPr>
              <w:t>13052</w:t>
            </w:r>
          </w:p>
        </w:tc>
        <w:tc>
          <w:tcPr>
            <w:tcW w:w="7371" w:type="dxa"/>
            <w:shd w:val="clear" w:color="auto" w:fill="FFFFFF" w:themeFill="background1"/>
            <w:vAlign w:val="center"/>
            <w:hideMark/>
          </w:tcPr>
          <w:p w14:paraId="48EBC47E" w14:textId="77777777" w:rsidR="00FF0F9B" w:rsidRPr="00EF1E43" w:rsidRDefault="00FF0F9B" w:rsidP="00374F41">
            <w:pPr>
              <w:rPr>
                <w:sz w:val="24"/>
              </w:rPr>
            </w:pPr>
            <w:r w:rsidRPr="00EF1E43">
              <w:rPr>
                <w:sz w:val="24"/>
              </w:rPr>
              <w:t>Commonwealth Department of Veteran's' Affairs (1998). Male Vietnam veterans - survey and community comparison outcomes. Morbidity of Vietnam Veterans: A study of the health of Australia's Vietnam veteran community, Vol 1.</w:t>
            </w:r>
          </w:p>
        </w:tc>
      </w:tr>
      <w:tr w:rsidR="00EF1E43" w:rsidRPr="00EF1E43" w14:paraId="2B4C4320" w14:textId="77777777" w:rsidTr="00CC61F1">
        <w:trPr>
          <w:cantSplit/>
        </w:trPr>
        <w:tc>
          <w:tcPr>
            <w:tcW w:w="1555" w:type="dxa"/>
            <w:shd w:val="clear" w:color="auto" w:fill="FFFFFF" w:themeFill="background1"/>
            <w:noWrap/>
            <w:vAlign w:val="center"/>
            <w:hideMark/>
          </w:tcPr>
          <w:p w14:paraId="3A18765E" w14:textId="77777777" w:rsidR="00FF0F9B" w:rsidRPr="00EF1E43" w:rsidRDefault="00FF0F9B" w:rsidP="00374F41">
            <w:pPr>
              <w:jc w:val="center"/>
              <w:rPr>
                <w:sz w:val="24"/>
              </w:rPr>
            </w:pPr>
            <w:r w:rsidRPr="00EF1E43">
              <w:rPr>
                <w:sz w:val="24"/>
              </w:rPr>
              <w:t>37100</w:t>
            </w:r>
          </w:p>
        </w:tc>
        <w:tc>
          <w:tcPr>
            <w:tcW w:w="7371" w:type="dxa"/>
            <w:shd w:val="clear" w:color="auto" w:fill="FFFFFF" w:themeFill="background1"/>
            <w:vAlign w:val="center"/>
            <w:hideMark/>
          </w:tcPr>
          <w:p w14:paraId="5781D81A" w14:textId="77777777" w:rsidR="00FF0F9B" w:rsidRPr="00EF1E43" w:rsidRDefault="00FF0F9B" w:rsidP="00374F41">
            <w:pPr>
              <w:rPr>
                <w:sz w:val="24"/>
              </w:rPr>
            </w:pPr>
            <w:r w:rsidRPr="00EF1E43">
              <w:rPr>
                <w:sz w:val="24"/>
              </w:rPr>
              <w:t>Connolly BS, Barnett C, Vogt KN, et al (2002). A meta-analysis of published literature on waist-to-hip ratio and risk of breast cancer. Nutr Cancer, 44(2): 127-38.</w:t>
            </w:r>
          </w:p>
        </w:tc>
      </w:tr>
      <w:tr w:rsidR="00EF1E43" w:rsidRPr="00EF1E43" w14:paraId="401FD810" w14:textId="77777777" w:rsidTr="00CC61F1">
        <w:trPr>
          <w:cantSplit/>
        </w:trPr>
        <w:tc>
          <w:tcPr>
            <w:tcW w:w="1555" w:type="dxa"/>
            <w:shd w:val="clear" w:color="auto" w:fill="FFFFFF" w:themeFill="background1"/>
            <w:noWrap/>
            <w:vAlign w:val="center"/>
            <w:hideMark/>
          </w:tcPr>
          <w:p w14:paraId="27B7E8C2" w14:textId="77777777" w:rsidR="00FF0F9B" w:rsidRPr="00EF1E43" w:rsidRDefault="00FF0F9B" w:rsidP="00374F41">
            <w:pPr>
              <w:jc w:val="center"/>
              <w:rPr>
                <w:sz w:val="24"/>
              </w:rPr>
            </w:pPr>
            <w:r w:rsidRPr="00EF1E43">
              <w:rPr>
                <w:sz w:val="24"/>
              </w:rPr>
              <w:t>55675</w:t>
            </w:r>
          </w:p>
        </w:tc>
        <w:tc>
          <w:tcPr>
            <w:tcW w:w="7371" w:type="dxa"/>
            <w:shd w:val="clear" w:color="auto" w:fill="FFFFFF" w:themeFill="background1"/>
            <w:vAlign w:val="center"/>
            <w:hideMark/>
          </w:tcPr>
          <w:p w14:paraId="556934EA" w14:textId="77777777" w:rsidR="00FF0F9B" w:rsidRPr="00EF1E43" w:rsidRDefault="00FF0F9B" w:rsidP="00374F41">
            <w:pPr>
              <w:rPr>
                <w:sz w:val="24"/>
              </w:rPr>
            </w:pPr>
            <w:r w:rsidRPr="00EF1E43">
              <w:rPr>
                <w:sz w:val="24"/>
              </w:rPr>
              <w:t>Consonni D, Pesatori AC, Zocchetti C, et al (2008). Mortality in a population exposed to dioxin after the Seveso, Italy accident in 1976: 25 years of follow-up. Am J Epidemiol, 167(7): 847-58.</w:t>
            </w:r>
          </w:p>
        </w:tc>
      </w:tr>
      <w:tr w:rsidR="00EF1E43" w:rsidRPr="00EF1E43" w14:paraId="2EEB56C8" w14:textId="77777777" w:rsidTr="00CC61F1">
        <w:trPr>
          <w:cantSplit/>
        </w:trPr>
        <w:tc>
          <w:tcPr>
            <w:tcW w:w="1555" w:type="dxa"/>
            <w:shd w:val="clear" w:color="auto" w:fill="FFFFFF" w:themeFill="background1"/>
            <w:noWrap/>
            <w:vAlign w:val="center"/>
            <w:hideMark/>
          </w:tcPr>
          <w:p w14:paraId="20B0BC99" w14:textId="77777777" w:rsidR="00FF0F9B" w:rsidRPr="00EF1E43" w:rsidRDefault="00FF0F9B" w:rsidP="00374F41">
            <w:pPr>
              <w:jc w:val="center"/>
              <w:rPr>
                <w:sz w:val="24"/>
              </w:rPr>
            </w:pPr>
            <w:r w:rsidRPr="00EF1E43">
              <w:rPr>
                <w:sz w:val="24"/>
              </w:rPr>
              <w:t>8289</w:t>
            </w:r>
          </w:p>
        </w:tc>
        <w:tc>
          <w:tcPr>
            <w:tcW w:w="7371" w:type="dxa"/>
            <w:shd w:val="clear" w:color="auto" w:fill="FFFFFF" w:themeFill="background1"/>
            <w:vAlign w:val="center"/>
            <w:hideMark/>
          </w:tcPr>
          <w:p w14:paraId="37400ACE" w14:textId="77777777" w:rsidR="00FF0F9B" w:rsidRPr="00EF1E43" w:rsidRDefault="00FF0F9B" w:rsidP="00374F41">
            <w:pPr>
              <w:rPr>
                <w:sz w:val="24"/>
              </w:rPr>
            </w:pPr>
            <w:r w:rsidRPr="00EF1E43">
              <w:rPr>
                <w:sz w:val="24"/>
              </w:rPr>
              <w:t>Conz L, Mota BS, Bahamondes L, et al (2020). Levonorgestrel-releasing intrauterine system and breast cancer risk: A systematic review and meta-analysis. Acta Obstet Gynecol Scand, 8, 99: 970-82.</w:t>
            </w:r>
          </w:p>
        </w:tc>
      </w:tr>
      <w:tr w:rsidR="00EF1E43" w:rsidRPr="00EF1E43" w14:paraId="4CB3DE6F" w14:textId="77777777" w:rsidTr="00CC61F1">
        <w:trPr>
          <w:cantSplit/>
        </w:trPr>
        <w:tc>
          <w:tcPr>
            <w:tcW w:w="1555" w:type="dxa"/>
            <w:shd w:val="clear" w:color="auto" w:fill="FFFFFF" w:themeFill="background1"/>
            <w:noWrap/>
            <w:vAlign w:val="center"/>
            <w:hideMark/>
          </w:tcPr>
          <w:p w14:paraId="156CF73F" w14:textId="77777777" w:rsidR="00FF0F9B" w:rsidRPr="00EF1E43" w:rsidRDefault="00FF0F9B" w:rsidP="00374F41">
            <w:pPr>
              <w:jc w:val="center"/>
              <w:rPr>
                <w:sz w:val="24"/>
              </w:rPr>
            </w:pPr>
            <w:r w:rsidRPr="00EF1E43">
              <w:rPr>
                <w:sz w:val="24"/>
              </w:rPr>
              <w:t>37134</w:t>
            </w:r>
          </w:p>
        </w:tc>
        <w:tc>
          <w:tcPr>
            <w:tcW w:w="7371" w:type="dxa"/>
            <w:shd w:val="clear" w:color="auto" w:fill="FFFFFF" w:themeFill="background1"/>
            <w:vAlign w:val="center"/>
            <w:hideMark/>
          </w:tcPr>
          <w:p w14:paraId="1055F565" w14:textId="77777777" w:rsidR="00FF0F9B" w:rsidRPr="00EF1E43" w:rsidRDefault="00FF0F9B" w:rsidP="00374F41">
            <w:pPr>
              <w:rPr>
                <w:sz w:val="24"/>
              </w:rPr>
            </w:pPr>
            <w:r w:rsidRPr="00EF1E43">
              <w:rPr>
                <w:sz w:val="24"/>
              </w:rPr>
              <w:t>Coogan PF, Aschengrau A (1999). Occupational physical activity and breast cancer risk in the upper Cape Cod cancer incidence study. Am J Ind Med, 36(2): 279-85.</w:t>
            </w:r>
          </w:p>
        </w:tc>
      </w:tr>
      <w:tr w:rsidR="00EF1E43" w:rsidRPr="00EF1E43" w14:paraId="72256B1B" w14:textId="77777777" w:rsidTr="00CC61F1">
        <w:trPr>
          <w:cantSplit/>
        </w:trPr>
        <w:tc>
          <w:tcPr>
            <w:tcW w:w="1555" w:type="dxa"/>
            <w:shd w:val="clear" w:color="auto" w:fill="FFFFFF" w:themeFill="background1"/>
            <w:noWrap/>
            <w:vAlign w:val="center"/>
            <w:hideMark/>
          </w:tcPr>
          <w:p w14:paraId="2B6931C0" w14:textId="77777777" w:rsidR="00FF0F9B" w:rsidRPr="00EF1E43" w:rsidRDefault="00FF0F9B" w:rsidP="00374F41">
            <w:pPr>
              <w:jc w:val="center"/>
              <w:rPr>
                <w:sz w:val="24"/>
              </w:rPr>
            </w:pPr>
            <w:r w:rsidRPr="00EF1E43">
              <w:rPr>
                <w:sz w:val="24"/>
              </w:rPr>
              <w:t>36982</w:t>
            </w:r>
          </w:p>
        </w:tc>
        <w:tc>
          <w:tcPr>
            <w:tcW w:w="7371" w:type="dxa"/>
            <w:shd w:val="clear" w:color="auto" w:fill="FFFFFF" w:themeFill="background1"/>
            <w:vAlign w:val="center"/>
            <w:hideMark/>
          </w:tcPr>
          <w:p w14:paraId="7DA65C07" w14:textId="77777777" w:rsidR="00FF0F9B" w:rsidRPr="00EF1E43" w:rsidRDefault="00FF0F9B" w:rsidP="00374F41">
            <w:pPr>
              <w:rPr>
                <w:sz w:val="24"/>
              </w:rPr>
            </w:pPr>
            <w:r w:rsidRPr="00EF1E43">
              <w:rPr>
                <w:sz w:val="24"/>
              </w:rPr>
              <w:t>Coogan PF, Newcomb PA, Clapp RW, et al (1997). Physical activity in usual occupation and risk of breast cancer (United States). Cancer Causes Control, 8(4): 626-31.</w:t>
            </w:r>
          </w:p>
        </w:tc>
      </w:tr>
      <w:tr w:rsidR="00EF1E43" w:rsidRPr="00EF1E43" w14:paraId="66B31430" w14:textId="77777777" w:rsidTr="00CC61F1">
        <w:trPr>
          <w:cantSplit/>
        </w:trPr>
        <w:tc>
          <w:tcPr>
            <w:tcW w:w="1555" w:type="dxa"/>
            <w:shd w:val="clear" w:color="auto" w:fill="FFFFFF" w:themeFill="background1"/>
            <w:noWrap/>
            <w:vAlign w:val="center"/>
            <w:hideMark/>
          </w:tcPr>
          <w:p w14:paraId="208AE0AC" w14:textId="77777777" w:rsidR="00FF0F9B" w:rsidRPr="00EF1E43" w:rsidRDefault="00FF0F9B" w:rsidP="00374F41">
            <w:pPr>
              <w:jc w:val="center"/>
              <w:rPr>
                <w:sz w:val="24"/>
              </w:rPr>
            </w:pPr>
            <w:r w:rsidRPr="00EF1E43">
              <w:rPr>
                <w:sz w:val="24"/>
              </w:rPr>
              <w:t>9208</w:t>
            </w:r>
          </w:p>
        </w:tc>
        <w:tc>
          <w:tcPr>
            <w:tcW w:w="7371" w:type="dxa"/>
            <w:shd w:val="clear" w:color="auto" w:fill="FFFFFF" w:themeFill="background1"/>
            <w:vAlign w:val="center"/>
            <w:hideMark/>
          </w:tcPr>
          <w:p w14:paraId="0AD9F5B0" w14:textId="77777777" w:rsidR="00FF0F9B" w:rsidRPr="00EF1E43" w:rsidRDefault="00FF0F9B" w:rsidP="00374F41">
            <w:pPr>
              <w:rPr>
                <w:sz w:val="24"/>
              </w:rPr>
            </w:pPr>
            <w:r w:rsidRPr="00EF1E43">
              <w:rPr>
                <w:sz w:val="24"/>
              </w:rPr>
              <w:t>Cooper CL, Faragher EB (1993). Psychosocial stress and breast cancer: the inter-relationship between stress events, coping strategies and personality. Psychol Med, 23(3): 653-62.</w:t>
            </w:r>
          </w:p>
        </w:tc>
      </w:tr>
      <w:tr w:rsidR="00EF1E43" w:rsidRPr="00EF1E43" w14:paraId="01188137" w14:textId="77777777" w:rsidTr="00CC61F1">
        <w:trPr>
          <w:cantSplit/>
        </w:trPr>
        <w:tc>
          <w:tcPr>
            <w:tcW w:w="1555" w:type="dxa"/>
            <w:shd w:val="clear" w:color="auto" w:fill="FFFFFF" w:themeFill="background1"/>
            <w:noWrap/>
            <w:vAlign w:val="center"/>
            <w:hideMark/>
          </w:tcPr>
          <w:p w14:paraId="7F1A5890" w14:textId="77777777" w:rsidR="00FF0F9B" w:rsidRPr="00EF1E43" w:rsidRDefault="00FF0F9B" w:rsidP="00374F41">
            <w:pPr>
              <w:jc w:val="center"/>
              <w:rPr>
                <w:sz w:val="24"/>
              </w:rPr>
            </w:pPr>
            <w:r w:rsidRPr="00EF1E43">
              <w:rPr>
                <w:sz w:val="24"/>
              </w:rPr>
              <w:lastRenderedPageBreak/>
              <w:t>52243</w:t>
            </w:r>
          </w:p>
        </w:tc>
        <w:tc>
          <w:tcPr>
            <w:tcW w:w="7371" w:type="dxa"/>
            <w:shd w:val="clear" w:color="auto" w:fill="FFFFFF" w:themeFill="background1"/>
            <w:vAlign w:val="center"/>
            <w:hideMark/>
          </w:tcPr>
          <w:p w14:paraId="30C4986E" w14:textId="77777777" w:rsidR="00FF0F9B" w:rsidRPr="00EF1E43" w:rsidRDefault="00FF0F9B" w:rsidP="00374F41">
            <w:pPr>
              <w:rPr>
                <w:sz w:val="24"/>
              </w:rPr>
            </w:pPr>
            <w:r w:rsidRPr="00EF1E43">
              <w:rPr>
                <w:sz w:val="24"/>
              </w:rPr>
              <w:t>Cooper GS, Jones S (2008). Pentachlorophenol and cancer risk: focusing the lens on specific chlorophenols and contaminants. Environ Health Perspect, 116(8): 1001-8.</w:t>
            </w:r>
          </w:p>
        </w:tc>
      </w:tr>
      <w:tr w:rsidR="00EF1E43" w:rsidRPr="00EF1E43" w14:paraId="5C52920A" w14:textId="77777777" w:rsidTr="00CC61F1">
        <w:trPr>
          <w:cantSplit/>
        </w:trPr>
        <w:tc>
          <w:tcPr>
            <w:tcW w:w="1555" w:type="dxa"/>
            <w:shd w:val="clear" w:color="auto" w:fill="FFFFFF" w:themeFill="background1"/>
            <w:noWrap/>
            <w:vAlign w:val="center"/>
            <w:hideMark/>
          </w:tcPr>
          <w:p w14:paraId="2421D8E0" w14:textId="77777777" w:rsidR="00FF0F9B" w:rsidRPr="00EF1E43" w:rsidRDefault="00FF0F9B" w:rsidP="00374F41">
            <w:pPr>
              <w:jc w:val="center"/>
              <w:rPr>
                <w:sz w:val="24"/>
              </w:rPr>
            </w:pPr>
            <w:r w:rsidRPr="00EF1E43">
              <w:rPr>
                <w:sz w:val="24"/>
              </w:rPr>
              <w:t>71622</w:t>
            </w:r>
          </w:p>
        </w:tc>
        <w:tc>
          <w:tcPr>
            <w:tcW w:w="7371" w:type="dxa"/>
            <w:shd w:val="clear" w:color="auto" w:fill="FFFFFF" w:themeFill="background1"/>
            <w:vAlign w:val="center"/>
            <w:hideMark/>
          </w:tcPr>
          <w:p w14:paraId="4189BE33" w14:textId="77777777" w:rsidR="00FF0F9B" w:rsidRPr="00EF1E43" w:rsidRDefault="00FF0F9B" w:rsidP="00374F41">
            <w:pPr>
              <w:rPr>
                <w:sz w:val="24"/>
              </w:rPr>
            </w:pPr>
            <w:r w:rsidRPr="00EF1E43">
              <w:rPr>
                <w:sz w:val="24"/>
              </w:rPr>
              <w:t>Cooper GS, Scott CS, Bale AS (2011). Insights from epidemiology into dichloromethane and cancer risk. Int J Environ Res Public Health, 8(8): 3380-98.</w:t>
            </w:r>
          </w:p>
        </w:tc>
      </w:tr>
      <w:tr w:rsidR="00EF1E43" w:rsidRPr="00EF1E43" w14:paraId="7F71397E" w14:textId="77777777" w:rsidTr="00CC61F1">
        <w:trPr>
          <w:cantSplit/>
        </w:trPr>
        <w:tc>
          <w:tcPr>
            <w:tcW w:w="1555" w:type="dxa"/>
            <w:shd w:val="clear" w:color="auto" w:fill="FFFFFF" w:themeFill="background1"/>
            <w:noWrap/>
            <w:vAlign w:val="center"/>
            <w:hideMark/>
          </w:tcPr>
          <w:p w14:paraId="66B9742E" w14:textId="77777777" w:rsidR="00FF0F9B" w:rsidRPr="00EF1E43" w:rsidRDefault="00FF0F9B" w:rsidP="00374F41">
            <w:pPr>
              <w:jc w:val="center"/>
              <w:rPr>
                <w:sz w:val="24"/>
              </w:rPr>
            </w:pPr>
            <w:r w:rsidRPr="00EF1E43">
              <w:rPr>
                <w:sz w:val="24"/>
              </w:rPr>
              <w:t>71713</w:t>
            </w:r>
          </w:p>
        </w:tc>
        <w:tc>
          <w:tcPr>
            <w:tcW w:w="7371" w:type="dxa"/>
            <w:shd w:val="clear" w:color="auto" w:fill="FFFFFF" w:themeFill="background1"/>
            <w:vAlign w:val="center"/>
            <w:hideMark/>
          </w:tcPr>
          <w:p w14:paraId="73AAEDC9" w14:textId="77777777" w:rsidR="00FF0F9B" w:rsidRPr="00EF1E43" w:rsidRDefault="00FF0F9B" w:rsidP="00374F41">
            <w:pPr>
              <w:rPr>
                <w:sz w:val="24"/>
              </w:rPr>
            </w:pPr>
            <w:r w:rsidRPr="00EF1E43">
              <w:rPr>
                <w:sz w:val="24"/>
              </w:rPr>
              <w:t>Cosgrove L, Shi L, Creasey DE, et al (2011). Antidepressants and breast and ovarian cancer risk: a review of the literature and researchers' financial associations with industry. PLoS One, 6(4): e18210.</w:t>
            </w:r>
          </w:p>
        </w:tc>
      </w:tr>
      <w:tr w:rsidR="00EF1E43" w:rsidRPr="00EF1E43" w14:paraId="025F1009" w14:textId="77777777" w:rsidTr="00CC61F1">
        <w:trPr>
          <w:cantSplit/>
        </w:trPr>
        <w:tc>
          <w:tcPr>
            <w:tcW w:w="1555" w:type="dxa"/>
            <w:shd w:val="clear" w:color="auto" w:fill="FFFFFF" w:themeFill="background1"/>
            <w:noWrap/>
            <w:vAlign w:val="center"/>
          </w:tcPr>
          <w:p w14:paraId="35B7922E" w14:textId="77777777" w:rsidR="00FF0F9B" w:rsidRPr="00EF1E43" w:rsidRDefault="00FF0F9B" w:rsidP="00374F41">
            <w:pPr>
              <w:jc w:val="center"/>
              <w:rPr>
                <w:sz w:val="24"/>
              </w:rPr>
            </w:pPr>
            <w:r w:rsidRPr="00EF1E43">
              <w:rPr>
                <w:sz w:val="24"/>
              </w:rPr>
              <w:t>77289</w:t>
            </w:r>
          </w:p>
        </w:tc>
        <w:tc>
          <w:tcPr>
            <w:tcW w:w="7371" w:type="dxa"/>
            <w:shd w:val="clear" w:color="auto" w:fill="FFFFFF" w:themeFill="background1"/>
            <w:vAlign w:val="center"/>
          </w:tcPr>
          <w:p w14:paraId="5E6FCED8" w14:textId="77777777" w:rsidR="00FF0F9B" w:rsidRPr="00EF1E43" w:rsidRDefault="00FF0F9B" w:rsidP="00374F41">
            <w:pPr>
              <w:rPr>
                <w:sz w:val="24"/>
              </w:rPr>
            </w:pPr>
            <w:r w:rsidRPr="00EF1E43">
              <w:rPr>
                <w:sz w:val="24"/>
              </w:rPr>
              <w:t>Costantini AS, Gorini G, Consonni D, et al (2009). Exposure to benzene and risk of breast cancer among shoe factory workers in Italy. Tumori, 95(1): 8-12.</w:t>
            </w:r>
          </w:p>
        </w:tc>
      </w:tr>
      <w:tr w:rsidR="00EF1E43" w:rsidRPr="00EF1E43" w14:paraId="702E86CF" w14:textId="77777777" w:rsidTr="00CC61F1">
        <w:trPr>
          <w:cantSplit/>
        </w:trPr>
        <w:tc>
          <w:tcPr>
            <w:tcW w:w="1555" w:type="dxa"/>
            <w:shd w:val="clear" w:color="auto" w:fill="FFFFFF" w:themeFill="background1"/>
            <w:noWrap/>
            <w:vAlign w:val="center"/>
            <w:hideMark/>
          </w:tcPr>
          <w:p w14:paraId="13F6DB66" w14:textId="77777777" w:rsidR="00FF0F9B" w:rsidRPr="00EF1E43" w:rsidRDefault="00FF0F9B" w:rsidP="00374F41">
            <w:pPr>
              <w:jc w:val="center"/>
              <w:rPr>
                <w:sz w:val="24"/>
              </w:rPr>
            </w:pPr>
            <w:r w:rsidRPr="00EF1E43">
              <w:rPr>
                <w:sz w:val="24"/>
              </w:rPr>
              <w:t>35687</w:t>
            </w:r>
          </w:p>
        </w:tc>
        <w:tc>
          <w:tcPr>
            <w:tcW w:w="7371" w:type="dxa"/>
            <w:shd w:val="clear" w:color="auto" w:fill="FFFFFF" w:themeFill="background1"/>
            <w:vAlign w:val="center"/>
            <w:hideMark/>
          </w:tcPr>
          <w:p w14:paraId="004B9F65" w14:textId="77777777" w:rsidR="00FF0F9B" w:rsidRPr="00EF1E43" w:rsidRDefault="00FF0F9B" w:rsidP="00374F41">
            <w:pPr>
              <w:rPr>
                <w:sz w:val="24"/>
              </w:rPr>
            </w:pPr>
            <w:r w:rsidRPr="00EF1E43">
              <w:rPr>
                <w:sz w:val="24"/>
              </w:rPr>
              <w:t>Couch FJ, Cerhan JR, Vierkant RA, et al (2001). Cigarette smoking increases risk for breast cancer in high-risk breast cancer families. Cancer Epidemiol Biomarkers Prev, 10(4): 327-32.</w:t>
            </w:r>
          </w:p>
        </w:tc>
      </w:tr>
      <w:tr w:rsidR="00EF1E43" w:rsidRPr="00EF1E43" w14:paraId="0B52D6CE" w14:textId="77777777" w:rsidTr="00CC61F1">
        <w:trPr>
          <w:cantSplit/>
        </w:trPr>
        <w:tc>
          <w:tcPr>
            <w:tcW w:w="1555" w:type="dxa"/>
            <w:shd w:val="clear" w:color="auto" w:fill="FFFFFF" w:themeFill="background1"/>
            <w:noWrap/>
            <w:vAlign w:val="center"/>
            <w:hideMark/>
          </w:tcPr>
          <w:p w14:paraId="43F697FB" w14:textId="77777777" w:rsidR="00FF0F9B" w:rsidRPr="00EF1E43" w:rsidRDefault="00FF0F9B" w:rsidP="00374F41">
            <w:pPr>
              <w:jc w:val="center"/>
              <w:rPr>
                <w:sz w:val="24"/>
              </w:rPr>
            </w:pPr>
            <w:r w:rsidRPr="00EF1E43">
              <w:rPr>
                <w:sz w:val="24"/>
              </w:rPr>
              <w:t>38257</w:t>
            </w:r>
          </w:p>
        </w:tc>
        <w:tc>
          <w:tcPr>
            <w:tcW w:w="7371" w:type="dxa"/>
            <w:shd w:val="clear" w:color="auto" w:fill="FFFFFF" w:themeFill="background1"/>
            <w:vAlign w:val="center"/>
            <w:hideMark/>
          </w:tcPr>
          <w:p w14:paraId="663145E2" w14:textId="77777777" w:rsidR="00FF0F9B" w:rsidRPr="00EF1E43" w:rsidRDefault="00FF0F9B" w:rsidP="00374F41">
            <w:pPr>
              <w:rPr>
                <w:sz w:val="24"/>
              </w:rPr>
            </w:pPr>
            <w:r w:rsidRPr="00EF1E43">
              <w:rPr>
                <w:sz w:val="24"/>
              </w:rPr>
              <w:t>Couzin J (2006). Women's health. Study yields murky signals on low-fat diets and disease. Science, 311(5762): 755.</w:t>
            </w:r>
          </w:p>
        </w:tc>
      </w:tr>
      <w:tr w:rsidR="00EF1E43" w:rsidRPr="00EF1E43" w14:paraId="089065D3" w14:textId="77777777" w:rsidTr="00CC61F1">
        <w:trPr>
          <w:cantSplit/>
        </w:trPr>
        <w:tc>
          <w:tcPr>
            <w:tcW w:w="1555" w:type="dxa"/>
            <w:shd w:val="clear" w:color="auto" w:fill="FFFFFF" w:themeFill="background1"/>
            <w:noWrap/>
            <w:vAlign w:val="center"/>
            <w:hideMark/>
          </w:tcPr>
          <w:p w14:paraId="04075F4D" w14:textId="77777777" w:rsidR="00FF0F9B" w:rsidRPr="00EF1E43" w:rsidRDefault="00FF0F9B" w:rsidP="00374F41">
            <w:pPr>
              <w:jc w:val="center"/>
              <w:rPr>
                <w:sz w:val="24"/>
              </w:rPr>
            </w:pPr>
            <w:r w:rsidRPr="00EF1E43">
              <w:rPr>
                <w:sz w:val="24"/>
              </w:rPr>
              <w:t>10708</w:t>
            </w:r>
          </w:p>
        </w:tc>
        <w:tc>
          <w:tcPr>
            <w:tcW w:w="7371" w:type="dxa"/>
            <w:shd w:val="clear" w:color="auto" w:fill="FFFFFF" w:themeFill="background1"/>
            <w:vAlign w:val="center"/>
            <w:hideMark/>
          </w:tcPr>
          <w:p w14:paraId="29DFC4DF" w14:textId="77777777" w:rsidR="00FF0F9B" w:rsidRPr="00EF1E43" w:rsidRDefault="00FF0F9B" w:rsidP="00374F41">
            <w:pPr>
              <w:rPr>
                <w:sz w:val="24"/>
              </w:rPr>
            </w:pPr>
            <w:r w:rsidRPr="00EF1E43">
              <w:rPr>
                <w:sz w:val="24"/>
              </w:rPr>
              <w:t>Cramer DW, Braaten K (2018). Contemporary hormonal contraception and the risk of breast cancer. N Engl J Med, 378(13): 1264-8.</w:t>
            </w:r>
          </w:p>
        </w:tc>
      </w:tr>
      <w:tr w:rsidR="00EF1E43" w:rsidRPr="00EF1E43" w14:paraId="6D60545A" w14:textId="77777777" w:rsidTr="00CC61F1">
        <w:trPr>
          <w:cantSplit/>
        </w:trPr>
        <w:tc>
          <w:tcPr>
            <w:tcW w:w="1555" w:type="dxa"/>
            <w:shd w:val="clear" w:color="auto" w:fill="FFFFFF" w:themeFill="background1"/>
            <w:noWrap/>
            <w:vAlign w:val="center"/>
            <w:hideMark/>
          </w:tcPr>
          <w:p w14:paraId="269EF5B8" w14:textId="77777777" w:rsidR="00FF0F9B" w:rsidRPr="00EF1E43" w:rsidRDefault="00FF0F9B" w:rsidP="00374F41">
            <w:pPr>
              <w:jc w:val="center"/>
              <w:rPr>
                <w:sz w:val="24"/>
              </w:rPr>
            </w:pPr>
            <w:r w:rsidRPr="00EF1E43">
              <w:rPr>
                <w:sz w:val="24"/>
              </w:rPr>
              <w:t>4765</w:t>
            </w:r>
          </w:p>
        </w:tc>
        <w:tc>
          <w:tcPr>
            <w:tcW w:w="7371" w:type="dxa"/>
            <w:shd w:val="clear" w:color="auto" w:fill="FFFFFF" w:themeFill="background1"/>
            <w:vAlign w:val="center"/>
            <w:hideMark/>
          </w:tcPr>
          <w:p w14:paraId="3B4551CF" w14:textId="77777777" w:rsidR="00FF0F9B" w:rsidRPr="00EF1E43" w:rsidRDefault="00FF0F9B" w:rsidP="00374F41">
            <w:pPr>
              <w:rPr>
                <w:sz w:val="24"/>
              </w:rPr>
            </w:pPr>
            <w:r w:rsidRPr="00EF1E43">
              <w:rPr>
                <w:sz w:val="24"/>
              </w:rPr>
              <w:t>Crichlow RW (1972). Carcinoma of the male breast. Surg Gynecol Obstet, 134(6): 1011-9.</w:t>
            </w:r>
          </w:p>
        </w:tc>
      </w:tr>
      <w:tr w:rsidR="00EF1E43" w:rsidRPr="00EF1E43" w14:paraId="46CE2E2C" w14:textId="77777777" w:rsidTr="00CC61F1">
        <w:trPr>
          <w:cantSplit/>
        </w:trPr>
        <w:tc>
          <w:tcPr>
            <w:tcW w:w="1555" w:type="dxa"/>
            <w:shd w:val="clear" w:color="auto" w:fill="FFFFFF" w:themeFill="background1"/>
            <w:noWrap/>
            <w:vAlign w:val="center"/>
            <w:hideMark/>
          </w:tcPr>
          <w:p w14:paraId="2390FEF4" w14:textId="77777777" w:rsidR="00FF0F9B" w:rsidRPr="00EF1E43" w:rsidRDefault="00FF0F9B" w:rsidP="00374F41">
            <w:pPr>
              <w:jc w:val="center"/>
              <w:rPr>
                <w:sz w:val="24"/>
              </w:rPr>
            </w:pPr>
            <w:r w:rsidRPr="00EF1E43">
              <w:rPr>
                <w:sz w:val="24"/>
              </w:rPr>
              <w:t>4764</w:t>
            </w:r>
          </w:p>
        </w:tc>
        <w:tc>
          <w:tcPr>
            <w:tcW w:w="7371" w:type="dxa"/>
            <w:shd w:val="clear" w:color="auto" w:fill="FFFFFF" w:themeFill="background1"/>
            <w:vAlign w:val="center"/>
            <w:hideMark/>
          </w:tcPr>
          <w:p w14:paraId="0C918CAB" w14:textId="77777777" w:rsidR="00FF0F9B" w:rsidRPr="00EF1E43" w:rsidRDefault="00FF0F9B" w:rsidP="00374F41">
            <w:pPr>
              <w:rPr>
                <w:sz w:val="24"/>
              </w:rPr>
            </w:pPr>
            <w:r w:rsidRPr="00EF1E43">
              <w:rPr>
                <w:sz w:val="24"/>
              </w:rPr>
              <w:t>Crichlow RW, Galt SW (1990). Male breast cancer. Surg Clin North Am, 70(5): 1165-77.</w:t>
            </w:r>
          </w:p>
        </w:tc>
      </w:tr>
      <w:tr w:rsidR="00EF1E43" w:rsidRPr="00EF1E43" w14:paraId="75D4BDE2" w14:textId="77777777" w:rsidTr="00CC61F1">
        <w:trPr>
          <w:cantSplit/>
        </w:trPr>
        <w:tc>
          <w:tcPr>
            <w:tcW w:w="1555" w:type="dxa"/>
            <w:shd w:val="clear" w:color="auto" w:fill="FFFFFF" w:themeFill="background1"/>
            <w:noWrap/>
            <w:vAlign w:val="center"/>
            <w:hideMark/>
          </w:tcPr>
          <w:p w14:paraId="6ECE34B5" w14:textId="77777777" w:rsidR="00FF0F9B" w:rsidRPr="00EF1E43" w:rsidRDefault="00FF0F9B" w:rsidP="00374F41">
            <w:pPr>
              <w:jc w:val="center"/>
              <w:rPr>
                <w:sz w:val="24"/>
              </w:rPr>
            </w:pPr>
            <w:r w:rsidRPr="00EF1E43">
              <w:rPr>
                <w:sz w:val="24"/>
              </w:rPr>
              <w:t>4763</w:t>
            </w:r>
          </w:p>
        </w:tc>
        <w:tc>
          <w:tcPr>
            <w:tcW w:w="7371" w:type="dxa"/>
            <w:shd w:val="clear" w:color="auto" w:fill="FFFFFF" w:themeFill="background1"/>
            <w:vAlign w:val="center"/>
            <w:hideMark/>
          </w:tcPr>
          <w:p w14:paraId="77C90514" w14:textId="77777777" w:rsidR="00FF0F9B" w:rsidRPr="00EF1E43" w:rsidRDefault="00FF0F9B" w:rsidP="00374F41">
            <w:pPr>
              <w:rPr>
                <w:sz w:val="24"/>
              </w:rPr>
            </w:pPr>
            <w:r w:rsidRPr="00EF1E43">
              <w:rPr>
                <w:sz w:val="24"/>
              </w:rPr>
              <w:t>Crichlow RW, Kaplan EL, Kearney WH (1972). Male mammary cancer: an analysis of 32 cases. Ann Surg, 175(4): 489-94.</w:t>
            </w:r>
          </w:p>
        </w:tc>
      </w:tr>
      <w:tr w:rsidR="00EF1E43" w:rsidRPr="00EF1E43" w14:paraId="1576A57F" w14:textId="77777777" w:rsidTr="00CC61F1">
        <w:trPr>
          <w:cantSplit/>
        </w:trPr>
        <w:tc>
          <w:tcPr>
            <w:tcW w:w="1555" w:type="dxa"/>
            <w:shd w:val="clear" w:color="auto" w:fill="FFFFFF" w:themeFill="background1"/>
            <w:noWrap/>
            <w:vAlign w:val="center"/>
            <w:hideMark/>
          </w:tcPr>
          <w:p w14:paraId="7D857D69" w14:textId="77777777" w:rsidR="00FF0F9B" w:rsidRPr="00EF1E43" w:rsidRDefault="00FF0F9B" w:rsidP="00374F41">
            <w:pPr>
              <w:jc w:val="center"/>
              <w:rPr>
                <w:sz w:val="24"/>
              </w:rPr>
            </w:pPr>
            <w:r w:rsidRPr="00EF1E43">
              <w:rPr>
                <w:sz w:val="24"/>
              </w:rPr>
              <w:t>4730</w:t>
            </w:r>
          </w:p>
        </w:tc>
        <w:tc>
          <w:tcPr>
            <w:tcW w:w="7371" w:type="dxa"/>
            <w:shd w:val="clear" w:color="auto" w:fill="FFFFFF" w:themeFill="background1"/>
            <w:vAlign w:val="center"/>
            <w:hideMark/>
          </w:tcPr>
          <w:p w14:paraId="05291E28" w14:textId="77777777" w:rsidR="00FF0F9B" w:rsidRPr="00EF1E43" w:rsidRDefault="00FF0F9B" w:rsidP="00374F41">
            <w:pPr>
              <w:rPr>
                <w:sz w:val="24"/>
              </w:rPr>
            </w:pPr>
            <w:r w:rsidRPr="00EF1E43">
              <w:rPr>
                <w:sz w:val="24"/>
              </w:rPr>
              <w:t>Crocetti E, Buiatti E (1994). Male breast cancer: incidence, mortality and survival rates from an Italian population-based series. Eur J Cancer, 30A(11): 1732-3.</w:t>
            </w:r>
          </w:p>
        </w:tc>
      </w:tr>
      <w:tr w:rsidR="00EF1E43" w:rsidRPr="00EF1E43" w14:paraId="1B8E2824" w14:textId="77777777" w:rsidTr="00CC61F1">
        <w:trPr>
          <w:cantSplit/>
        </w:trPr>
        <w:tc>
          <w:tcPr>
            <w:tcW w:w="1555" w:type="dxa"/>
            <w:shd w:val="clear" w:color="auto" w:fill="FFFFFF" w:themeFill="background1"/>
            <w:noWrap/>
            <w:vAlign w:val="center"/>
            <w:hideMark/>
          </w:tcPr>
          <w:p w14:paraId="03B7BF20" w14:textId="77777777" w:rsidR="00FF0F9B" w:rsidRPr="00EF1E43" w:rsidRDefault="00FF0F9B" w:rsidP="00374F41">
            <w:pPr>
              <w:jc w:val="center"/>
              <w:rPr>
                <w:sz w:val="24"/>
              </w:rPr>
            </w:pPr>
            <w:r w:rsidRPr="00EF1E43">
              <w:rPr>
                <w:sz w:val="24"/>
              </w:rPr>
              <w:t>71623</w:t>
            </w:r>
          </w:p>
        </w:tc>
        <w:tc>
          <w:tcPr>
            <w:tcW w:w="7371" w:type="dxa"/>
            <w:shd w:val="clear" w:color="auto" w:fill="FFFFFF" w:themeFill="background1"/>
            <w:vAlign w:val="center"/>
            <w:hideMark/>
          </w:tcPr>
          <w:p w14:paraId="3B2BD4C4" w14:textId="77777777" w:rsidR="00FF0F9B" w:rsidRPr="00EF1E43" w:rsidRDefault="00FF0F9B" w:rsidP="00374F41">
            <w:pPr>
              <w:rPr>
                <w:sz w:val="24"/>
              </w:rPr>
            </w:pPr>
            <w:r w:rsidRPr="00EF1E43">
              <w:rPr>
                <w:sz w:val="24"/>
              </w:rPr>
              <w:t>Curado MP (2011). Breast cancer in the world: incidence and mortality. Salud Publica Mex, 53(5): 372-84.</w:t>
            </w:r>
          </w:p>
        </w:tc>
      </w:tr>
      <w:tr w:rsidR="00EF1E43" w:rsidRPr="00EF1E43" w14:paraId="3B8A9C3E" w14:textId="77777777" w:rsidTr="00CC61F1">
        <w:trPr>
          <w:cantSplit/>
        </w:trPr>
        <w:tc>
          <w:tcPr>
            <w:tcW w:w="1555" w:type="dxa"/>
            <w:shd w:val="clear" w:color="auto" w:fill="FFFFFF" w:themeFill="background1"/>
            <w:noWrap/>
            <w:vAlign w:val="center"/>
            <w:hideMark/>
          </w:tcPr>
          <w:p w14:paraId="37A6A4C0" w14:textId="77777777" w:rsidR="00FF0F9B" w:rsidRPr="00EF1E43" w:rsidRDefault="00FF0F9B" w:rsidP="00374F41">
            <w:pPr>
              <w:jc w:val="center"/>
              <w:rPr>
                <w:sz w:val="24"/>
              </w:rPr>
            </w:pPr>
            <w:r w:rsidRPr="00EF1E43">
              <w:rPr>
                <w:sz w:val="24"/>
              </w:rPr>
              <w:t>35645</w:t>
            </w:r>
          </w:p>
        </w:tc>
        <w:tc>
          <w:tcPr>
            <w:tcW w:w="7371" w:type="dxa"/>
            <w:shd w:val="clear" w:color="auto" w:fill="FFFFFF" w:themeFill="background1"/>
            <w:vAlign w:val="center"/>
            <w:hideMark/>
          </w:tcPr>
          <w:p w14:paraId="0F0B3205" w14:textId="77777777" w:rsidR="00FF0F9B" w:rsidRPr="00EF1E43" w:rsidRDefault="00FF0F9B" w:rsidP="00374F41">
            <w:pPr>
              <w:rPr>
                <w:sz w:val="24"/>
              </w:rPr>
            </w:pPr>
            <w:r w:rsidRPr="00EF1E43">
              <w:rPr>
                <w:sz w:val="24"/>
              </w:rPr>
              <w:t>Cykert S (2003). Tamoxifen for breast-cancer prevention. Lancet, 361(9352): 177; author reply 178.</w:t>
            </w:r>
          </w:p>
        </w:tc>
      </w:tr>
      <w:tr w:rsidR="00EF1E43" w:rsidRPr="00EF1E43" w14:paraId="4569833A" w14:textId="77777777" w:rsidTr="00CC61F1">
        <w:trPr>
          <w:cantSplit/>
        </w:trPr>
        <w:tc>
          <w:tcPr>
            <w:tcW w:w="1555" w:type="dxa"/>
            <w:shd w:val="clear" w:color="auto" w:fill="FFFFFF" w:themeFill="background1"/>
            <w:noWrap/>
            <w:vAlign w:val="center"/>
            <w:hideMark/>
          </w:tcPr>
          <w:p w14:paraId="4F98D9BA" w14:textId="77777777" w:rsidR="00FF0F9B" w:rsidRPr="00EF1E43" w:rsidRDefault="00FF0F9B" w:rsidP="00374F41">
            <w:pPr>
              <w:jc w:val="center"/>
              <w:rPr>
                <w:sz w:val="24"/>
              </w:rPr>
            </w:pPr>
            <w:r w:rsidRPr="00EF1E43">
              <w:rPr>
                <w:sz w:val="24"/>
              </w:rPr>
              <w:t>9209</w:t>
            </w:r>
          </w:p>
        </w:tc>
        <w:tc>
          <w:tcPr>
            <w:tcW w:w="7371" w:type="dxa"/>
            <w:shd w:val="clear" w:color="auto" w:fill="FFFFFF" w:themeFill="background1"/>
            <w:vAlign w:val="center"/>
            <w:hideMark/>
          </w:tcPr>
          <w:p w14:paraId="35E5A14B" w14:textId="77777777" w:rsidR="00FF0F9B" w:rsidRPr="00EF1E43" w:rsidRDefault="00FF0F9B" w:rsidP="00374F41">
            <w:pPr>
              <w:rPr>
                <w:sz w:val="24"/>
              </w:rPr>
            </w:pPr>
            <w:r w:rsidRPr="00EF1E43">
              <w:rPr>
                <w:sz w:val="24"/>
              </w:rPr>
              <w:t>Daling JR, Brinton LA, Voigt LF, et al (1996). Risk of breast cancer among white women following induced abortion. Am J Epidemiol, 144(4): 373-80.</w:t>
            </w:r>
          </w:p>
        </w:tc>
      </w:tr>
      <w:tr w:rsidR="00EF1E43" w:rsidRPr="00EF1E43" w14:paraId="5CFDD268" w14:textId="77777777" w:rsidTr="00CC61F1">
        <w:trPr>
          <w:cantSplit/>
        </w:trPr>
        <w:tc>
          <w:tcPr>
            <w:tcW w:w="1555" w:type="dxa"/>
            <w:shd w:val="clear" w:color="auto" w:fill="FFFFFF" w:themeFill="background1"/>
            <w:noWrap/>
            <w:vAlign w:val="center"/>
            <w:hideMark/>
          </w:tcPr>
          <w:p w14:paraId="7BDC1EC2" w14:textId="77777777" w:rsidR="00FF0F9B" w:rsidRPr="00EF1E43" w:rsidRDefault="00FF0F9B" w:rsidP="00374F41">
            <w:pPr>
              <w:jc w:val="center"/>
              <w:rPr>
                <w:sz w:val="24"/>
              </w:rPr>
            </w:pPr>
            <w:r w:rsidRPr="00EF1E43">
              <w:rPr>
                <w:sz w:val="24"/>
              </w:rPr>
              <w:t>71063</w:t>
            </w:r>
          </w:p>
        </w:tc>
        <w:tc>
          <w:tcPr>
            <w:tcW w:w="7371" w:type="dxa"/>
            <w:shd w:val="clear" w:color="auto" w:fill="FFFFFF" w:themeFill="background1"/>
            <w:vAlign w:val="center"/>
            <w:hideMark/>
          </w:tcPr>
          <w:p w14:paraId="4694FEBF" w14:textId="77777777" w:rsidR="00FF0F9B" w:rsidRPr="00EF1E43" w:rsidRDefault="00FF0F9B" w:rsidP="00374F41">
            <w:pPr>
              <w:rPr>
                <w:sz w:val="24"/>
              </w:rPr>
            </w:pPr>
            <w:r w:rsidRPr="00EF1E43">
              <w:rPr>
                <w:sz w:val="24"/>
              </w:rPr>
              <w:t>Daniels RD, Kubale TL, Yiin JH, et al (2013). Mortality and cancer incidence in a pooled cohort of US firefighters from San Francisco, Chicago and Philadelphia (1950-2009). Occup Environ Med, 71(6): 388-97.</w:t>
            </w:r>
          </w:p>
        </w:tc>
      </w:tr>
      <w:tr w:rsidR="00EF1E43" w:rsidRPr="00EF1E43" w14:paraId="05A57BA5" w14:textId="77777777" w:rsidTr="00CC61F1">
        <w:trPr>
          <w:cantSplit/>
        </w:trPr>
        <w:tc>
          <w:tcPr>
            <w:tcW w:w="1555" w:type="dxa"/>
            <w:shd w:val="clear" w:color="auto" w:fill="FFFFFF" w:themeFill="background1"/>
            <w:noWrap/>
            <w:vAlign w:val="center"/>
            <w:hideMark/>
          </w:tcPr>
          <w:p w14:paraId="107DC4A3" w14:textId="77777777" w:rsidR="00FF0F9B" w:rsidRPr="00EF1E43" w:rsidRDefault="00FF0F9B" w:rsidP="00374F41">
            <w:pPr>
              <w:jc w:val="center"/>
              <w:rPr>
                <w:sz w:val="24"/>
              </w:rPr>
            </w:pPr>
            <w:r w:rsidRPr="00EF1E43">
              <w:rPr>
                <w:sz w:val="24"/>
              </w:rPr>
              <w:t>36986</w:t>
            </w:r>
          </w:p>
        </w:tc>
        <w:tc>
          <w:tcPr>
            <w:tcW w:w="7371" w:type="dxa"/>
            <w:shd w:val="clear" w:color="auto" w:fill="FFFFFF" w:themeFill="background1"/>
            <w:vAlign w:val="center"/>
            <w:hideMark/>
          </w:tcPr>
          <w:p w14:paraId="43ED676C" w14:textId="77777777" w:rsidR="00FF0F9B" w:rsidRPr="00EF1E43" w:rsidRDefault="00FF0F9B" w:rsidP="00374F41">
            <w:pPr>
              <w:rPr>
                <w:sz w:val="24"/>
              </w:rPr>
            </w:pPr>
            <w:r w:rsidRPr="00EF1E43">
              <w:rPr>
                <w:sz w:val="24"/>
              </w:rPr>
              <w:t>D'Avanzo B, Nanni O, La Vecchia C, et al (1996). Physical activity and breast cancer risk. Cancer Epidemiol Biomarkers Prev, 5(3): 155-60.</w:t>
            </w:r>
          </w:p>
        </w:tc>
      </w:tr>
      <w:tr w:rsidR="00EF1E43" w:rsidRPr="00EF1E43" w14:paraId="11DBFC74" w14:textId="77777777" w:rsidTr="00CC61F1">
        <w:trPr>
          <w:cantSplit/>
        </w:trPr>
        <w:tc>
          <w:tcPr>
            <w:tcW w:w="1555" w:type="dxa"/>
            <w:shd w:val="clear" w:color="auto" w:fill="FFFFFF" w:themeFill="background1"/>
            <w:noWrap/>
            <w:vAlign w:val="center"/>
            <w:hideMark/>
          </w:tcPr>
          <w:p w14:paraId="38852183" w14:textId="77777777" w:rsidR="00FF0F9B" w:rsidRPr="00EF1E43" w:rsidRDefault="00FF0F9B" w:rsidP="00374F41">
            <w:pPr>
              <w:jc w:val="center"/>
              <w:rPr>
                <w:sz w:val="24"/>
              </w:rPr>
            </w:pPr>
            <w:r w:rsidRPr="00EF1E43">
              <w:rPr>
                <w:sz w:val="24"/>
              </w:rPr>
              <w:t>71624</w:t>
            </w:r>
          </w:p>
        </w:tc>
        <w:tc>
          <w:tcPr>
            <w:tcW w:w="7371" w:type="dxa"/>
            <w:shd w:val="clear" w:color="auto" w:fill="FFFFFF" w:themeFill="background1"/>
            <w:vAlign w:val="center"/>
            <w:hideMark/>
          </w:tcPr>
          <w:p w14:paraId="66637DBF" w14:textId="77777777" w:rsidR="00FF0F9B" w:rsidRPr="00EF1E43" w:rsidRDefault="00FF0F9B" w:rsidP="00374F41">
            <w:pPr>
              <w:rPr>
                <w:sz w:val="24"/>
              </w:rPr>
            </w:pPr>
            <w:r w:rsidRPr="00EF1E43">
              <w:rPr>
                <w:sz w:val="24"/>
              </w:rPr>
              <w:t>De Bruijn KM, Arends LR, Hansen BE, et al (2013). Systematic review and meta-analysis of the association between diabetes mellitus and incidence and mortality in breast and colorectal cancer. Br J Surg, 100(11): 1421-9.</w:t>
            </w:r>
          </w:p>
        </w:tc>
      </w:tr>
      <w:tr w:rsidR="00EF1E43" w:rsidRPr="00EF1E43" w14:paraId="28599DB4" w14:textId="77777777" w:rsidTr="00CC61F1">
        <w:trPr>
          <w:cantSplit/>
        </w:trPr>
        <w:tc>
          <w:tcPr>
            <w:tcW w:w="1555" w:type="dxa"/>
            <w:shd w:val="clear" w:color="auto" w:fill="FFFFFF" w:themeFill="background1"/>
            <w:noWrap/>
            <w:vAlign w:val="center"/>
            <w:hideMark/>
          </w:tcPr>
          <w:p w14:paraId="3F70AF7A" w14:textId="77777777" w:rsidR="00FF0F9B" w:rsidRPr="00EF1E43" w:rsidRDefault="00FF0F9B" w:rsidP="00374F41">
            <w:pPr>
              <w:jc w:val="center"/>
              <w:rPr>
                <w:sz w:val="24"/>
              </w:rPr>
            </w:pPr>
            <w:r w:rsidRPr="00EF1E43">
              <w:rPr>
                <w:sz w:val="24"/>
              </w:rPr>
              <w:lastRenderedPageBreak/>
              <w:t>47609</w:t>
            </w:r>
          </w:p>
        </w:tc>
        <w:tc>
          <w:tcPr>
            <w:tcW w:w="7371" w:type="dxa"/>
            <w:shd w:val="clear" w:color="auto" w:fill="FFFFFF" w:themeFill="background1"/>
            <w:vAlign w:val="center"/>
            <w:hideMark/>
          </w:tcPr>
          <w:p w14:paraId="6108C425" w14:textId="77777777" w:rsidR="00FF0F9B" w:rsidRPr="00EF1E43" w:rsidRDefault="00FF0F9B" w:rsidP="00374F41">
            <w:pPr>
              <w:rPr>
                <w:sz w:val="24"/>
              </w:rPr>
            </w:pPr>
            <w:r w:rsidRPr="00EF1E43">
              <w:rPr>
                <w:sz w:val="24"/>
              </w:rPr>
              <w:t>De Roos AJ, Hartge P, Lubin JH, et al (2005). Persistent organochlorine chemicals in plasma and risk of non-Hodgkin's lymphoma. Cancer Res, 65(23): 11214-26.</w:t>
            </w:r>
          </w:p>
        </w:tc>
      </w:tr>
      <w:tr w:rsidR="00EF1E43" w:rsidRPr="00EF1E43" w14:paraId="189BF5F9" w14:textId="77777777" w:rsidTr="00CC61F1">
        <w:trPr>
          <w:cantSplit/>
        </w:trPr>
        <w:tc>
          <w:tcPr>
            <w:tcW w:w="1555" w:type="dxa"/>
            <w:shd w:val="clear" w:color="auto" w:fill="FFFFFF" w:themeFill="background1"/>
            <w:noWrap/>
            <w:vAlign w:val="center"/>
            <w:hideMark/>
          </w:tcPr>
          <w:p w14:paraId="1103C933" w14:textId="77777777" w:rsidR="00FF0F9B" w:rsidRPr="00EF1E43" w:rsidRDefault="00FF0F9B" w:rsidP="00374F41">
            <w:pPr>
              <w:jc w:val="center"/>
              <w:rPr>
                <w:sz w:val="24"/>
              </w:rPr>
            </w:pPr>
            <w:r w:rsidRPr="00EF1E43">
              <w:rPr>
                <w:sz w:val="24"/>
              </w:rPr>
              <w:t>87302</w:t>
            </w:r>
          </w:p>
        </w:tc>
        <w:tc>
          <w:tcPr>
            <w:tcW w:w="7371" w:type="dxa"/>
            <w:shd w:val="clear" w:color="auto" w:fill="FFFFFF" w:themeFill="background1"/>
            <w:vAlign w:val="center"/>
            <w:hideMark/>
          </w:tcPr>
          <w:p w14:paraId="594A75F4" w14:textId="77777777" w:rsidR="00FF0F9B" w:rsidRPr="00EF1E43" w:rsidRDefault="00FF0F9B" w:rsidP="00374F41">
            <w:pPr>
              <w:rPr>
                <w:sz w:val="24"/>
              </w:rPr>
            </w:pPr>
            <w:r w:rsidRPr="00EF1E43">
              <w:rPr>
                <w:sz w:val="24"/>
              </w:rPr>
              <w:t>De Silva M, Senarath U, Gunatilake M, et al (2010). Prolonged breastfeeding reduces risk of breast cancer in Sri Lankan women: a case-control study. Cancer Epidemiol, 34(3): 267-73.</w:t>
            </w:r>
          </w:p>
        </w:tc>
      </w:tr>
      <w:tr w:rsidR="00EF1E43" w:rsidRPr="00EF1E43" w14:paraId="494DC964" w14:textId="77777777" w:rsidTr="00CC61F1">
        <w:trPr>
          <w:cantSplit/>
        </w:trPr>
        <w:tc>
          <w:tcPr>
            <w:tcW w:w="1555" w:type="dxa"/>
            <w:shd w:val="clear" w:color="auto" w:fill="FFFFFF" w:themeFill="background1"/>
            <w:noWrap/>
            <w:vAlign w:val="center"/>
            <w:hideMark/>
          </w:tcPr>
          <w:p w14:paraId="32380D40" w14:textId="77777777" w:rsidR="00FF0F9B" w:rsidRPr="00EF1E43" w:rsidRDefault="00FF0F9B" w:rsidP="00374F41">
            <w:pPr>
              <w:jc w:val="center"/>
              <w:rPr>
                <w:sz w:val="24"/>
              </w:rPr>
            </w:pPr>
            <w:r w:rsidRPr="00EF1E43">
              <w:rPr>
                <w:sz w:val="24"/>
              </w:rPr>
              <w:t>4688</w:t>
            </w:r>
          </w:p>
        </w:tc>
        <w:tc>
          <w:tcPr>
            <w:tcW w:w="7371" w:type="dxa"/>
            <w:shd w:val="clear" w:color="auto" w:fill="FFFFFF" w:themeFill="background1"/>
            <w:vAlign w:val="center"/>
            <w:hideMark/>
          </w:tcPr>
          <w:p w14:paraId="2B612824" w14:textId="77777777" w:rsidR="00FF0F9B" w:rsidRPr="00EF1E43" w:rsidRDefault="00FF0F9B" w:rsidP="00374F41">
            <w:pPr>
              <w:rPr>
                <w:sz w:val="24"/>
              </w:rPr>
            </w:pPr>
            <w:r w:rsidRPr="00EF1E43">
              <w:rPr>
                <w:sz w:val="24"/>
              </w:rPr>
              <w:t>De Stavola BL, Wang DY, Allen DS, et al (1993). The association of height, weight, menstrual and reproductive events with breast cancer: results from two prospective studies on the island of Guernsey (United Kingdom). Cancer Causes Control, 4(4): 331-40.</w:t>
            </w:r>
          </w:p>
        </w:tc>
      </w:tr>
      <w:tr w:rsidR="00EF1E43" w:rsidRPr="00EF1E43" w14:paraId="6CA10CE1" w14:textId="77777777" w:rsidTr="00CC61F1">
        <w:trPr>
          <w:cantSplit/>
        </w:trPr>
        <w:tc>
          <w:tcPr>
            <w:tcW w:w="1555" w:type="dxa"/>
            <w:shd w:val="clear" w:color="auto" w:fill="FFFFFF" w:themeFill="background1"/>
            <w:noWrap/>
            <w:vAlign w:val="center"/>
            <w:hideMark/>
          </w:tcPr>
          <w:p w14:paraId="4833D2C6" w14:textId="77777777" w:rsidR="00FF0F9B" w:rsidRPr="00EF1E43" w:rsidRDefault="00FF0F9B" w:rsidP="00374F41">
            <w:pPr>
              <w:jc w:val="center"/>
              <w:rPr>
                <w:sz w:val="24"/>
              </w:rPr>
            </w:pPr>
            <w:r w:rsidRPr="00EF1E43">
              <w:rPr>
                <w:sz w:val="24"/>
              </w:rPr>
              <w:t>71625</w:t>
            </w:r>
          </w:p>
        </w:tc>
        <w:tc>
          <w:tcPr>
            <w:tcW w:w="7371" w:type="dxa"/>
            <w:shd w:val="clear" w:color="auto" w:fill="FFFFFF" w:themeFill="background1"/>
            <w:vAlign w:val="center"/>
            <w:hideMark/>
          </w:tcPr>
          <w:p w14:paraId="0729E0C8" w14:textId="77777777" w:rsidR="00FF0F9B" w:rsidRPr="00EF1E43" w:rsidRDefault="00FF0F9B" w:rsidP="00374F41">
            <w:pPr>
              <w:rPr>
                <w:sz w:val="24"/>
              </w:rPr>
            </w:pPr>
            <w:r w:rsidRPr="00EF1E43">
              <w:rPr>
                <w:sz w:val="24"/>
              </w:rPr>
              <w:t>Deapen D (2007). Breast implants and breast cancer: a review of incidence, detection, mortality, and survival. Plast Reconstr Surg, 120(7 Suppl 1): 70S-80S.</w:t>
            </w:r>
          </w:p>
        </w:tc>
      </w:tr>
      <w:tr w:rsidR="00EF1E43" w:rsidRPr="00EF1E43" w14:paraId="7FCE2A5D" w14:textId="77777777" w:rsidTr="00CC61F1">
        <w:trPr>
          <w:cantSplit/>
        </w:trPr>
        <w:tc>
          <w:tcPr>
            <w:tcW w:w="1555" w:type="dxa"/>
            <w:shd w:val="clear" w:color="auto" w:fill="FFFFFF" w:themeFill="background1"/>
            <w:noWrap/>
            <w:vAlign w:val="center"/>
            <w:hideMark/>
          </w:tcPr>
          <w:p w14:paraId="797804BA" w14:textId="77777777" w:rsidR="00FF0F9B" w:rsidRPr="00EF1E43" w:rsidRDefault="00FF0F9B" w:rsidP="00374F41">
            <w:pPr>
              <w:jc w:val="center"/>
              <w:rPr>
                <w:sz w:val="24"/>
              </w:rPr>
            </w:pPr>
            <w:r w:rsidRPr="00EF1E43">
              <w:rPr>
                <w:sz w:val="24"/>
              </w:rPr>
              <w:t>80738</w:t>
            </w:r>
          </w:p>
        </w:tc>
        <w:tc>
          <w:tcPr>
            <w:tcW w:w="7371" w:type="dxa"/>
            <w:shd w:val="clear" w:color="auto" w:fill="FFFFFF" w:themeFill="background1"/>
            <w:vAlign w:val="center"/>
            <w:hideMark/>
          </w:tcPr>
          <w:p w14:paraId="0C5A507B" w14:textId="77777777" w:rsidR="00FF0F9B" w:rsidRPr="00EF1E43" w:rsidRDefault="00FF0F9B" w:rsidP="00374F41">
            <w:pPr>
              <w:rPr>
                <w:sz w:val="24"/>
              </w:rPr>
            </w:pPr>
            <w:r w:rsidRPr="00EF1E43">
              <w:rPr>
                <w:sz w:val="24"/>
              </w:rPr>
              <w:t>Decision Support Unit (DSU) (2006). Atomic radiation. SOP Bulletin 106.</w:t>
            </w:r>
          </w:p>
        </w:tc>
      </w:tr>
      <w:tr w:rsidR="00EF1E43" w:rsidRPr="00EF1E43" w14:paraId="5934690E" w14:textId="77777777" w:rsidTr="00CC61F1">
        <w:trPr>
          <w:cantSplit/>
        </w:trPr>
        <w:tc>
          <w:tcPr>
            <w:tcW w:w="1555" w:type="dxa"/>
            <w:shd w:val="clear" w:color="auto" w:fill="FFFFFF" w:themeFill="background1"/>
            <w:noWrap/>
            <w:vAlign w:val="center"/>
            <w:hideMark/>
          </w:tcPr>
          <w:p w14:paraId="233C2E05" w14:textId="77777777" w:rsidR="00FF0F9B" w:rsidRPr="00EF1E43" w:rsidRDefault="00FF0F9B" w:rsidP="00374F41">
            <w:pPr>
              <w:jc w:val="center"/>
              <w:rPr>
                <w:sz w:val="24"/>
              </w:rPr>
            </w:pPr>
            <w:r w:rsidRPr="00EF1E43">
              <w:rPr>
                <w:sz w:val="24"/>
              </w:rPr>
              <w:t>80739</w:t>
            </w:r>
          </w:p>
        </w:tc>
        <w:tc>
          <w:tcPr>
            <w:tcW w:w="7371" w:type="dxa"/>
            <w:shd w:val="clear" w:color="auto" w:fill="FFFFFF" w:themeFill="background1"/>
            <w:vAlign w:val="center"/>
            <w:hideMark/>
          </w:tcPr>
          <w:p w14:paraId="56BE2F96" w14:textId="77777777" w:rsidR="00FF0F9B" w:rsidRPr="00EF1E43" w:rsidRDefault="00FF0F9B" w:rsidP="00374F41">
            <w:pPr>
              <w:rPr>
                <w:sz w:val="24"/>
              </w:rPr>
            </w:pPr>
            <w:r w:rsidRPr="00EF1E43">
              <w:rPr>
                <w:sz w:val="24"/>
              </w:rPr>
              <w:t>Decision Support Unit (DSU) (2010). Atomic radiation - update. SOP Bulletin 145.</w:t>
            </w:r>
          </w:p>
        </w:tc>
      </w:tr>
      <w:tr w:rsidR="00EF1E43" w:rsidRPr="00EF1E43" w14:paraId="77D7DCEC" w14:textId="77777777" w:rsidTr="00CC61F1">
        <w:trPr>
          <w:cantSplit/>
        </w:trPr>
        <w:tc>
          <w:tcPr>
            <w:tcW w:w="1555" w:type="dxa"/>
            <w:shd w:val="clear" w:color="auto" w:fill="FFFFFF" w:themeFill="background1"/>
            <w:noWrap/>
            <w:vAlign w:val="center"/>
            <w:hideMark/>
          </w:tcPr>
          <w:p w14:paraId="4AAF1693" w14:textId="77777777" w:rsidR="00FF0F9B" w:rsidRPr="00EF1E43" w:rsidRDefault="00FF0F9B" w:rsidP="00374F41">
            <w:pPr>
              <w:jc w:val="center"/>
              <w:rPr>
                <w:sz w:val="24"/>
              </w:rPr>
            </w:pPr>
            <w:r w:rsidRPr="00EF1E43">
              <w:rPr>
                <w:sz w:val="24"/>
              </w:rPr>
              <w:t>10736</w:t>
            </w:r>
          </w:p>
        </w:tc>
        <w:tc>
          <w:tcPr>
            <w:tcW w:w="7371" w:type="dxa"/>
            <w:shd w:val="clear" w:color="auto" w:fill="FFFFFF" w:themeFill="background1"/>
            <w:vAlign w:val="center"/>
            <w:hideMark/>
          </w:tcPr>
          <w:p w14:paraId="3A01F319" w14:textId="77777777" w:rsidR="00FF0F9B" w:rsidRPr="00EF1E43" w:rsidRDefault="00FF0F9B" w:rsidP="00374F41">
            <w:pPr>
              <w:rPr>
                <w:sz w:val="24"/>
              </w:rPr>
            </w:pPr>
            <w:r w:rsidRPr="00EF1E43">
              <w:rPr>
                <w:sz w:val="24"/>
              </w:rPr>
              <w:t>Dees C, Garrett S, Henley D, et al (1996). Effects of 60-Hz fields, estradiol and xenoestrogens on human breast cancer cells. Radiat Res, 146(4): 444-52.</w:t>
            </w:r>
          </w:p>
        </w:tc>
      </w:tr>
      <w:tr w:rsidR="00EF1E43" w:rsidRPr="00EF1E43" w14:paraId="6FF232D6" w14:textId="77777777" w:rsidTr="00CC61F1">
        <w:trPr>
          <w:cantSplit/>
        </w:trPr>
        <w:tc>
          <w:tcPr>
            <w:tcW w:w="1555" w:type="dxa"/>
            <w:shd w:val="clear" w:color="auto" w:fill="FFFFFF" w:themeFill="background1"/>
            <w:noWrap/>
            <w:vAlign w:val="center"/>
            <w:hideMark/>
          </w:tcPr>
          <w:p w14:paraId="2F433795" w14:textId="77777777" w:rsidR="00FF0F9B" w:rsidRPr="00EF1E43" w:rsidRDefault="00FF0F9B" w:rsidP="00374F41">
            <w:pPr>
              <w:jc w:val="center"/>
              <w:rPr>
                <w:sz w:val="24"/>
              </w:rPr>
            </w:pPr>
            <w:r w:rsidRPr="00EF1E43">
              <w:rPr>
                <w:sz w:val="24"/>
              </w:rPr>
              <w:t>80743</w:t>
            </w:r>
          </w:p>
        </w:tc>
        <w:tc>
          <w:tcPr>
            <w:tcW w:w="7371" w:type="dxa"/>
            <w:shd w:val="clear" w:color="auto" w:fill="FFFFFF" w:themeFill="background1"/>
            <w:vAlign w:val="center"/>
            <w:hideMark/>
          </w:tcPr>
          <w:p w14:paraId="40B80DB2" w14:textId="77777777" w:rsidR="00FF0F9B" w:rsidRPr="00EF1E43" w:rsidRDefault="00FF0F9B" w:rsidP="00374F41">
            <w:pPr>
              <w:rPr>
                <w:sz w:val="24"/>
              </w:rPr>
            </w:pPr>
            <w:r w:rsidRPr="00EF1E43">
              <w:rPr>
                <w:sz w:val="24"/>
              </w:rPr>
              <w:t>Defence Threat Reduction Agency (2010). Standard Method: ID01 - Doses to Organs From Intake of Radioactive Materials. DTRA/NTPR - Standard Operating Procedures Manual, Revision 1.3a.</w:t>
            </w:r>
          </w:p>
        </w:tc>
      </w:tr>
      <w:tr w:rsidR="00EF1E43" w:rsidRPr="00EF1E43" w14:paraId="7D7A2EB8" w14:textId="77777777" w:rsidTr="00CC61F1">
        <w:trPr>
          <w:cantSplit/>
        </w:trPr>
        <w:tc>
          <w:tcPr>
            <w:tcW w:w="1555" w:type="dxa"/>
            <w:shd w:val="clear" w:color="auto" w:fill="FFFFFF" w:themeFill="background1"/>
            <w:noWrap/>
            <w:vAlign w:val="center"/>
            <w:hideMark/>
          </w:tcPr>
          <w:p w14:paraId="39953F64" w14:textId="77777777" w:rsidR="00FF0F9B" w:rsidRPr="00EF1E43" w:rsidRDefault="00FF0F9B" w:rsidP="00374F41">
            <w:pPr>
              <w:jc w:val="center"/>
              <w:rPr>
                <w:sz w:val="24"/>
              </w:rPr>
            </w:pPr>
            <w:r w:rsidRPr="00EF1E43">
              <w:rPr>
                <w:sz w:val="24"/>
              </w:rPr>
              <w:t>72914</w:t>
            </w:r>
          </w:p>
        </w:tc>
        <w:tc>
          <w:tcPr>
            <w:tcW w:w="7371" w:type="dxa"/>
            <w:shd w:val="clear" w:color="auto" w:fill="FFFFFF" w:themeFill="background1"/>
            <w:vAlign w:val="center"/>
            <w:hideMark/>
          </w:tcPr>
          <w:p w14:paraId="2DADBEB7" w14:textId="77777777" w:rsidR="00FF0F9B" w:rsidRPr="00EF1E43" w:rsidRDefault="00FF0F9B" w:rsidP="00374F41">
            <w:pPr>
              <w:rPr>
                <w:sz w:val="24"/>
              </w:rPr>
            </w:pPr>
            <w:r w:rsidRPr="00EF1E43">
              <w:rPr>
                <w:sz w:val="24"/>
              </w:rPr>
              <w:t>Department of Health (2013). BreastScreen Australia national policy. Retrieved 8 September 2014, from http://www.cancerscreening.gov.au/internet/screening/publishing.nsf/Content/national-policy</w:t>
            </w:r>
          </w:p>
        </w:tc>
      </w:tr>
      <w:tr w:rsidR="00EF1E43" w:rsidRPr="00EF1E43" w14:paraId="7E09E8FA" w14:textId="77777777" w:rsidTr="00CC61F1">
        <w:trPr>
          <w:cantSplit/>
        </w:trPr>
        <w:tc>
          <w:tcPr>
            <w:tcW w:w="1555" w:type="dxa"/>
            <w:shd w:val="clear" w:color="auto" w:fill="FFFFFF" w:themeFill="background1"/>
            <w:noWrap/>
            <w:vAlign w:val="center"/>
            <w:hideMark/>
          </w:tcPr>
          <w:p w14:paraId="535F4A8B" w14:textId="77777777" w:rsidR="00FF0F9B" w:rsidRPr="00EF1E43" w:rsidRDefault="00FF0F9B" w:rsidP="00374F41">
            <w:pPr>
              <w:jc w:val="center"/>
              <w:rPr>
                <w:sz w:val="24"/>
              </w:rPr>
            </w:pPr>
            <w:r w:rsidRPr="00EF1E43">
              <w:rPr>
                <w:sz w:val="24"/>
              </w:rPr>
              <w:t>71626</w:t>
            </w:r>
          </w:p>
        </w:tc>
        <w:tc>
          <w:tcPr>
            <w:tcW w:w="7371" w:type="dxa"/>
            <w:shd w:val="clear" w:color="auto" w:fill="FFFFFF" w:themeFill="background1"/>
            <w:vAlign w:val="center"/>
            <w:hideMark/>
          </w:tcPr>
          <w:p w14:paraId="09BBA086" w14:textId="77777777" w:rsidR="00FF0F9B" w:rsidRPr="00EF1E43" w:rsidRDefault="00FF0F9B" w:rsidP="00374F41">
            <w:pPr>
              <w:rPr>
                <w:sz w:val="24"/>
              </w:rPr>
            </w:pPr>
            <w:r w:rsidRPr="00EF1E43">
              <w:rPr>
                <w:sz w:val="24"/>
              </w:rPr>
              <w:t>DeRoo LA, Cummings P, Mueller BA (2011). Smoking before the first pregnancy and the risk of breast cancer: a meta-analysis. Am J Epidemiol, 174(4): 390-402.</w:t>
            </w:r>
          </w:p>
        </w:tc>
      </w:tr>
      <w:tr w:rsidR="00EF1E43" w:rsidRPr="00EF1E43" w14:paraId="6700567B" w14:textId="77777777" w:rsidTr="00CC61F1">
        <w:trPr>
          <w:cantSplit/>
        </w:trPr>
        <w:tc>
          <w:tcPr>
            <w:tcW w:w="1555" w:type="dxa"/>
            <w:shd w:val="clear" w:color="auto" w:fill="FFFFFF" w:themeFill="background1"/>
            <w:noWrap/>
            <w:vAlign w:val="center"/>
            <w:hideMark/>
          </w:tcPr>
          <w:p w14:paraId="5D3BB6C7" w14:textId="77777777" w:rsidR="00FF0F9B" w:rsidRPr="00EF1E43" w:rsidRDefault="00FF0F9B" w:rsidP="00374F41">
            <w:pPr>
              <w:jc w:val="center"/>
              <w:rPr>
                <w:sz w:val="24"/>
              </w:rPr>
            </w:pPr>
            <w:r w:rsidRPr="00EF1E43">
              <w:rPr>
                <w:sz w:val="24"/>
              </w:rPr>
              <w:t>4729</w:t>
            </w:r>
          </w:p>
        </w:tc>
        <w:tc>
          <w:tcPr>
            <w:tcW w:w="7371" w:type="dxa"/>
            <w:shd w:val="clear" w:color="auto" w:fill="FFFFFF" w:themeFill="background1"/>
            <w:vAlign w:val="center"/>
            <w:hideMark/>
          </w:tcPr>
          <w:p w14:paraId="56DFE927" w14:textId="77777777" w:rsidR="00FF0F9B" w:rsidRPr="00EF1E43" w:rsidRDefault="00FF0F9B" w:rsidP="00374F41">
            <w:pPr>
              <w:rPr>
                <w:sz w:val="24"/>
              </w:rPr>
            </w:pPr>
            <w:r w:rsidRPr="00EF1E43">
              <w:rPr>
                <w:sz w:val="24"/>
              </w:rPr>
              <w:t>Dewailly E, Ayotte P, Brisson J (1994). Protective effect of breast feeding on breast cancer and body burden of carcinogenic organochlorines. J Natl Cancer Inst, 86(10): 803.</w:t>
            </w:r>
          </w:p>
        </w:tc>
      </w:tr>
      <w:tr w:rsidR="00EF1E43" w:rsidRPr="00EF1E43" w14:paraId="54B84D38" w14:textId="77777777" w:rsidTr="00CC61F1">
        <w:trPr>
          <w:cantSplit/>
        </w:trPr>
        <w:tc>
          <w:tcPr>
            <w:tcW w:w="1555" w:type="dxa"/>
            <w:shd w:val="clear" w:color="auto" w:fill="FFFFFF" w:themeFill="background1"/>
            <w:noWrap/>
            <w:vAlign w:val="center"/>
            <w:hideMark/>
          </w:tcPr>
          <w:p w14:paraId="13029A4F" w14:textId="77777777" w:rsidR="00FF0F9B" w:rsidRPr="00EF1E43" w:rsidRDefault="00FF0F9B" w:rsidP="00374F41">
            <w:pPr>
              <w:jc w:val="center"/>
              <w:rPr>
                <w:sz w:val="24"/>
              </w:rPr>
            </w:pPr>
            <w:r w:rsidRPr="00EF1E43">
              <w:rPr>
                <w:sz w:val="24"/>
              </w:rPr>
              <w:t>4728</w:t>
            </w:r>
          </w:p>
        </w:tc>
        <w:tc>
          <w:tcPr>
            <w:tcW w:w="7371" w:type="dxa"/>
            <w:shd w:val="clear" w:color="auto" w:fill="FFFFFF" w:themeFill="background1"/>
            <w:vAlign w:val="center"/>
            <w:hideMark/>
          </w:tcPr>
          <w:p w14:paraId="65E67235" w14:textId="77777777" w:rsidR="00FF0F9B" w:rsidRPr="00EF1E43" w:rsidRDefault="00FF0F9B" w:rsidP="00374F41">
            <w:pPr>
              <w:rPr>
                <w:sz w:val="24"/>
              </w:rPr>
            </w:pPr>
            <w:r w:rsidRPr="00EF1E43">
              <w:rPr>
                <w:sz w:val="24"/>
              </w:rPr>
              <w:t>Dewailly E, Dodin S, Verreault R, et al (1994). High organochlorine body burden in women with estrogen receptor-positive breast cancer. J Natl Cancer Inst, 86(3): 230-1.</w:t>
            </w:r>
          </w:p>
        </w:tc>
      </w:tr>
      <w:tr w:rsidR="00EF1E43" w:rsidRPr="00EF1E43" w14:paraId="7005E65B" w14:textId="77777777" w:rsidTr="00CC61F1">
        <w:trPr>
          <w:cantSplit/>
        </w:trPr>
        <w:tc>
          <w:tcPr>
            <w:tcW w:w="1555" w:type="dxa"/>
            <w:shd w:val="clear" w:color="auto" w:fill="FFFFFF" w:themeFill="background1"/>
            <w:noWrap/>
            <w:vAlign w:val="center"/>
            <w:hideMark/>
          </w:tcPr>
          <w:p w14:paraId="3D7741C0" w14:textId="77777777" w:rsidR="00FF0F9B" w:rsidRPr="00EF1E43" w:rsidRDefault="00FF0F9B" w:rsidP="00374F41">
            <w:pPr>
              <w:jc w:val="center"/>
              <w:rPr>
                <w:sz w:val="24"/>
              </w:rPr>
            </w:pPr>
            <w:r w:rsidRPr="00EF1E43">
              <w:rPr>
                <w:sz w:val="24"/>
              </w:rPr>
              <w:t>35598</w:t>
            </w:r>
          </w:p>
        </w:tc>
        <w:tc>
          <w:tcPr>
            <w:tcW w:w="7371" w:type="dxa"/>
            <w:shd w:val="clear" w:color="auto" w:fill="FFFFFF" w:themeFill="background1"/>
            <w:vAlign w:val="center"/>
            <w:hideMark/>
          </w:tcPr>
          <w:p w14:paraId="23222583" w14:textId="77777777" w:rsidR="00FF0F9B" w:rsidRPr="00EF1E43" w:rsidRDefault="00FF0F9B" w:rsidP="00374F41">
            <w:pPr>
              <w:rPr>
                <w:sz w:val="24"/>
              </w:rPr>
            </w:pPr>
            <w:r w:rsidRPr="00EF1E43">
              <w:rPr>
                <w:sz w:val="24"/>
              </w:rPr>
              <w:t>Dicker AP (2003). The safety and tolerability of low-dose irradiation for the management of gynaecomastia caused by antiandrogen monotherapy. Lancet Oncol, 4(1): 30-6.</w:t>
            </w:r>
          </w:p>
        </w:tc>
      </w:tr>
      <w:tr w:rsidR="00EF1E43" w:rsidRPr="00EF1E43" w14:paraId="22884933" w14:textId="77777777" w:rsidTr="00CC61F1">
        <w:trPr>
          <w:cantSplit/>
        </w:trPr>
        <w:tc>
          <w:tcPr>
            <w:tcW w:w="1555" w:type="dxa"/>
            <w:shd w:val="clear" w:color="auto" w:fill="FFFFFF" w:themeFill="background1"/>
            <w:noWrap/>
            <w:vAlign w:val="center"/>
            <w:hideMark/>
          </w:tcPr>
          <w:p w14:paraId="2D63341C" w14:textId="77777777" w:rsidR="00FF0F9B" w:rsidRPr="00EF1E43" w:rsidRDefault="00FF0F9B" w:rsidP="00374F41">
            <w:pPr>
              <w:jc w:val="center"/>
              <w:rPr>
                <w:sz w:val="24"/>
              </w:rPr>
            </w:pPr>
            <w:r w:rsidRPr="00EF1E43">
              <w:rPr>
                <w:sz w:val="24"/>
              </w:rPr>
              <w:t>4768</w:t>
            </w:r>
          </w:p>
        </w:tc>
        <w:tc>
          <w:tcPr>
            <w:tcW w:w="7371" w:type="dxa"/>
            <w:shd w:val="clear" w:color="auto" w:fill="FFFFFF" w:themeFill="background1"/>
            <w:vAlign w:val="center"/>
            <w:hideMark/>
          </w:tcPr>
          <w:p w14:paraId="51D2E42C" w14:textId="77777777" w:rsidR="00FF0F9B" w:rsidRPr="00EF1E43" w:rsidRDefault="00FF0F9B" w:rsidP="00374F41">
            <w:pPr>
              <w:rPr>
                <w:sz w:val="24"/>
              </w:rPr>
            </w:pPr>
            <w:r w:rsidRPr="00EF1E43">
              <w:rPr>
                <w:sz w:val="24"/>
              </w:rPr>
              <w:t>Digenis AG, Ross CB, Morrison JG, et al (1990). Carcinoma of the male breast: A review of 41 cases. South Med J, 83(10): 1162-7.</w:t>
            </w:r>
          </w:p>
        </w:tc>
      </w:tr>
      <w:tr w:rsidR="00EF1E43" w:rsidRPr="00EF1E43" w14:paraId="7EB689D8" w14:textId="77777777" w:rsidTr="00CC61F1">
        <w:trPr>
          <w:cantSplit/>
        </w:trPr>
        <w:tc>
          <w:tcPr>
            <w:tcW w:w="1555" w:type="dxa"/>
            <w:shd w:val="clear" w:color="auto" w:fill="FFFFFF" w:themeFill="background1"/>
            <w:noWrap/>
            <w:vAlign w:val="center"/>
            <w:hideMark/>
          </w:tcPr>
          <w:p w14:paraId="616CDB81" w14:textId="77777777" w:rsidR="00FF0F9B" w:rsidRPr="00EF1E43" w:rsidRDefault="00FF0F9B" w:rsidP="00374F41">
            <w:pPr>
              <w:jc w:val="center"/>
              <w:rPr>
                <w:sz w:val="24"/>
              </w:rPr>
            </w:pPr>
            <w:r w:rsidRPr="00EF1E43">
              <w:rPr>
                <w:sz w:val="24"/>
              </w:rPr>
              <w:t>36913</w:t>
            </w:r>
          </w:p>
        </w:tc>
        <w:tc>
          <w:tcPr>
            <w:tcW w:w="7371" w:type="dxa"/>
            <w:shd w:val="clear" w:color="auto" w:fill="FFFFFF" w:themeFill="background1"/>
            <w:vAlign w:val="center"/>
            <w:hideMark/>
          </w:tcPr>
          <w:p w14:paraId="282DC3A0" w14:textId="77777777" w:rsidR="00FF0F9B" w:rsidRPr="00EF1E43" w:rsidRDefault="00FF0F9B" w:rsidP="00374F41">
            <w:pPr>
              <w:rPr>
                <w:sz w:val="24"/>
              </w:rPr>
            </w:pPr>
            <w:r w:rsidRPr="00EF1E43">
              <w:rPr>
                <w:sz w:val="24"/>
              </w:rPr>
              <w:t>Dignam JJ, Mamounas EP (2004). Obesity and breast cancer prognosis: an expanding body of evidence. Ann Oncol, 15(6): 850-1.</w:t>
            </w:r>
          </w:p>
        </w:tc>
      </w:tr>
      <w:tr w:rsidR="00EF1E43" w:rsidRPr="00EF1E43" w14:paraId="512210CD" w14:textId="77777777" w:rsidTr="00CC61F1">
        <w:trPr>
          <w:cantSplit/>
        </w:trPr>
        <w:tc>
          <w:tcPr>
            <w:tcW w:w="1555" w:type="dxa"/>
            <w:shd w:val="clear" w:color="auto" w:fill="FFFFFF" w:themeFill="background1"/>
            <w:noWrap/>
            <w:vAlign w:val="center"/>
            <w:hideMark/>
          </w:tcPr>
          <w:p w14:paraId="3BD31091" w14:textId="77777777" w:rsidR="00FF0F9B" w:rsidRPr="00EF1E43" w:rsidRDefault="00FF0F9B" w:rsidP="00374F41">
            <w:pPr>
              <w:jc w:val="center"/>
              <w:rPr>
                <w:sz w:val="24"/>
              </w:rPr>
            </w:pPr>
            <w:r w:rsidRPr="00EF1E43">
              <w:rPr>
                <w:sz w:val="24"/>
              </w:rPr>
              <w:t>35662</w:t>
            </w:r>
          </w:p>
        </w:tc>
        <w:tc>
          <w:tcPr>
            <w:tcW w:w="7371" w:type="dxa"/>
            <w:shd w:val="clear" w:color="auto" w:fill="FFFFFF" w:themeFill="background1"/>
            <w:vAlign w:val="center"/>
            <w:hideMark/>
          </w:tcPr>
          <w:p w14:paraId="2B2F5023" w14:textId="77777777" w:rsidR="00FF0F9B" w:rsidRPr="00EF1E43" w:rsidRDefault="00FF0F9B" w:rsidP="00374F41">
            <w:pPr>
              <w:rPr>
                <w:sz w:val="24"/>
              </w:rPr>
            </w:pPr>
            <w:r w:rsidRPr="00EF1E43">
              <w:rPr>
                <w:sz w:val="24"/>
              </w:rPr>
              <w:t>Dimitrakakis C, Jones RA, Liu A, et al (2004). Breast cancer incidence in postmenopausal women using testosterone in addition to usual hormone therapy. Menopause, 11(5): 531-5.</w:t>
            </w:r>
          </w:p>
        </w:tc>
      </w:tr>
      <w:tr w:rsidR="00EF1E43" w:rsidRPr="00EF1E43" w14:paraId="1B11A619" w14:textId="77777777" w:rsidTr="00CC61F1">
        <w:trPr>
          <w:cantSplit/>
        </w:trPr>
        <w:tc>
          <w:tcPr>
            <w:tcW w:w="1555" w:type="dxa"/>
            <w:shd w:val="clear" w:color="auto" w:fill="FFFFFF" w:themeFill="background1"/>
            <w:noWrap/>
            <w:vAlign w:val="center"/>
            <w:hideMark/>
          </w:tcPr>
          <w:p w14:paraId="22EB6A42" w14:textId="77777777" w:rsidR="00FF0F9B" w:rsidRPr="00EF1E43" w:rsidRDefault="00FF0F9B" w:rsidP="00374F41">
            <w:pPr>
              <w:jc w:val="center"/>
              <w:rPr>
                <w:sz w:val="24"/>
              </w:rPr>
            </w:pPr>
            <w:r w:rsidRPr="00EF1E43">
              <w:rPr>
                <w:sz w:val="24"/>
              </w:rPr>
              <w:lastRenderedPageBreak/>
              <w:t>37125</w:t>
            </w:r>
          </w:p>
        </w:tc>
        <w:tc>
          <w:tcPr>
            <w:tcW w:w="7371" w:type="dxa"/>
            <w:shd w:val="clear" w:color="auto" w:fill="FFFFFF" w:themeFill="background1"/>
            <w:vAlign w:val="center"/>
            <w:hideMark/>
          </w:tcPr>
          <w:p w14:paraId="3C581B07" w14:textId="77777777" w:rsidR="00FF0F9B" w:rsidRPr="00EF1E43" w:rsidRDefault="00FF0F9B" w:rsidP="00374F41">
            <w:pPr>
              <w:rPr>
                <w:sz w:val="24"/>
              </w:rPr>
            </w:pPr>
            <w:r w:rsidRPr="00EF1E43">
              <w:rPr>
                <w:sz w:val="24"/>
              </w:rPr>
              <w:t>Dirx MJ, Voorrips LE, Goldbohm RA, et al (2001). Baseline recreational physical activity, history of sports participation, and postmenopausal breast carcinoma risk in the Netherlands Cohort Study. Cancer, 92(6): 1638-49.</w:t>
            </w:r>
          </w:p>
        </w:tc>
      </w:tr>
      <w:tr w:rsidR="00EF1E43" w:rsidRPr="00EF1E43" w14:paraId="2A306D27" w14:textId="77777777" w:rsidTr="00CC61F1">
        <w:trPr>
          <w:cantSplit/>
        </w:trPr>
        <w:tc>
          <w:tcPr>
            <w:tcW w:w="1555" w:type="dxa"/>
            <w:shd w:val="clear" w:color="auto" w:fill="FFFFFF" w:themeFill="background1"/>
            <w:noWrap/>
            <w:vAlign w:val="center"/>
            <w:hideMark/>
          </w:tcPr>
          <w:p w14:paraId="0F1DDCA9" w14:textId="77777777" w:rsidR="00FF0F9B" w:rsidRPr="00EF1E43" w:rsidRDefault="00FF0F9B" w:rsidP="00374F41">
            <w:pPr>
              <w:jc w:val="center"/>
              <w:rPr>
                <w:sz w:val="24"/>
              </w:rPr>
            </w:pPr>
            <w:r w:rsidRPr="00EF1E43">
              <w:rPr>
                <w:sz w:val="24"/>
              </w:rPr>
              <w:t>85524</w:t>
            </w:r>
          </w:p>
        </w:tc>
        <w:tc>
          <w:tcPr>
            <w:tcW w:w="7371" w:type="dxa"/>
            <w:shd w:val="clear" w:color="auto" w:fill="FFFFFF" w:themeFill="background1"/>
            <w:vAlign w:val="center"/>
            <w:hideMark/>
          </w:tcPr>
          <w:p w14:paraId="07A6EF21" w14:textId="77777777" w:rsidR="00FF0F9B" w:rsidRPr="00EF1E43" w:rsidRDefault="00FF0F9B" w:rsidP="00374F41">
            <w:pPr>
              <w:rPr>
                <w:sz w:val="24"/>
              </w:rPr>
            </w:pPr>
            <w:r w:rsidRPr="00EF1E43">
              <w:rPr>
                <w:sz w:val="24"/>
              </w:rPr>
              <w:t>do Carmo Franca-Botelho A, Ferreira MC, Franca JL, et al (2012). Breastfeeding and its relationship with reduction of breast cancer: a review. Asian Pac J Cancer Prev, 13(11): 5327-32.</w:t>
            </w:r>
          </w:p>
        </w:tc>
      </w:tr>
      <w:tr w:rsidR="00EF1E43" w:rsidRPr="00EF1E43" w14:paraId="734E3F4E" w14:textId="77777777" w:rsidTr="00CC61F1">
        <w:trPr>
          <w:cantSplit/>
        </w:trPr>
        <w:tc>
          <w:tcPr>
            <w:tcW w:w="1555" w:type="dxa"/>
            <w:shd w:val="clear" w:color="auto" w:fill="FFFFFF" w:themeFill="background1"/>
            <w:noWrap/>
            <w:vAlign w:val="center"/>
            <w:hideMark/>
          </w:tcPr>
          <w:p w14:paraId="1ED8326F" w14:textId="77777777" w:rsidR="00FF0F9B" w:rsidRPr="00EF1E43" w:rsidRDefault="00FF0F9B" w:rsidP="00374F41">
            <w:pPr>
              <w:jc w:val="center"/>
              <w:rPr>
                <w:sz w:val="24"/>
              </w:rPr>
            </w:pPr>
            <w:r w:rsidRPr="00EF1E43">
              <w:rPr>
                <w:sz w:val="24"/>
              </w:rPr>
              <w:t>10709</w:t>
            </w:r>
          </w:p>
        </w:tc>
        <w:tc>
          <w:tcPr>
            <w:tcW w:w="7371" w:type="dxa"/>
            <w:shd w:val="clear" w:color="auto" w:fill="FFFFFF" w:themeFill="background1"/>
            <w:vAlign w:val="center"/>
            <w:hideMark/>
          </w:tcPr>
          <w:p w14:paraId="671387D1" w14:textId="77777777" w:rsidR="00FF0F9B" w:rsidRPr="00EF1E43" w:rsidRDefault="00FF0F9B" w:rsidP="00374F41">
            <w:pPr>
              <w:rPr>
                <w:sz w:val="24"/>
              </w:rPr>
            </w:pPr>
            <w:r w:rsidRPr="00EF1E43">
              <w:rPr>
                <w:sz w:val="24"/>
              </w:rPr>
              <w:t>Dominick S, Hickey M, Chin J, et al (2015). Levonorgestrel intrauterine system for endometrial protection in women with breast cancer on adjuvant tamoxifen. Cochrane Database Syst Rev, 2015(12): CD007245.</w:t>
            </w:r>
          </w:p>
        </w:tc>
      </w:tr>
      <w:tr w:rsidR="00EF1E43" w:rsidRPr="00EF1E43" w14:paraId="7D05248A" w14:textId="77777777" w:rsidTr="00CC61F1">
        <w:trPr>
          <w:cantSplit/>
        </w:trPr>
        <w:tc>
          <w:tcPr>
            <w:tcW w:w="1555" w:type="dxa"/>
            <w:shd w:val="clear" w:color="auto" w:fill="FFFFFF" w:themeFill="background1"/>
            <w:noWrap/>
            <w:vAlign w:val="center"/>
            <w:hideMark/>
          </w:tcPr>
          <w:p w14:paraId="1BDF8022" w14:textId="77777777" w:rsidR="00FF0F9B" w:rsidRPr="00EF1E43" w:rsidRDefault="00FF0F9B" w:rsidP="00374F41">
            <w:pPr>
              <w:jc w:val="center"/>
              <w:rPr>
                <w:sz w:val="24"/>
              </w:rPr>
            </w:pPr>
            <w:r w:rsidRPr="00EF1E43">
              <w:rPr>
                <w:sz w:val="24"/>
              </w:rPr>
              <w:t>71627</w:t>
            </w:r>
          </w:p>
        </w:tc>
        <w:tc>
          <w:tcPr>
            <w:tcW w:w="7371" w:type="dxa"/>
            <w:shd w:val="clear" w:color="auto" w:fill="FFFFFF" w:themeFill="background1"/>
            <w:vAlign w:val="center"/>
            <w:hideMark/>
          </w:tcPr>
          <w:p w14:paraId="6843684C" w14:textId="77777777" w:rsidR="00FF0F9B" w:rsidRPr="00EF1E43" w:rsidRDefault="00FF0F9B" w:rsidP="00374F41">
            <w:pPr>
              <w:rPr>
                <w:sz w:val="24"/>
              </w:rPr>
            </w:pPr>
            <w:r w:rsidRPr="00EF1E43">
              <w:rPr>
                <w:sz w:val="24"/>
              </w:rPr>
              <w:t>Dong JY, Qin LQ (2011). Dietary glycemic index, glycemic load, and risk of breast cancer: meta-analysis of prospective cohort studies. Breast Cancer Res Treat, 126(2): 287-94.</w:t>
            </w:r>
          </w:p>
        </w:tc>
      </w:tr>
      <w:tr w:rsidR="00EF1E43" w:rsidRPr="00EF1E43" w14:paraId="6E0A12DD" w14:textId="77777777" w:rsidTr="00CC61F1">
        <w:trPr>
          <w:cantSplit/>
        </w:trPr>
        <w:tc>
          <w:tcPr>
            <w:tcW w:w="1555" w:type="dxa"/>
            <w:shd w:val="clear" w:color="auto" w:fill="FFFFFF" w:themeFill="background1"/>
            <w:noWrap/>
            <w:vAlign w:val="center"/>
            <w:hideMark/>
          </w:tcPr>
          <w:p w14:paraId="4957C8C7" w14:textId="77777777" w:rsidR="00FF0F9B" w:rsidRPr="00EF1E43" w:rsidRDefault="00FF0F9B" w:rsidP="00374F41">
            <w:pPr>
              <w:jc w:val="center"/>
              <w:rPr>
                <w:sz w:val="24"/>
              </w:rPr>
            </w:pPr>
            <w:r w:rsidRPr="00EF1E43">
              <w:rPr>
                <w:sz w:val="24"/>
              </w:rPr>
              <w:t>37170</w:t>
            </w:r>
          </w:p>
        </w:tc>
        <w:tc>
          <w:tcPr>
            <w:tcW w:w="7371" w:type="dxa"/>
            <w:shd w:val="clear" w:color="auto" w:fill="FFFFFF" w:themeFill="background1"/>
            <w:vAlign w:val="center"/>
            <w:hideMark/>
          </w:tcPr>
          <w:p w14:paraId="47BE63DE" w14:textId="77777777" w:rsidR="00FF0F9B" w:rsidRPr="00EF1E43" w:rsidRDefault="00FF0F9B" w:rsidP="00374F41">
            <w:pPr>
              <w:rPr>
                <w:sz w:val="24"/>
              </w:rPr>
            </w:pPr>
            <w:r w:rsidRPr="00EF1E43">
              <w:rPr>
                <w:sz w:val="24"/>
              </w:rPr>
              <w:t>Dorn J, Vena J, Brasure J, et al (2003). Lifetime physical activity and breast cancer risk in pre- and postmenopausal women. Med Sci Sports Exerc, 35(2): 278-85.</w:t>
            </w:r>
          </w:p>
        </w:tc>
      </w:tr>
      <w:tr w:rsidR="00EF1E43" w:rsidRPr="00EF1E43" w14:paraId="7BC437D0" w14:textId="77777777" w:rsidTr="00CC61F1">
        <w:trPr>
          <w:cantSplit/>
        </w:trPr>
        <w:tc>
          <w:tcPr>
            <w:tcW w:w="1555" w:type="dxa"/>
            <w:shd w:val="clear" w:color="auto" w:fill="FFFFFF" w:themeFill="background1"/>
            <w:noWrap/>
            <w:vAlign w:val="center"/>
            <w:hideMark/>
          </w:tcPr>
          <w:p w14:paraId="1382929D" w14:textId="77777777" w:rsidR="00FF0F9B" w:rsidRPr="00EF1E43" w:rsidRDefault="00FF0F9B" w:rsidP="00374F41">
            <w:pPr>
              <w:jc w:val="center"/>
              <w:rPr>
                <w:sz w:val="24"/>
              </w:rPr>
            </w:pPr>
            <w:r w:rsidRPr="00EF1E43">
              <w:rPr>
                <w:sz w:val="24"/>
              </w:rPr>
              <w:t>71628</w:t>
            </w:r>
          </w:p>
        </w:tc>
        <w:tc>
          <w:tcPr>
            <w:tcW w:w="7371" w:type="dxa"/>
            <w:shd w:val="clear" w:color="auto" w:fill="FFFFFF" w:themeFill="background1"/>
            <w:vAlign w:val="center"/>
            <w:hideMark/>
          </w:tcPr>
          <w:p w14:paraId="133F3AEC" w14:textId="77777777" w:rsidR="00FF0F9B" w:rsidRPr="00EF1E43" w:rsidRDefault="00FF0F9B" w:rsidP="00374F41">
            <w:pPr>
              <w:rPr>
                <w:sz w:val="24"/>
              </w:rPr>
            </w:pPr>
            <w:r w:rsidRPr="00EF1E43">
              <w:rPr>
                <w:sz w:val="24"/>
              </w:rPr>
              <w:t>Downs-Holmes C, Silverman P (2011). Breast cancer: overview &amp; updates. Nurse Pract, 36(12): 20-6; quiz 7.</w:t>
            </w:r>
          </w:p>
        </w:tc>
      </w:tr>
      <w:tr w:rsidR="00EF1E43" w:rsidRPr="00EF1E43" w14:paraId="1503234A" w14:textId="77777777" w:rsidTr="00CC61F1">
        <w:trPr>
          <w:cantSplit/>
        </w:trPr>
        <w:tc>
          <w:tcPr>
            <w:tcW w:w="1555" w:type="dxa"/>
            <w:shd w:val="clear" w:color="auto" w:fill="FFFFFF" w:themeFill="background1"/>
            <w:noWrap/>
            <w:vAlign w:val="center"/>
            <w:hideMark/>
          </w:tcPr>
          <w:p w14:paraId="319E1CBA" w14:textId="77777777" w:rsidR="00FF0F9B" w:rsidRPr="00EF1E43" w:rsidRDefault="00FF0F9B" w:rsidP="00374F41">
            <w:pPr>
              <w:jc w:val="center"/>
              <w:rPr>
                <w:sz w:val="24"/>
              </w:rPr>
            </w:pPr>
            <w:r w:rsidRPr="00EF1E43">
              <w:rPr>
                <w:sz w:val="24"/>
              </w:rPr>
              <w:t>37128</w:t>
            </w:r>
          </w:p>
        </w:tc>
        <w:tc>
          <w:tcPr>
            <w:tcW w:w="7371" w:type="dxa"/>
            <w:shd w:val="clear" w:color="auto" w:fill="FFFFFF" w:themeFill="background1"/>
            <w:vAlign w:val="center"/>
            <w:hideMark/>
          </w:tcPr>
          <w:p w14:paraId="19C0D048" w14:textId="77777777" w:rsidR="00FF0F9B" w:rsidRPr="00EF1E43" w:rsidRDefault="00FF0F9B" w:rsidP="00374F41">
            <w:pPr>
              <w:rPr>
                <w:sz w:val="24"/>
              </w:rPr>
            </w:pPr>
            <w:r w:rsidRPr="00EF1E43">
              <w:rPr>
                <w:sz w:val="24"/>
              </w:rPr>
              <w:t>Drake DA (2001). A longitudinal study of physical activity and breast cancer prediction. Cancer Nurs, 24(5): 371-7.</w:t>
            </w:r>
          </w:p>
        </w:tc>
      </w:tr>
      <w:tr w:rsidR="00EF1E43" w:rsidRPr="00EF1E43" w14:paraId="2F8F9A5D" w14:textId="77777777" w:rsidTr="00CC61F1">
        <w:trPr>
          <w:cantSplit/>
        </w:trPr>
        <w:tc>
          <w:tcPr>
            <w:tcW w:w="1555" w:type="dxa"/>
            <w:shd w:val="clear" w:color="auto" w:fill="FFFFFF" w:themeFill="background1"/>
            <w:noWrap/>
            <w:vAlign w:val="center"/>
            <w:hideMark/>
          </w:tcPr>
          <w:p w14:paraId="346D8C26" w14:textId="77777777" w:rsidR="00FF0F9B" w:rsidRPr="00EF1E43" w:rsidRDefault="00FF0F9B" w:rsidP="00374F41">
            <w:pPr>
              <w:jc w:val="center"/>
              <w:rPr>
                <w:sz w:val="24"/>
              </w:rPr>
            </w:pPr>
            <w:r w:rsidRPr="00EF1E43">
              <w:rPr>
                <w:sz w:val="24"/>
              </w:rPr>
              <w:t>35615</w:t>
            </w:r>
          </w:p>
        </w:tc>
        <w:tc>
          <w:tcPr>
            <w:tcW w:w="7371" w:type="dxa"/>
            <w:shd w:val="clear" w:color="auto" w:fill="FFFFFF" w:themeFill="background1"/>
            <w:vAlign w:val="center"/>
            <w:hideMark/>
          </w:tcPr>
          <w:p w14:paraId="69A66578" w14:textId="77777777" w:rsidR="00FF0F9B" w:rsidRPr="00EF1E43" w:rsidRDefault="00FF0F9B" w:rsidP="00374F41">
            <w:pPr>
              <w:rPr>
                <w:sz w:val="24"/>
              </w:rPr>
            </w:pPr>
            <w:r w:rsidRPr="00EF1E43">
              <w:rPr>
                <w:sz w:val="24"/>
              </w:rPr>
              <w:t>Dumeaux V, Alsaker E, Lund E (2003). Breast cancer and specific types of oral contraceptives: a large Norwegian cohort study. Int J Cancer, 105(6): 844-50.</w:t>
            </w:r>
          </w:p>
        </w:tc>
      </w:tr>
      <w:tr w:rsidR="00EF1E43" w:rsidRPr="00EF1E43" w14:paraId="53C9E9B4" w14:textId="77777777" w:rsidTr="00CC61F1">
        <w:trPr>
          <w:cantSplit/>
        </w:trPr>
        <w:tc>
          <w:tcPr>
            <w:tcW w:w="1555" w:type="dxa"/>
            <w:shd w:val="clear" w:color="auto" w:fill="FFFFFF" w:themeFill="background1"/>
            <w:noWrap/>
            <w:vAlign w:val="center"/>
            <w:hideMark/>
          </w:tcPr>
          <w:p w14:paraId="3321BF99" w14:textId="77777777" w:rsidR="00FF0F9B" w:rsidRPr="00EF1E43" w:rsidRDefault="00FF0F9B" w:rsidP="00374F41">
            <w:pPr>
              <w:jc w:val="center"/>
              <w:rPr>
                <w:sz w:val="24"/>
              </w:rPr>
            </w:pPr>
            <w:r w:rsidRPr="00EF1E43">
              <w:rPr>
                <w:sz w:val="24"/>
              </w:rPr>
              <w:t>35644</w:t>
            </w:r>
          </w:p>
        </w:tc>
        <w:tc>
          <w:tcPr>
            <w:tcW w:w="7371" w:type="dxa"/>
            <w:shd w:val="clear" w:color="auto" w:fill="FFFFFF" w:themeFill="background1"/>
            <w:vAlign w:val="center"/>
            <w:hideMark/>
          </w:tcPr>
          <w:p w14:paraId="30C013F2" w14:textId="77777777" w:rsidR="00FF0F9B" w:rsidRPr="00EF1E43" w:rsidRDefault="00FF0F9B" w:rsidP="00374F41">
            <w:pPr>
              <w:rPr>
                <w:sz w:val="24"/>
              </w:rPr>
            </w:pPr>
            <w:r w:rsidRPr="00EF1E43">
              <w:rPr>
                <w:sz w:val="24"/>
              </w:rPr>
              <w:t>Dumeaux V, Lund E, Hjartaker A (2004). Use of oral contraceptives, alcohol, and risk for invasive breast cancer. Cancer Epidemiol Biomarkers Prev, 13(8): 1302-7.</w:t>
            </w:r>
          </w:p>
        </w:tc>
      </w:tr>
      <w:tr w:rsidR="00EF1E43" w:rsidRPr="00EF1E43" w14:paraId="1D4C022C" w14:textId="77777777" w:rsidTr="00CC61F1">
        <w:trPr>
          <w:cantSplit/>
        </w:trPr>
        <w:tc>
          <w:tcPr>
            <w:tcW w:w="1555" w:type="dxa"/>
            <w:shd w:val="clear" w:color="auto" w:fill="FFFFFF" w:themeFill="background1"/>
            <w:noWrap/>
            <w:vAlign w:val="center"/>
            <w:hideMark/>
          </w:tcPr>
          <w:p w14:paraId="0417807A" w14:textId="77777777" w:rsidR="00FF0F9B" w:rsidRPr="00EF1E43" w:rsidRDefault="00FF0F9B" w:rsidP="00374F41">
            <w:pPr>
              <w:jc w:val="center"/>
              <w:rPr>
                <w:sz w:val="24"/>
              </w:rPr>
            </w:pPr>
            <w:r w:rsidRPr="00EF1E43">
              <w:rPr>
                <w:sz w:val="24"/>
              </w:rPr>
              <w:t>38272</w:t>
            </w:r>
          </w:p>
        </w:tc>
        <w:tc>
          <w:tcPr>
            <w:tcW w:w="7371" w:type="dxa"/>
            <w:shd w:val="clear" w:color="auto" w:fill="FFFFFF" w:themeFill="background1"/>
            <w:vAlign w:val="center"/>
            <w:hideMark/>
          </w:tcPr>
          <w:p w14:paraId="14A872E2" w14:textId="77777777" w:rsidR="00FF0F9B" w:rsidRPr="00EF1E43" w:rsidRDefault="00FF0F9B" w:rsidP="00374F41">
            <w:pPr>
              <w:rPr>
                <w:sz w:val="24"/>
              </w:rPr>
            </w:pPr>
            <w:r w:rsidRPr="00EF1E43">
              <w:rPr>
                <w:sz w:val="24"/>
              </w:rPr>
              <w:t>Duncan AM (2004). The role of nutrition in the prevention of breast cancer. AACN Clin Issues, 15(1): 119-35.</w:t>
            </w:r>
          </w:p>
        </w:tc>
      </w:tr>
      <w:tr w:rsidR="00EF1E43" w:rsidRPr="00EF1E43" w14:paraId="326C5756" w14:textId="77777777" w:rsidTr="00CC61F1">
        <w:trPr>
          <w:cantSplit/>
        </w:trPr>
        <w:tc>
          <w:tcPr>
            <w:tcW w:w="1555" w:type="dxa"/>
            <w:shd w:val="clear" w:color="auto" w:fill="FFFFFF" w:themeFill="background1"/>
            <w:noWrap/>
            <w:vAlign w:val="center"/>
            <w:hideMark/>
          </w:tcPr>
          <w:p w14:paraId="07FC230F" w14:textId="77777777" w:rsidR="00FF0F9B" w:rsidRPr="00EF1E43" w:rsidRDefault="00FF0F9B" w:rsidP="00374F41">
            <w:pPr>
              <w:jc w:val="center"/>
              <w:rPr>
                <w:sz w:val="24"/>
              </w:rPr>
            </w:pPr>
            <w:r w:rsidRPr="00EF1E43">
              <w:rPr>
                <w:sz w:val="24"/>
              </w:rPr>
              <w:t>9210</w:t>
            </w:r>
          </w:p>
        </w:tc>
        <w:tc>
          <w:tcPr>
            <w:tcW w:w="7371" w:type="dxa"/>
            <w:shd w:val="clear" w:color="auto" w:fill="FFFFFF" w:themeFill="background1"/>
            <w:vAlign w:val="center"/>
            <w:hideMark/>
          </w:tcPr>
          <w:p w14:paraId="6ED9BE74" w14:textId="77777777" w:rsidR="00FF0F9B" w:rsidRPr="00EF1E43" w:rsidRDefault="00FF0F9B" w:rsidP="00374F41">
            <w:pPr>
              <w:rPr>
                <w:sz w:val="24"/>
              </w:rPr>
            </w:pPr>
            <w:r w:rsidRPr="00EF1E43">
              <w:rPr>
                <w:sz w:val="24"/>
              </w:rPr>
              <w:t>Edelman DA, Grant S, van Os WA (1995). Breast cancer risk among women using silicone gel breast implants. Int J Fertil Menopausal Stud, 40(5): 274-80.</w:t>
            </w:r>
          </w:p>
        </w:tc>
      </w:tr>
      <w:tr w:rsidR="00EF1E43" w:rsidRPr="00EF1E43" w14:paraId="37ACE74B" w14:textId="77777777" w:rsidTr="00CC61F1">
        <w:trPr>
          <w:cantSplit/>
        </w:trPr>
        <w:tc>
          <w:tcPr>
            <w:tcW w:w="1555" w:type="dxa"/>
            <w:shd w:val="clear" w:color="auto" w:fill="FFFFFF" w:themeFill="background1"/>
            <w:noWrap/>
            <w:vAlign w:val="center"/>
            <w:hideMark/>
          </w:tcPr>
          <w:p w14:paraId="015F4700" w14:textId="77777777" w:rsidR="00FF0F9B" w:rsidRPr="00EF1E43" w:rsidRDefault="00FF0F9B" w:rsidP="00374F41">
            <w:pPr>
              <w:jc w:val="center"/>
              <w:rPr>
                <w:sz w:val="24"/>
              </w:rPr>
            </w:pPr>
            <w:r w:rsidRPr="00EF1E43">
              <w:rPr>
                <w:sz w:val="24"/>
              </w:rPr>
              <w:t>35672</w:t>
            </w:r>
          </w:p>
        </w:tc>
        <w:tc>
          <w:tcPr>
            <w:tcW w:w="7371" w:type="dxa"/>
            <w:shd w:val="clear" w:color="auto" w:fill="FFFFFF" w:themeFill="background1"/>
            <w:vAlign w:val="center"/>
            <w:hideMark/>
          </w:tcPr>
          <w:p w14:paraId="3F338CCA" w14:textId="77777777" w:rsidR="00FF0F9B" w:rsidRPr="00EF1E43" w:rsidRDefault="00FF0F9B" w:rsidP="00374F41">
            <w:pPr>
              <w:rPr>
                <w:sz w:val="24"/>
              </w:rPr>
            </w:pPr>
            <w:r w:rsidRPr="00EF1E43">
              <w:rPr>
                <w:sz w:val="24"/>
              </w:rPr>
              <w:t>Egan KM, Stampfer MJ, Hunter D, et al (2002). Active and passive smoking in breast cancer: prospective results from the Nurses' Health Study. Epidemiology, 13(2): 138-45.</w:t>
            </w:r>
          </w:p>
        </w:tc>
      </w:tr>
      <w:tr w:rsidR="00EF1E43" w:rsidRPr="00EF1E43" w14:paraId="47979F0D" w14:textId="77777777" w:rsidTr="00CC61F1">
        <w:trPr>
          <w:cantSplit/>
        </w:trPr>
        <w:tc>
          <w:tcPr>
            <w:tcW w:w="1555" w:type="dxa"/>
            <w:shd w:val="clear" w:color="auto" w:fill="FFFFFF" w:themeFill="background1"/>
            <w:noWrap/>
            <w:vAlign w:val="center"/>
            <w:hideMark/>
          </w:tcPr>
          <w:p w14:paraId="7F31F93D" w14:textId="77777777" w:rsidR="00FF0F9B" w:rsidRPr="00EF1E43" w:rsidRDefault="00FF0F9B" w:rsidP="00374F41">
            <w:pPr>
              <w:jc w:val="center"/>
              <w:rPr>
                <w:sz w:val="24"/>
              </w:rPr>
            </w:pPr>
            <w:r w:rsidRPr="00EF1E43">
              <w:rPr>
                <w:sz w:val="24"/>
              </w:rPr>
              <w:t>77290</w:t>
            </w:r>
          </w:p>
        </w:tc>
        <w:tc>
          <w:tcPr>
            <w:tcW w:w="7371" w:type="dxa"/>
            <w:shd w:val="clear" w:color="auto" w:fill="FFFFFF" w:themeFill="background1"/>
            <w:vAlign w:val="center"/>
            <w:hideMark/>
          </w:tcPr>
          <w:p w14:paraId="3B33A6ED" w14:textId="77777777" w:rsidR="00FF0F9B" w:rsidRPr="00EF1E43" w:rsidRDefault="00FF0F9B" w:rsidP="00374F41">
            <w:pPr>
              <w:rPr>
                <w:sz w:val="24"/>
              </w:rPr>
            </w:pPr>
            <w:r w:rsidRPr="00EF1E43">
              <w:rPr>
                <w:sz w:val="24"/>
              </w:rPr>
              <w:t>Ekenga CC, Parks CG, Sandler DP (2015). Chemical exposures in the workplace and breast cancer risk: a prospective cohort study. Int J Cancer, 137(7): 1765-74.</w:t>
            </w:r>
          </w:p>
        </w:tc>
      </w:tr>
      <w:tr w:rsidR="00EF1E43" w:rsidRPr="00EF1E43" w14:paraId="7A013469" w14:textId="77777777" w:rsidTr="00CC61F1">
        <w:trPr>
          <w:cantSplit/>
        </w:trPr>
        <w:tc>
          <w:tcPr>
            <w:tcW w:w="1555" w:type="dxa"/>
            <w:shd w:val="clear" w:color="auto" w:fill="FFFFFF" w:themeFill="background1"/>
            <w:noWrap/>
            <w:vAlign w:val="center"/>
            <w:hideMark/>
          </w:tcPr>
          <w:p w14:paraId="1EBD7E1B" w14:textId="77777777" w:rsidR="00FF0F9B" w:rsidRPr="00EF1E43" w:rsidRDefault="00FF0F9B" w:rsidP="00374F41">
            <w:pPr>
              <w:jc w:val="center"/>
              <w:rPr>
                <w:sz w:val="24"/>
              </w:rPr>
            </w:pPr>
            <w:r w:rsidRPr="00EF1E43">
              <w:rPr>
                <w:sz w:val="24"/>
              </w:rPr>
              <w:t>53872</w:t>
            </w:r>
          </w:p>
        </w:tc>
        <w:tc>
          <w:tcPr>
            <w:tcW w:w="7371" w:type="dxa"/>
            <w:shd w:val="clear" w:color="auto" w:fill="FFFFFF" w:themeFill="background1"/>
            <w:vAlign w:val="center"/>
            <w:hideMark/>
          </w:tcPr>
          <w:p w14:paraId="669B971E" w14:textId="77777777" w:rsidR="00FF0F9B" w:rsidRPr="00EF1E43" w:rsidRDefault="00FF0F9B" w:rsidP="00374F41">
            <w:pPr>
              <w:rPr>
                <w:sz w:val="24"/>
              </w:rPr>
            </w:pPr>
            <w:r w:rsidRPr="00EF1E43">
              <w:rPr>
                <w:sz w:val="24"/>
              </w:rPr>
              <w:t>El Ghissassi F, Baan R, Straif K, et al (2009). A review of human carcinogens - Part D: radiation. Lancet Oncol, 10(8): 751-2.</w:t>
            </w:r>
          </w:p>
        </w:tc>
      </w:tr>
      <w:tr w:rsidR="00EF1E43" w:rsidRPr="00EF1E43" w14:paraId="471797FD" w14:textId="77777777" w:rsidTr="00CC61F1">
        <w:trPr>
          <w:cantSplit/>
        </w:trPr>
        <w:tc>
          <w:tcPr>
            <w:tcW w:w="1555" w:type="dxa"/>
            <w:shd w:val="clear" w:color="auto" w:fill="FFFFFF" w:themeFill="background1"/>
            <w:noWrap/>
            <w:vAlign w:val="center"/>
            <w:hideMark/>
          </w:tcPr>
          <w:p w14:paraId="1B448A2C" w14:textId="77777777" w:rsidR="00FF0F9B" w:rsidRPr="00EF1E43" w:rsidRDefault="00FF0F9B" w:rsidP="00374F41">
            <w:pPr>
              <w:jc w:val="center"/>
              <w:rPr>
                <w:sz w:val="24"/>
              </w:rPr>
            </w:pPr>
            <w:r w:rsidRPr="00EF1E43">
              <w:rPr>
                <w:sz w:val="24"/>
              </w:rPr>
              <w:t>10273</w:t>
            </w:r>
          </w:p>
        </w:tc>
        <w:tc>
          <w:tcPr>
            <w:tcW w:w="7371" w:type="dxa"/>
            <w:shd w:val="clear" w:color="auto" w:fill="FFFFFF" w:themeFill="background1"/>
            <w:vAlign w:val="center"/>
            <w:hideMark/>
          </w:tcPr>
          <w:p w14:paraId="2F756E5C" w14:textId="77777777" w:rsidR="00FF0F9B" w:rsidRPr="00EF1E43" w:rsidRDefault="00FF0F9B" w:rsidP="00374F41">
            <w:pPr>
              <w:rPr>
                <w:sz w:val="24"/>
              </w:rPr>
            </w:pPr>
            <w:r w:rsidRPr="00EF1E43">
              <w:rPr>
                <w:sz w:val="24"/>
              </w:rPr>
              <w:t>el-Akkad SM, Amer MH, Lin GS, et al (1986). Pattern of cancer in Saudi Arabs referred to King Faisal Specialist Hospital. Cancer, 58(5): 1172-8.</w:t>
            </w:r>
          </w:p>
        </w:tc>
      </w:tr>
      <w:tr w:rsidR="00EF1E43" w:rsidRPr="00EF1E43" w14:paraId="67873E76" w14:textId="77777777" w:rsidTr="00CC61F1">
        <w:trPr>
          <w:cantSplit/>
        </w:trPr>
        <w:tc>
          <w:tcPr>
            <w:tcW w:w="1555" w:type="dxa"/>
            <w:shd w:val="clear" w:color="auto" w:fill="FFFFFF" w:themeFill="background1"/>
            <w:noWrap/>
            <w:vAlign w:val="center"/>
            <w:hideMark/>
          </w:tcPr>
          <w:p w14:paraId="6F2E9335" w14:textId="77777777" w:rsidR="00FF0F9B" w:rsidRPr="00EF1E43" w:rsidRDefault="00FF0F9B" w:rsidP="00374F41">
            <w:pPr>
              <w:jc w:val="center"/>
              <w:rPr>
                <w:sz w:val="24"/>
              </w:rPr>
            </w:pPr>
            <w:r w:rsidRPr="00EF1E43">
              <w:rPr>
                <w:sz w:val="24"/>
              </w:rPr>
              <w:t>4762</w:t>
            </w:r>
          </w:p>
        </w:tc>
        <w:tc>
          <w:tcPr>
            <w:tcW w:w="7371" w:type="dxa"/>
            <w:shd w:val="clear" w:color="auto" w:fill="FFFFFF" w:themeFill="background1"/>
            <w:vAlign w:val="center"/>
            <w:hideMark/>
          </w:tcPr>
          <w:p w14:paraId="68D25156" w14:textId="77777777" w:rsidR="00FF0F9B" w:rsidRPr="00EF1E43" w:rsidRDefault="00FF0F9B" w:rsidP="00374F41">
            <w:pPr>
              <w:rPr>
                <w:sz w:val="24"/>
              </w:rPr>
            </w:pPr>
            <w:r w:rsidRPr="00EF1E43">
              <w:rPr>
                <w:sz w:val="24"/>
              </w:rPr>
              <w:t>El-Gazayerli MM, Abdel-Aziz AS (1963). On Bilharziasis and male breast cancer in Egypt: A preliminary report and review of the literature. Br J Cancer, 17(4): 566-71.</w:t>
            </w:r>
          </w:p>
        </w:tc>
      </w:tr>
      <w:tr w:rsidR="00EF1E43" w:rsidRPr="00EF1E43" w14:paraId="2115AD2A" w14:textId="77777777" w:rsidTr="00CC61F1">
        <w:trPr>
          <w:cantSplit/>
        </w:trPr>
        <w:tc>
          <w:tcPr>
            <w:tcW w:w="1555" w:type="dxa"/>
            <w:shd w:val="clear" w:color="auto" w:fill="FFFFFF" w:themeFill="background1"/>
            <w:noWrap/>
            <w:vAlign w:val="center"/>
            <w:hideMark/>
          </w:tcPr>
          <w:p w14:paraId="4A741620" w14:textId="77777777" w:rsidR="00FF0F9B" w:rsidRPr="00EF1E43" w:rsidRDefault="00FF0F9B" w:rsidP="00374F41">
            <w:pPr>
              <w:jc w:val="center"/>
              <w:rPr>
                <w:sz w:val="24"/>
              </w:rPr>
            </w:pPr>
            <w:r w:rsidRPr="00EF1E43">
              <w:rPr>
                <w:sz w:val="24"/>
              </w:rPr>
              <w:t>35652</w:t>
            </w:r>
          </w:p>
        </w:tc>
        <w:tc>
          <w:tcPr>
            <w:tcW w:w="7371" w:type="dxa"/>
            <w:shd w:val="clear" w:color="auto" w:fill="FFFFFF" w:themeFill="background1"/>
            <w:vAlign w:val="center"/>
            <w:hideMark/>
          </w:tcPr>
          <w:p w14:paraId="62819A9F" w14:textId="77777777" w:rsidR="00FF0F9B" w:rsidRPr="00EF1E43" w:rsidRDefault="00FF0F9B" w:rsidP="00374F41">
            <w:pPr>
              <w:rPr>
                <w:sz w:val="24"/>
              </w:rPr>
            </w:pPr>
            <w:r w:rsidRPr="00EF1E43">
              <w:rPr>
                <w:sz w:val="24"/>
              </w:rPr>
              <w:t>Ellison RC, Zhang Y, McLennan CE, et al (2001). Exploring the relation of alcohol consumption to risk of breast cancer. Am J Epidemiol, 154(8): 740-7.</w:t>
            </w:r>
          </w:p>
        </w:tc>
      </w:tr>
      <w:tr w:rsidR="00EF1E43" w:rsidRPr="00EF1E43" w14:paraId="792C5E4E" w14:textId="77777777" w:rsidTr="00CC61F1">
        <w:trPr>
          <w:cantSplit/>
        </w:trPr>
        <w:tc>
          <w:tcPr>
            <w:tcW w:w="1555" w:type="dxa"/>
            <w:shd w:val="clear" w:color="auto" w:fill="FFFFFF" w:themeFill="background1"/>
            <w:noWrap/>
            <w:vAlign w:val="center"/>
            <w:hideMark/>
          </w:tcPr>
          <w:p w14:paraId="57A0F135" w14:textId="77777777" w:rsidR="00FF0F9B" w:rsidRPr="00EF1E43" w:rsidRDefault="00FF0F9B" w:rsidP="00374F41">
            <w:pPr>
              <w:jc w:val="center"/>
              <w:rPr>
                <w:sz w:val="24"/>
              </w:rPr>
            </w:pPr>
            <w:r w:rsidRPr="00EF1E43">
              <w:rPr>
                <w:sz w:val="24"/>
              </w:rPr>
              <w:lastRenderedPageBreak/>
              <w:t>85523</w:t>
            </w:r>
          </w:p>
        </w:tc>
        <w:tc>
          <w:tcPr>
            <w:tcW w:w="7371" w:type="dxa"/>
            <w:shd w:val="clear" w:color="auto" w:fill="FFFFFF" w:themeFill="background1"/>
            <w:vAlign w:val="center"/>
            <w:hideMark/>
          </w:tcPr>
          <w:p w14:paraId="54526CFF" w14:textId="77777777" w:rsidR="00FF0F9B" w:rsidRPr="00EF1E43" w:rsidRDefault="00FF0F9B" w:rsidP="00374F41">
            <w:pPr>
              <w:rPr>
                <w:sz w:val="24"/>
              </w:rPr>
            </w:pPr>
            <w:r w:rsidRPr="00EF1E43">
              <w:rPr>
                <w:sz w:val="24"/>
              </w:rPr>
              <w:t>ElShmay WM (2016). The protective effect of longer duration of breastfeeding against pregnancy-associated triple negative breast cancer. Oncotarget, 7(33): 53941-50.</w:t>
            </w:r>
          </w:p>
        </w:tc>
      </w:tr>
      <w:tr w:rsidR="00EF1E43" w:rsidRPr="00EF1E43" w14:paraId="214A9A3E" w14:textId="77777777" w:rsidTr="00CC61F1">
        <w:trPr>
          <w:cantSplit/>
        </w:trPr>
        <w:tc>
          <w:tcPr>
            <w:tcW w:w="1555" w:type="dxa"/>
            <w:shd w:val="clear" w:color="auto" w:fill="FFFFFF" w:themeFill="background1"/>
            <w:noWrap/>
            <w:vAlign w:val="center"/>
            <w:hideMark/>
          </w:tcPr>
          <w:p w14:paraId="362AD737" w14:textId="77777777" w:rsidR="00FF0F9B" w:rsidRPr="00EF1E43" w:rsidRDefault="00FF0F9B" w:rsidP="00374F41">
            <w:pPr>
              <w:jc w:val="center"/>
              <w:rPr>
                <w:sz w:val="24"/>
              </w:rPr>
            </w:pPr>
            <w:r w:rsidRPr="00EF1E43">
              <w:rPr>
                <w:sz w:val="24"/>
              </w:rPr>
              <w:t>35692</w:t>
            </w:r>
          </w:p>
        </w:tc>
        <w:tc>
          <w:tcPr>
            <w:tcW w:w="7371" w:type="dxa"/>
            <w:shd w:val="clear" w:color="auto" w:fill="FFFFFF" w:themeFill="background1"/>
            <w:vAlign w:val="center"/>
            <w:hideMark/>
          </w:tcPr>
          <w:p w14:paraId="248F1CA5" w14:textId="77777777" w:rsidR="00FF0F9B" w:rsidRPr="00EF1E43" w:rsidRDefault="00FF0F9B" w:rsidP="00374F41">
            <w:pPr>
              <w:rPr>
                <w:sz w:val="24"/>
              </w:rPr>
            </w:pPr>
            <w:r w:rsidRPr="00EF1E43">
              <w:rPr>
                <w:sz w:val="24"/>
              </w:rPr>
              <w:t>Elwood JM, Burton RC (2004). Passive smoking and breast cancer: is the evidence for cause now convincing? Med J Aust, 181(5): 236-7.</w:t>
            </w:r>
          </w:p>
        </w:tc>
      </w:tr>
      <w:tr w:rsidR="00EF1E43" w:rsidRPr="00EF1E43" w14:paraId="5FF644EB" w14:textId="77777777" w:rsidTr="00CC61F1">
        <w:trPr>
          <w:cantSplit/>
        </w:trPr>
        <w:tc>
          <w:tcPr>
            <w:tcW w:w="1555" w:type="dxa"/>
            <w:shd w:val="clear" w:color="auto" w:fill="FFFFFF" w:themeFill="background1"/>
            <w:noWrap/>
            <w:vAlign w:val="center"/>
            <w:hideMark/>
          </w:tcPr>
          <w:p w14:paraId="460C0E1F" w14:textId="77777777" w:rsidR="00FF0F9B" w:rsidRPr="00EF1E43" w:rsidRDefault="00FF0F9B" w:rsidP="00374F41">
            <w:pPr>
              <w:jc w:val="center"/>
              <w:rPr>
                <w:sz w:val="24"/>
              </w:rPr>
            </w:pPr>
            <w:r w:rsidRPr="00EF1E43">
              <w:rPr>
                <w:sz w:val="24"/>
              </w:rPr>
              <w:t>36904</w:t>
            </w:r>
          </w:p>
        </w:tc>
        <w:tc>
          <w:tcPr>
            <w:tcW w:w="7371" w:type="dxa"/>
            <w:shd w:val="clear" w:color="auto" w:fill="FFFFFF" w:themeFill="background1"/>
            <w:vAlign w:val="center"/>
            <w:hideMark/>
          </w:tcPr>
          <w:p w14:paraId="57868DAF" w14:textId="77777777" w:rsidR="00FF0F9B" w:rsidRPr="00EF1E43" w:rsidRDefault="00FF0F9B" w:rsidP="00374F41">
            <w:pPr>
              <w:rPr>
                <w:sz w:val="24"/>
              </w:rPr>
            </w:pPr>
            <w:r w:rsidRPr="00EF1E43">
              <w:rPr>
                <w:sz w:val="24"/>
              </w:rPr>
              <w:t>Enger SM, Ross RK, Paganini-Hill A, et al (2000). Body size, physical activity, and breast cancer hormone receptor status: results from two case-control studies. Cancer Epidemiol Biomarkers Prev, 9(7): 681-7.</w:t>
            </w:r>
          </w:p>
        </w:tc>
      </w:tr>
      <w:tr w:rsidR="00EF1E43" w:rsidRPr="00EF1E43" w14:paraId="4B3E3565" w14:textId="77777777" w:rsidTr="00CC61F1">
        <w:trPr>
          <w:cantSplit/>
        </w:trPr>
        <w:tc>
          <w:tcPr>
            <w:tcW w:w="1555" w:type="dxa"/>
            <w:shd w:val="clear" w:color="auto" w:fill="FFFFFF" w:themeFill="background1"/>
            <w:noWrap/>
            <w:vAlign w:val="center"/>
            <w:hideMark/>
          </w:tcPr>
          <w:p w14:paraId="05BEDD1E" w14:textId="77777777" w:rsidR="00FF0F9B" w:rsidRPr="00EF1E43" w:rsidRDefault="00FF0F9B" w:rsidP="00374F41">
            <w:pPr>
              <w:jc w:val="center"/>
              <w:rPr>
                <w:sz w:val="24"/>
              </w:rPr>
            </w:pPr>
            <w:r w:rsidRPr="00EF1E43">
              <w:rPr>
                <w:sz w:val="24"/>
              </w:rPr>
              <w:t>35609</w:t>
            </w:r>
          </w:p>
        </w:tc>
        <w:tc>
          <w:tcPr>
            <w:tcW w:w="7371" w:type="dxa"/>
            <w:shd w:val="clear" w:color="auto" w:fill="FFFFFF" w:themeFill="background1"/>
            <w:vAlign w:val="center"/>
            <w:hideMark/>
          </w:tcPr>
          <w:p w14:paraId="0635710A" w14:textId="77777777" w:rsidR="00FF0F9B" w:rsidRPr="00EF1E43" w:rsidRDefault="00FF0F9B" w:rsidP="00374F41">
            <w:pPr>
              <w:rPr>
                <w:sz w:val="24"/>
              </w:rPr>
            </w:pPr>
            <w:r w:rsidRPr="00EF1E43">
              <w:rPr>
                <w:sz w:val="24"/>
              </w:rPr>
              <w:t>Erren TC (2001). A meta-analysis of epidemiologic studies of electric and magnetic fields and breast cancer in women and men. Bioelectromagnetics, Supplement 5: S105-19.</w:t>
            </w:r>
          </w:p>
        </w:tc>
      </w:tr>
      <w:tr w:rsidR="00EF1E43" w:rsidRPr="00EF1E43" w14:paraId="3FED8F27" w14:textId="77777777" w:rsidTr="00CC61F1">
        <w:trPr>
          <w:cantSplit/>
        </w:trPr>
        <w:tc>
          <w:tcPr>
            <w:tcW w:w="1555" w:type="dxa"/>
            <w:shd w:val="clear" w:color="auto" w:fill="FFFFFF" w:themeFill="background1"/>
            <w:noWrap/>
            <w:vAlign w:val="center"/>
            <w:hideMark/>
          </w:tcPr>
          <w:p w14:paraId="2C933657" w14:textId="77777777" w:rsidR="00FF0F9B" w:rsidRPr="00EF1E43" w:rsidRDefault="00FF0F9B" w:rsidP="00374F41">
            <w:pPr>
              <w:jc w:val="center"/>
              <w:rPr>
                <w:sz w:val="24"/>
              </w:rPr>
            </w:pPr>
            <w:r w:rsidRPr="00EF1E43">
              <w:rPr>
                <w:sz w:val="24"/>
              </w:rPr>
              <w:t>35617</w:t>
            </w:r>
          </w:p>
        </w:tc>
        <w:tc>
          <w:tcPr>
            <w:tcW w:w="7371" w:type="dxa"/>
            <w:shd w:val="clear" w:color="auto" w:fill="FFFFFF" w:themeFill="background1"/>
            <w:vAlign w:val="center"/>
            <w:hideMark/>
          </w:tcPr>
          <w:p w14:paraId="2698687F" w14:textId="77777777" w:rsidR="00FF0F9B" w:rsidRPr="00EF1E43" w:rsidRDefault="00FF0F9B" w:rsidP="00374F41">
            <w:pPr>
              <w:rPr>
                <w:sz w:val="24"/>
              </w:rPr>
            </w:pPr>
            <w:r w:rsidRPr="00EF1E43">
              <w:rPr>
                <w:sz w:val="24"/>
              </w:rPr>
              <w:t>ESHRE Capri Workshop Group (2004). Hormones and breast cancer. Hum Reprod Update, 10(4): 281-93.</w:t>
            </w:r>
          </w:p>
        </w:tc>
      </w:tr>
      <w:tr w:rsidR="00EF1E43" w:rsidRPr="00EF1E43" w14:paraId="76F2B4E4" w14:textId="77777777" w:rsidTr="00CC61F1">
        <w:trPr>
          <w:cantSplit/>
        </w:trPr>
        <w:tc>
          <w:tcPr>
            <w:tcW w:w="1555" w:type="dxa"/>
            <w:shd w:val="clear" w:color="auto" w:fill="FFFFFF" w:themeFill="background1"/>
            <w:noWrap/>
            <w:vAlign w:val="center"/>
            <w:hideMark/>
          </w:tcPr>
          <w:p w14:paraId="17999BCB" w14:textId="77777777" w:rsidR="00FF0F9B" w:rsidRPr="00EF1E43" w:rsidRDefault="00FF0F9B" w:rsidP="00374F41">
            <w:pPr>
              <w:jc w:val="center"/>
              <w:rPr>
                <w:sz w:val="24"/>
              </w:rPr>
            </w:pPr>
            <w:r w:rsidRPr="00EF1E43">
              <w:rPr>
                <w:sz w:val="24"/>
              </w:rPr>
              <w:t>4770</w:t>
            </w:r>
          </w:p>
        </w:tc>
        <w:tc>
          <w:tcPr>
            <w:tcW w:w="7371" w:type="dxa"/>
            <w:shd w:val="clear" w:color="auto" w:fill="FFFFFF" w:themeFill="background1"/>
            <w:vAlign w:val="center"/>
            <w:hideMark/>
          </w:tcPr>
          <w:p w14:paraId="7AFA7F4D" w14:textId="77777777" w:rsidR="00FF0F9B" w:rsidRPr="00EF1E43" w:rsidRDefault="00FF0F9B" w:rsidP="00374F41">
            <w:pPr>
              <w:rPr>
                <w:sz w:val="24"/>
              </w:rPr>
            </w:pPr>
            <w:r w:rsidRPr="00EF1E43">
              <w:rPr>
                <w:sz w:val="24"/>
              </w:rPr>
              <w:t>Evans DB, Crichlow RW (1987). Carcinoma of the male breast and Klinefelter's syndrome: is there an association? CA Cancer J Clin, 37(4): 246-51.</w:t>
            </w:r>
          </w:p>
        </w:tc>
      </w:tr>
      <w:tr w:rsidR="00EF1E43" w:rsidRPr="00EF1E43" w14:paraId="4890BE04" w14:textId="77777777" w:rsidTr="00CC61F1">
        <w:trPr>
          <w:cantSplit/>
        </w:trPr>
        <w:tc>
          <w:tcPr>
            <w:tcW w:w="1555" w:type="dxa"/>
            <w:shd w:val="clear" w:color="auto" w:fill="FFFFFF" w:themeFill="background1"/>
            <w:noWrap/>
            <w:vAlign w:val="center"/>
            <w:hideMark/>
          </w:tcPr>
          <w:p w14:paraId="58127BD9" w14:textId="77777777" w:rsidR="00FF0F9B" w:rsidRPr="00EF1E43" w:rsidRDefault="00FF0F9B" w:rsidP="00374F41">
            <w:pPr>
              <w:jc w:val="center"/>
              <w:rPr>
                <w:sz w:val="24"/>
              </w:rPr>
            </w:pPr>
            <w:r w:rsidRPr="00EF1E43">
              <w:rPr>
                <w:sz w:val="24"/>
              </w:rPr>
              <w:t>9211</w:t>
            </w:r>
          </w:p>
        </w:tc>
        <w:tc>
          <w:tcPr>
            <w:tcW w:w="7371" w:type="dxa"/>
            <w:shd w:val="clear" w:color="auto" w:fill="FFFFFF" w:themeFill="background1"/>
            <w:vAlign w:val="center"/>
            <w:hideMark/>
          </w:tcPr>
          <w:p w14:paraId="582618C2" w14:textId="77777777" w:rsidR="00FF0F9B" w:rsidRPr="00EF1E43" w:rsidRDefault="00FF0F9B" w:rsidP="00374F41">
            <w:pPr>
              <w:rPr>
                <w:sz w:val="24"/>
              </w:rPr>
            </w:pPr>
            <w:r w:rsidRPr="00EF1E43">
              <w:rPr>
                <w:sz w:val="24"/>
              </w:rPr>
              <w:t>Ewertz M (1993). Breast cancer in Denmark: incidence, risk factors, and characteristics of survival. Acta Oncol, 32(6): 595-615.</w:t>
            </w:r>
          </w:p>
        </w:tc>
      </w:tr>
      <w:tr w:rsidR="00EF1E43" w:rsidRPr="00EF1E43" w14:paraId="67622EBB" w14:textId="77777777" w:rsidTr="00CC61F1">
        <w:trPr>
          <w:cantSplit/>
        </w:trPr>
        <w:tc>
          <w:tcPr>
            <w:tcW w:w="1555" w:type="dxa"/>
            <w:shd w:val="clear" w:color="auto" w:fill="FFFFFF" w:themeFill="background1"/>
            <w:noWrap/>
            <w:vAlign w:val="center"/>
            <w:hideMark/>
          </w:tcPr>
          <w:p w14:paraId="73D67CBC" w14:textId="77777777" w:rsidR="00FF0F9B" w:rsidRPr="00EF1E43" w:rsidRDefault="00FF0F9B" w:rsidP="00374F41">
            <w:pPr>
              <w:jc w:val="center"/>
              <w:rPr>
                <w:sz w:val="24"/>
              </w:rPr>
            </w:pPr>
            <w:r w:rsidRPr="00EF1E43">
              <w:rPr>
                <w:sz w:val="24"/>
              </w:rPr>
              <w:t>9212</w:t>
            </w:r>
          </w:p>
        </w:tc>
        <w:tc>
          <w:tcPr>
            <w:tcW w:w="7371" w:type="dxa"/>
            <w:shd w:val="clear" w:color="auto" w:fill="FFFFFF" w:themeFill="background1"/>
            <w:vAlign w:val="center"/>
            <w:hideMark/>
          </w:tcPr>
          <w:p w14:paraId="067C3DF9" w14:textId="77777777" w:rsidR="00FF0F9B" w:rsidRPr="00EF1E43" w:rsidRDefault="00FF0F9B" w:rsidP="00374F41">
            <w:pPr>
              <w:rPr>
                <w:sz w:val="24"/>
              </w:rPr>
            </w:pPr>
            <w:r w:rsidRPr="00EF1E43">
              <w:rPr>
                <w:sz w:val="24"/>
              </w:rPr>
              <w:t>Ewertz M (1996). Hormone therapy in the menopause and breast cancer risk--a review. Maturitas, 23(2): 241-6.</w:t>
            </w:r>
          </w:p>
        </w:tc>
      </w:tr>
      <w:tr w:rsidR="00EF1E43" w:rsidRPr="00EF1E43" w14:paraId="1A575923" w14:textId="77777777" w:rsidTr="00CC61F1">
        <w:trPr>
          <w:cantSplit/>
        </w:trPr>
        <w:tc>
          <w:tcPr>
            <w:tcW w:w="1555" w:type="dxa"/>
            <w:shd w:val="clear" w:color="auto" w:fill="FFFFFF" w:themeFill="background1"/>
            <w:noWrap/>
            <w:vAlign w:val="center"/>
            <w:hideMark/>
          </w:tcPr>
          <w:p w14:paraId="3CA79B65" w14:textId="77777777" w:rsidR="00FF0F9B" w:rsidRPr="00EF1E43" w:rsidRDefault="00FF0F9B" w:rsidP="00374F41">
            <w:pPr>
              <w:jc w:val="center"/>
              <w:rPr>
                <w:sz w:val="24"/>
              </w:rPr>
            </w:pPr>
            <w:r w:rsidRPr="00EF1E43">
              <w:rPr>
                <w:sz w:val="24"/>
              </w:rPr>
              <w:t>35682</w:t>
            </w:r>
          </w:p>
        </w:tc>
        <w:tc>
          <w:tcPr>
            <w:tcW w:w="7371" w:type="dxa"/>
            <w:shd w:val="clear" w:color="auto" w:fill="FFFFFF" w:themeFill="background1"/>
            <w:vAlign w:val="center"/>
            <w:hideMark/>
          </w:tcPr>
          <w:p w14:paraId="050134E8" w14:textId="77777777" w:rsidR="00FF0F9B" w:rsidRPr="00EF1E43" w:rsidRDefault="00FF0F9B" w:rsidP="00374F41">
            <w:pPr>
              <w:rPr>
                <w:sz w:val="24"/>
              </w:rPr>
            </w:pPr>
            <w:r w:rsidRPr="00EF1E43">
              <w:rPr>
                <w:sz w:val="24"/>
              </w:rPr>
              <w:t>Ewertz M, Holmberg L, Tretli S, et al (2001). Risk factors for male breast cancer--a case-control study from Scandinavia. Acta Oncol, 40(4): 467-71.</w:t>
            </w:r>
          </w:p>
        </w:tc>
      </w:tr>
      <w:tr w:rsidR="00EF1E43" w:rsidRPr="00EF1E43" w14:paraId="5F089F4A" w14:textId="77777777" w:rsidTr="00CC61F1">
        <w:trPr>
          <w:cantSplit/>
        </w:trPr>
        <w:tc>
          <w:tcPr>
            <w:tcW w:w="1555" w:type="dxa"/>
            <w:shd w:val="clear" w:color="auto" w:fill="FFFFFF" w:themeFill="background1"/>
            <w:noWrap/>
            <w:vAlign w:val="center"/>
            <w:hideMark/>
          </w:tcPr>
          <w:p w14:paraId="240357AD" w14:textId="77777777" w:rsidR="00FF0F9B" w:rsidRPr="00EF1E43" w:rsidRDefault="00FF0F9B" w:rsidP="00374F41">
            <w:pPr>
              <w:jc w:val="center"/>
              <w:rPr>
                <w:sz w:val="24"/>
              </w:rPr>
            </w:pPr>
            <w:r w:rsidRPr="00EF1E43">
              <w:rPr>
                <w:sz w:val="24"/>
              </w:rPr>
              <w:t>35722</w:t>
            </w:r>
          </w:p>
        </w:tc>
        <w:tc>
          <w:tcPr>
            <w:tcW w:w="7371" w:type="dxa"/>
            <w:shd w:val="clear" w:color="auto" w:fill="FFFFFF" w:themeFill="background1"/>
            <w:vAlign w:val="center"/>
            <w:hideMark/>
          </w:tcPr>
          <w:p w14:paraId="2F475806" w14:textId="77777777" w:rsidR="00FF0F9B" w:rsidRPr="00EF1E43" w:rsidRDefault="00FF0F9B" w:rsidP="00374F41">
            <w:pPr>
              <w:rPr>
                <w:sz w:val="24"/>
              </w:rPr>
            </w:pPr>
            <w:r w:rsidRPr="00EF1E43">
              <w:rPr>
                <w:sz w:val="24"/>
              </w:rPr>
              <w:t>Ewertz M, Mellemkjaer L, Poulsen AH, et al (2005). Hormone use for menopausal symptoms and risk of breast cancer. A Danish cohort study. Br J Cancer, 92(7): 1293-7.</w:t>
            </w:r>
          </w:p>
        </w:tc>
      </w:tr>
      <w:tr w:rsidR="00EF1E43" w:rsidRPr="00EF1E43" w14:paraId="28DC58C9" w14:textId="77777777" w:rsidTr="00CC61F1">
        <w:trPr>
          <w:cantSplit/>
        </w:trPr>
        <w:tc>
          <w:tcPr>
            <w:tcW w:w="1555" w:type="dxa"/>
            <w:shd w:val="clear" w:color="auto" w:fill="FFFFFF" w:themeFill="background1"/>
            <w:noWrap/>
            <w:vAlign w:val="center"/>
            <w:hideMark/>
          </w:tcPr>
          <w:p w14:paraId="68D3D42A" w14:textId="77777777" w:rsidR="00FF0F9B" w:rsidRPr="00EF1E43" w:rsidRDefault="00FF0F9B" w:rsidP="00374F41">
            <w:pPr>
              <w:jc w:val="center"/>
              <w:rPr>
                <w:sz w:val="24"/>
              </w:rPr>
            </w:pPr>
            <w:r w:rsidRPr="00EF1E43">
              <w:rPr>
                <w:sz w:val="24"/>
              </w:rPr>
              <w:t>100810</w:t>
            </w:r>
          </w:p>
        </w:tc>
        <w:tc>
          <w:tcPr>
            <w:tcW w:w="7371" w:type="dxa"/>
            <w:shd w:val="clear" w:color="auto" w:fill="FFFFFF" w:themeFill="background1"/>
            <w:vAlign w:val="center"/>
            <w:hideMark/>
          </w:tcPr>
          <w:p w14:paraId="217F39E2" w14:textId="77777777" w:rsidR="00FF0F9B" w:rsidRPr="00EF1E43" w:rsidRDefault="00FF0F9B" w:rsidP="00374F41">
            <w:pPr>
              <w:rPr>
                <w:sz w:val="24"/>
              </w:rPr>
            </w:pPr>
            <w:r w:rsidRPr="00EF1E43">
              <w:rPr>
                <w:sz w:val="24"/>
              </w:rPr>
              <w:t>Fabre A, Fournier A, Mesrine S, et al (2007). Oral progestagens before menopause and breast cancer risk. Br J Cancer, 96(5): 841-4.</w:t>
            </w:r>
          </w:p>
        </w:tc>
      </w:tr>
      <w:tr w:rsidR="00EF1E43" w:rsidRPr="00EF1E43" w14:paraId="770A5DC3" w14:textId="77777777" w:rsidTr="00CC61F1">
        <w:trPr>
          <w:cantSplit/>
        </w:trPr>
        <w:tc>
          <w:tcPr>
            <w:tcW w:w="1555" w:type="dxa"/>
            <w:shd w:val="clear" w:color="auto" w:fill="FFFFFF" w:themeFill="background1"/>
            <w:noWrap/>
            <w:vAlign w:val="center"/>
            <w:hideMark/>
          </w:tcPr>
          <w:p w14:paraId="2846EE03" w14:textId="77777777" w:rsidR="00FF0F9B" w:rsidRPr="00EF1E43" w:rsidRDefault="00FF0F9B" w:rsidP="00374F41">
            <w:pPr>
              <w:jc w:val="center"/>
              <w:rPr>
                <w:sz w:val="24"/>
              </w:rPr>
            </w:pPr>
            <w:r w:rsidRPr="00EF1E43">
              <w:rPr>
                <w:sz w:val="24"/>
              </w:rPr>
              <w:t>58626</w:t>
            </w:r>
          </w:p>
        </w:tc>
        <w:tc>
          <w:tcPr>
            <w:tcW w:w="7371" w:type="dxa"/>
            <w:shd w:val="clear" w:color="auto" w:fill="FFFFFF" w:themeFill="background1"/>
            <w:vAlign w:val="center"/>
            <w:hideMark/>
          </w:tcPr>
          <w:p w14:paraId="4425BE82" w14:textId="77777777" w:rsidR="00FF0F9B" w:rsidRPr="00EF1E43" w:rsidRDefault="00FF0F9B" w:rsidP="00374F41">
            <w:pPr>
              <w:rPr>
                <w:sz w:val="24"/>
              </w:rPr>
            </w:pPr>
            <w:r w:rsidRPr="00EF1E43">
              <w:rPr>
                <w:sz w:val="24"/>
              </w:rPr>
              <w:t>Fazel R, Krumholz HM, Wang Y, et al (2009). Exposure to low-dose ionizing radiation from medical imaging procedures. N Engl J Med, 361(9): 849-57.</w:t>
            </w:r>
          </w:p>
        </w:tc>
      </w:tr>
      <w:tr w:rsidR="00EF1E43" w:rsidRPr="00EF1E43" w14:paraId="124A51FA" w14:textId="77777777" w:rsidTr="00CC61F1">
        <w:trPr>
          <w:cantSplit/>
        </w:trPr>
        <w:tc>
          <w:tcPr>
            <w:tcW w:w="1555" w:type="dxa"/>
            <w:shd w:val="clear" w:color="auto" w:fill="FFFFFF" w:themeFill="background1"/>
            <w:noWrap/>
            <w:vAlign w:val="center"/>
            <w:hideMark/>
          </w:tcPr>
          <w:p w14:paraId="63BBE831" w14:textId="77777777" w:rsidR="00FF0F9B" w:rsidRPr="00EF1E43" w:rsidRDefault="00FF0F9B" w:rsidP="00374F41">
            <w:pPr>
              <w:jc w:val="center"/>
              <w:rPr>
                <w:sz w:val="24"/>
              </w:rPr>
            </w:pPr>
            <w:r w:rsidRPr="00EF1E43">
              <w:rPr>
                <w:sz w:val="24"/>
              </w:rPr>
              <w:t>71629</w:t>
            </w:r>
          </w:p>
        </w:tc>
        <w:tc>
          <w:tcPr>
            <w:tcW w:w="7371" w:type="dxa"/>
            <w:shd w:val="clear" w:color="auto" w:fill="FFFFFF" w:themeFill="background1"/>
            <w:vAlign w:val="center"/>
            <w:hideMark/>
          </w:tcPr>
          <w:p w14:paraId="3AC77E70" w14:textId="77777777" w:rsidR="00FF0F9B" w:rsidRPr="00EF1E43" w:rsidRDefault="00FF0F9B" w:rsidP="00374F41">
            <w:pPr>
              <w:rPr>
                <w:sz w:val="24"/>
              </w:rPr>
            </w:pPr>
            <w:r w:rsidRPr="00EF1E43">
              <w:rPr>
                <w:sz w:val="24"/>
              </w:rPr>
              <w:t>Fei C, Deroo LA, Sandler DP, et al (2012). Fertility drugs and young-onset breast cancer: results from the two sister study. J Natl Cancer Inst, 104(13): 1021-7.</w:t>
            </w:r>
          </w:p>
        </w:tc>
      </w:tr>
      <w:tr w:rsidR="00EF1E43" w:rsidRPr="00EF1E43" w14:paraId="6DD57134" w14:textId="77777777" w:rsidTr="00CC61F1">
        <w:trPr>
          <w:cantSplit/>
        </w:trPr>
        <w:tc>
          <w:tcPr>
            <w:tcW w:w="1555" w:type="dxa"/>
            <w:shd w:val="clear" w:color="auto" w:fill="FFFFFF" w:themeFill="background1"/>
            <w:noWrap/>
            <w:vAlign w:val="center"/>
            <w:hideMark/>
          </w:tcPr>
          <w:p w14:paraId="48379BA4" w14:textId="77777777" w:rsidR="00FF0F9B" w:rsidRPr="00EF1E43" w:rsidRDefault="00FF0F9B" w:rsidP="00374F41">
            <w:pPr>
              <w:jc w:val="center"/>
              <w:rPr>
                <w:sz w:val="24"/>
              </w:rPr>
            </w:pPr>
            <w:r w:rsidRPr="00EF1E43">
              <w:rPr>
                <w:sz w:val="24"/>
              </w:rPr>
              <w:t>35631</w:t>
            </w:r>
          </w:p>
        </w:tc>
        <w:tc>
          <w:tcPr>
            <w:tcW w:w="7371" w:type="dxa"/>
            <w:shd w:val="clear" w:color="auto" w:fill="FFFFFF" w:themeFill="background1"/>
            <w:vAlign w:val="center"/>
            <w:hideMark/>
          </w:tcPr>
          <w:p w14:paraId="185AC8C8" w14:textId="77777777" w:rsidR="00FF0F9B" w:rsidRPr="00EF1E43" w:rsidRDefault="00FF0F9B" w:rsidP="00374F41">
            <w:pPr>
              <w:rPr>
                <w:sz w:val="24"/>
              </w:rPr>
            </w:pPr>
            <w:r w:rsidRPr="00EF1E43">
              <w:rPr>
                <w:sz w:val="24"/>
              </w:rPr>
              <w:t>Feigelson HS, Calle EE, Robertson AS, et al (2001). Alcohol consumption increases the risk of fatal breast cancer (United States). Cancer Causes Control, 12(10): 895-902.</w:t>
            </w:r>
          </w:p>
        </w:tc>
      </w:tr>
      <w:tr w:rsidR="00EF1E43" w:rsidRPr="00EF1E43" w14:paraId="14C7BEAF" w14:textId="77777777" w:rsidTr="00CC61F1">
        <w:trPr>
          <w:cantSplit/>
        </w:trPr>
        <w:tc>
          <w:tcPr>
            <w:tcW w:w="1555" w:type="dxa"/>
            <w:shd w:val="clear" w:color="auto" w:fill="FFFFFF" w:themeFill="background1"/>
            <w:noWrap/>
            <w:vAlign w:val="center"/>
            <w:hideMark/>
          </w:tcPr>
          <w:p w14:paraId="3064BBD9" w14:textId="77777777" w:rsidR="00FF0F9B" w:rsidRPr="00EF1E43" w:rsidRDefault="00FF0F9B" w:rsidP="00374F41">
            <w:pPr>
              <w:jc w:val="center"/>
              <w:rPr>
                <w:sz w:val="24"/>
              </w:rPr>
            </w:pPr>
            <w:r w:rsidRPr="00EF1E43">
              <w:rPr>
                <w:sz w:val="24"/>
              </w:rPr>
              <w:t>35642</w:t>
            </w:r>
          </w:p>
        </w:tc>
        <w:tc>
          <w:tcPr>
            <w:tcW w:w="7371" w:type="dxa"/>
            <w:shd w:val="clear" w:color="auto" w:fill="FFFFFF" w:themeFill="background1"/>
            <w:vAlign w:val="center"/>
            <w:hideMark/>
          </w:tcPr>
          <w:p w14:paraId="2387334C" w14:textId="77777777" w:rsidR="00FF0F9B" w:rsidRPr="00EF1E43" w:rsidRDefault="00FF0F9B" w:rsidP="00374F41">
            <w:pPr>
              <w:rPr>
                <w:sz w:val="24"/>
              </w:rPr>
            </w:pPr>
            <w:r w:rsidRPr="00EF1E43">
              <w:rPr>
                <w:sz w:val="24"/>
              </w:rPr>
              <w:t>Feigelson HS, Jonas CR, Robertson AS, et al (2003). Alcohol, folate, methionine, and risk of incident breast cancer in the American Cancer Society Cancer Prevention Study II Nutrition Cohort. Cancer Epidemiol Biomarkers Prev, 12(2): 161-4.</w:t>
            </w:r>
          </w:p>
        </w:tc>
      </w:tr>
      <w:tr w:rsidR="00EF1E43" w:rsidRPr="00EF1E43" w14:paraId="2062CA3C" w14:textId="77777777" w:rsidTr="00CC61F1">
        <w:trPr>
          <w:cantSplit/>
        </w:trPr>
        <w:tc>
          <w:tcPr>
            <w:tcW w:w="1555" w:type="dxa"/>
            <w:shd w:val="clear" w:color="auto" w:fill="FFFFFF" w:themeFill="background1"/>
            <w:noWrap/>
            <w:vAlign w:val="center"/>
            <w:hideMark/>
          </w:tcPr>
          <w:p w14:paraId="4DEAEB68" w14:textId="77777777" w:rsidR="00FF0F9B" w:rsidRPr="00EF1E43" w:rsidRDefault="00FF0F9B" w:rsidP="00374F41">
            <w:pPr>
              <w:jc w:val="center"/>
              <w:rPr>
                <w:sz w:val="24"/>
              </w:rPr>
            </w:pPr>
            <w:r w:rsidRPr="00EF1E43">
              <w:rPr>
                <w:sz w:val="24"/>
              </w:rPr>
              <w:t>38249</w:t>
            </w:r>
          </w:p>
        </w:tc>
        <w:tc>
          <w:tcPr>
            <w:tcW w:w="7371" w:type="dxa"/>
            <w:shd w:val="clear" w:color="auto" w:fill="FFFFFF" w:themeFill="background1"/>
            <w:vAlign w:val="center"/>
            <w:hideMark/>
          </w:tcPr>
          <w:p w14:paraId="4855D896" w14:textId="77777777" w:rsidR="00FF0F9B" w:rsidRPr="00EF1E43" w:rsidRDefault="00FF0F9B" w:rsidP="00374F41">
            <w:pPr>
              <w:rPr>
                <w:sz w:val="24"/>
              </w:rPr>
            </w:pPr>
            <w:r w:rsidRPr="00EF1E43">
              <w:rPr>
                <w:sz w:val="24"/>
              </w:rPr>
              <w:t>Fentiman IS, Fourquet A, Hortobagyi GN (2006). Male breast cancer. Lancet, 367(9510): 595-604.</w:t>
            </w:r>
          </w:p>
        </w:tc>
      </w:tr>
      <w:tr w:rsidR="00EF1E43" w:rsidRPr="00EF1E43" w14:paraId="3173DB96" w14:textId="77777777" w:rsidTr="00CC61F1">
        <w:trPr>
          <w:cantSplit/>
        </w:trPr>
        <w:tc>
          <w:tcPr>
            <w:tcW w:w="1555" w:type="dxa"/>
            <w:shd w:val="clear" w:color="auto" w:fill="FFFFFF" w:themeFill="background1"/>
            <w:noWrap/>
            <w:vAlign w:val="center"/>
            <w:hideMark/>
          </w:tcPr>
          <w:p w14:paraId="08F52E2D" w14:textId="77777777" w:rsidR="00FF0F9B" w:rsidRPr="00EF1E43" w:rsidRDefault="00FF0F9B" w:rsidP="00374F41">
            <w:pPr>
              <w:jc w:val="center"/>
              <w:rPr>
                <w:sz w:val="24"/>
              </w:rPr>
            </w:pPr>
            <w:r w:rsidRPr="00EF1E43">
              <w:rPr>
                <w:sz w:val="24"/>
              </w:rPr>
              <w:t>35660</w:t>
            </w:r>
          </w:p>
        </w:tc>
        <w:tc>
          <w:tcPr>
            <w:tcW w:w="7371" w:type="dxa"/>
            <w:shd w:val="clear" w:color="auto" w:fill="FFFFFF" w:themeFill="background1"/>
            <w:vAlign w:val="center"/>
            <w:hideMark/>
          </w:tcPr>
          <w:p w14:paraId="40F927AC" w14:textId="77777777" w:rsidR="00FF0F9B" w:rsidRPr="00EF1E43" w:rsidRDefault="00FF0F9B" w:rsidP="00374F41">
            <w:pPr>
              <w:rPr>
                <w:sz w:val="24"/>
              </w:rPr>
            </w:pPr>
            <w:r w:rsidRPr="00EF1E43">
              <w:rPr>
                <w:sz w:val="24"/>
              </w:rPr>
              <w:t>Ferraroni M, Decarli A, Franceschi S, et al (1998). Alcohol consumption and risk of breast cancer: a multicentre Italian case-control study. Eur J Cancer, 34(9): 1403-9.</w:t>
            </w:r>
          </w:p>
        </w:tc>
      </w:tr>
      <w:tr w:rsidR="00EF1E43" w:rsidRPr="00EF1E43" w14:paraId="0962083A" w14:textId="77777777" w:rsidTr="00CC61F1">
        <w:trPr>
          <w:cantSplit/>
        </w:trPr>
        <w:tc>
          <w:tcPr>
            <w:tcW w:w="1555" w:type="dxa"/>
            <w:shd w:val="clear" w:color="auto" w:fill="FFFFFF" w:themeFill="background1"/>
            <w:noWrap/>
            <w:vAlign w:val="center"/>
            <w:hideMark/>
          </w:tcPr>
          <w:p w14:paraId="44BBC4C3" w14:textId="77777777" w:rsidR="00FF0F9B" w:rsidRPr="00EF1E43" w:rsidRDefault="00FF0F9B" w:rsidP="00374F41">
            <w:pPr>
              <w:jc w:val="center"/>
              <w:rPr>
                <w:sz w:val="24"/>
              </w:rPr>
            </w:pPr>
            <w:r w:rsidRPr="00EF1E43">
              <w:rPr>
                <w:sz w:val="24"/>
              </w:rPr>
              <w:lastRenderedPageBreak/>
              <w:t>9213</w:t>
            </w:r>
          </w:p>
        </w:tc>
        <w:tc>
          <w:tcPr>
            <w:tcW w:w="7371" w:type="dxa"/>
            <w:shd w:val="clear" w:color="auto" w:fill="FFFFFF" w:themeFill="background1"/>
            <w:vAlign w:val="center"/>
            <w:hideMark/>
          </w:tcPr>
          <w:p w14:paraId="72783A50" w14:textId="77777777" w:rsidR="00FF0F9B" w:rsidRPr="00EF1E43" w:rsidRDefault="00FF0F9B" w:rsidP="00374F41">
            <w:pPr>
              <w:rPr>
                <w:sz w:val="24"/>
              </w:rPr>
            </w:pPr>
            <w:r w:rsidRPr="00EF1E43">
              <w:rPr>
                <w:sz w:val="24"/>
              </w:rPr>
              <w:t>Field NA, Baptiste MS, Nasca PC, et al (1992). Cigarette smoking and breast cancer. Int J Epidemiol, 21(5): 842-8.</w:t>
            </w:r>
          </w:p>
        </w:tc>
      </w:tr>
      <w:tr w:rsidR="00EF1E43" w:rsidRPr="00EF1E43" w14:paraId="1E519EC3" w14:textId="77777777" w:rsidTr="00CC61F1">
        <w:trPr>
          <w:cantSplit/>
        </w:trPr>
        <w:tc>
          <w:tcPr>
            <w:tcW w:w="1555" w:type="dxa"/>
            <w:shd w:val="clear" w:color="auto" w:fill="FFFFFF" w:themeFill="background1"/>
            <w:noWrap/>
            <w:vAlign w:val="center"/>
            <w:hideMark/>
          </w:tcPr>
          <w:p w14:paraId="10E2419C" w14:textId="77777777" w:rsidR="00FF0F9B" w:rsidRPr="00EF1E43" w:rsidRDefault="00FF0F9B" w:rsidP="00374F41">
            <w:pPr>
              <w:jc w:val="center"/>
              <w:rPr>
                <w:sz w:val="24"/>
              </w:rPr>
            </w:pPr>
            <w:r w:rsidRPr="00EF1E43">
              <w:rPr>
                <w:sz w:val="24"/>
              </w:rPr>
              <w:t>35675</w:t>
            </w:r>
          </w:p>
        </w:tc>
        <w:tc>
          <w:tcPr>
            <w:tcW w:w="7371" w:type="dxa"/>
            <w:shd w:val="clear" w:color="auto" w:fill="FFFFFF" w:themeFill="background1"/>
            <w:vAlign w:val="center"/>
            <w:hideMark/>
          </w:tcPr>
          <w:p w14:paraId="52FBBB69" w14:textId="77777777" w:rsidR="00FF0F9B" w:rsidRPr="00EF1E43" w:rsidRDefault="00FF0F9B" w:rsidP="00374F41">
            <w:pPr>
              <w:rPr>
                <w:sz w:val="24"/>
              </w:rPr>
            </w:pPr>
            <w:r w:rsidRPr="00EF1E43">
              <w:rPr>
                <w:sz w:val="24"/>
              </w:rPr>
              <w:t>Fink AK, Lash TL (2003). A null association between smoking during pregnancy and breast cancer using Massachusetts registry data (United States). Cancer Causes Control, 14(5): 497-503.</w:t>
            </w:r>
          </w:p>
        </w:tc>
      </w:tr>
      <w:tr w:rsidR="00EF1E43" w:rsidRPr="00EF1E43" w14:paraId="77E97A45" w14:textId="77777777" w:rsidTr="00CC61F1">
        <w:trPr>
          <w:cantSplit/>
        </w:trPr>
        <w:tc>
          <w:tcPr>
            <w:tcW w:w="1555" w:type="dxa"/>
            <w:shd w:val="clear" w:color="auto" w:fill="FFFFFF" w:themeFill="background1"/>
            <w:noWrap/>
            <w:vAlign w:val="center"/>
            <w:hideMark/>
          </w:tcPr>
          <w:p w14:paraId="3C445CBB" w14:textId="77777777" w:rsidR="00FF0F9B" w:rsidRPr="00EF1E43" w:rsidRDefault="00FF0F9B" w:rsidP="00374F41">
            <w:pPr>
              <w:jc w:val="center"/>
              <w:rPr>
                <w:sz w:val="24"/>
              </w:rPr>
            </w:pPr>
            <w:r w:rsidRPr="00EF1E43">
              <w:rPr>
                <w:sz w:val="24"/>
              </w:rPr>
              <w:t>37119</w:t>
            </w:r>
          </w:p>
        </w:tc>
        <w:tc>
          <w:tcPr>
            <w:tcW w:w="7371" w:type="dxa"/>
            <w:shd w:val="clear" w:color="auto" w:fill="FFFFFF" w:themeFill="background1"/>
            <w:vAlign w:val="center"/>
            <w:hideMark/>
          </w:tcPr>
          <w:p w14:paraId="25A64D20" w14:textId="77777777" w:rsidR="00FF0F9B" w:rsidRPr="00EF1E43" w:rsidRDefault="00FF0F9B" w:rsidP="00374F41">
            <w:pPr>
              <w:rPr>
                <w:sz w:val="24"/>
              </w:rPr>
            </w:pPr>
            <w:r w:rsidRPr="00EF1E43">
              <w:rPr>
                <w:sz w:val="24"/>
              </w:rPr>
              <w:t>Fioretti F, Tavani A, Bosetti C, et al (1999). Risk factors for breast cancer in nulliparous women. Br J Cancer, 79(11-12): 1923-8.</w:t>
            </w:r>
          </w:p>
        </w:tc>
      </w:tr>
      <w:tr w:rsidR="00EF1E43" w:rsidRPr="00EF1E43" w14:paraId="28A6D9DC" w14:textId="77777777" w:rsidTr="00CC61F1">
        <w:trPr>
          <w:cantSplit/>
        </w:trPr>
        <w:tc>
          <w:tcPr>
            <w:tcW w:w="1555" w:type="dxa"/>
            <w:shd w:val="clear" w:color="auto" w:fill="FFFFFF" w:themeFill="background1"/>
            <w:noWrap/>
            <w:vAlign w:val="center"/>
            <w:hideMark/>
          </w:tcPr>
          <w:p w14:paraId="5304AB5E" w14:textId="77777777" w:rsidR="00FF0F9B" w:rsidRPr="00EF1E43" w:rsidRDefault="00FF0F9B" w:rsidP="00374F41">
            <w:pPr>
              <w:jc w:val="center"/>
              <w:rPr>
                <w:sz w:val="24"/>
              </w:rPr>
            </w:pPr>
            <w:r w:rsidRPr="00EF1E43">
              <w:rPr>
                <w:sz w:val="24"/>
              </w:rPr>
              <w:t>35605</w:t>
            </w:r>
          </w:p>
        </w:tc>
        <w:tc>
          <w:tcPr>
            <w:tcW w:w="7371" w:type="dxa"/>
            <w:shd w:val="clear" w:color="auto" w:fill="FFFFFF" w:themeFill="background1"/>
            <w:vAlign w:val="center"/>
            <w:hideMark/>
          </w:tcPr>
          <w:p w14:paraId="752F0A30" w14:textId="77777777" w:rsidR="00FF0F9B" w:rsidRPr="00EF1E43" w:rsidRDefault="00FF0F9B" w:rsidP="00374F41">
            <w:pPr>
              <w:rPr>
                <w:sz w:val="24"/>
              </w:rPr>
            </w:pPr>
            <w:r w:rsidRPr="00EF1E43">
              <w:rPr>
                <w:sz w:val="24"/>
              </w:rPr>
              <w:t>Forssen UM, Rutqvist LE, Ahlbom A, et al (2004). Occupational magnetic fields and female breast cancer: a case-control study using Swedish population registers and new exposure data. Am J Epidemiol, 161(3): 250-9.</w:t>
            </w:r>
          </w:p>
        </w:tc>
      </w:tr>
      <w:tr w:rsidR="00EF1E43" w:rsidRPr="00EF1E43" w14:paraId="053E526B" w14:textId="77777777" w:rsidTr="00CC61F1">
        <w:trPr>
          <w:cantSplit/>
        </w:trPr>
        <w:tc>
          <w:tcPr>
            <w:tcW w:w="1555" w:type="dxa"/>
            <w:shd w:val="clear" w:color="auto" w:fill="FFFFFF" w:themeFill="background1"/>
            <w:noWrap/>
            <w:vAlign w:val="center"/>
            <w:hideMark/>
          </w:tcPr>
          <w:p w14:paraId="2400A1AB" w14:textId="77777777" w:rsidR="00FF0F9B" w:rsidRPr="00EF1E43" w:rsidRDefault="00FF0F9B" w:rsidP="00374F41">
            <w:pPr>
              <w:jc w:val="center"/>
              <w:rPr>
                <w:sz w:val="24"/>
              </w:rPr>
            </w:pPr>
            <w:r w:rsidRPr="00EF1E43">
              <w:rPr>
                <w:sz w:val="24"/>
              </w:rPr>
              <w:t>35665</w:t>
            </w:r>
          </w:p>
        </w:tc>
        <w:tc>
          <w:tcPr>
            <w:tcW w:w="7371" w:type="dxa"/>
            <w:shd w:val="clear" w:color="auto" w:fill="FFFFFF" w:themeFill="background1"/>
            <w:vAlign w:val="center"/>
            <w:hideMark/>
          </w:tcPr>
          <w:p w14:paraId="4746E14E" w14:textId="77777777" w:rsidR="00FF0F9B" w:rsidRPr="00EF1E43" w:rsidRDefault="00FF0F9B" w:rsidP="00374F41">
            <w:pPr>
              <w:rPr>
                <w:sz w:val="24"/>
              </w:rPr>
            </w:pPr>
            <w:r w:rsidRPr="00EF1E43">
              <w:rPr>
                <w:sz w:val="24"/>
              </w:rPr>
              <w:t>Fournier A, Berrino F, Riboli E, et al (2005). Breast cancer risk in relation to different types of hormone replacement therapy in the E3N-EPIC cohort. Int J Cancer, 114(3): 448-54.</w:t>
            </w:r>
          </w:p>
        </w:tc>
      </w:tr>
      <w:tr w:rsidR="00EF1E43" w:rsidRPr="00EF1E43" w14:paraId="4CCDC5E5" w14:textId="77777777" w:rsidTr="00CC61F1">
        <w:trPr>
          <w:cantSplit/>
        </w:trPr>
        <w:tc>
          <w:tcPr>
            <w:tcW w:w="1555" w:type="dxa"/>
            <w:shd w:val="clear" w:color="auto" w:fill="FFFFFF" w:themeFill="background1"/>
            <w:noWrap/>
            <w:vAlign w:val="center"/>
            <w:hideMark/>
          </w:tcPr>
          <w:p w14:paraId="42EC879F" w14:textId="77777777" w:rsidR="00FF0F9B" w:rsidRPr="00EF1E43" w:rsidRDefault="00FF0F9B" w:rsidP="00374F41">
            <w:pPr>
              <w:jc w:val="center"/>
              <w:rPr>
                <w:sz w:val="24"/>
              </w:rPr>
            </w:pPr>
            <w:r w:rsidRPr="00EF1E43">
              <w:rPr>
                <w:sz w:val="24"/>
              </w:rPr>
              <w:t>9214</w:t>
            </w:r>
          </w:p>
        </w:tc>
        <w:tc>
          <w:tcPr>
            <w:tcW w:w="7371" w:type="dxa"/>
            <w:shd w:val="clear" w:color="auto" w:fill="FFFFFF" w:themeFill="background1"/>
            <w:vAlign w:val="center"/>
            <w:hideMark/>
          </w:tcPr>
          <w:p w14:paraId="071BB3CF" w14:textId="77777777" w:rsidR="00FF0F9B" w:rsidRPr="00EF1E43" w:rsidRDefault="00FF0F9B" w:rsidP="00374F41">
            <w:pPr>
              <w:rPr>
                <w:sz w:val="24"/>
              </w:rPr>
            </w:pPr>
            <w:r w:rsidRPr="00EF1E43">
              <w:rPr>
                <w:sz w:val="24"/>
              </w:rPr>
              <w:t>Franceschi S, Favero A, Decarli A, et al (1996). Intake of macronutrients and risk of breast cancer. Lancet, 347(9012): 1351-6.</w:t>
            </w:r>
          </w:p>
        </w:tc>
      </w:tr>
      <w:tr w:rsidR="00EF1E43" w:rsidRPr="00EF1E43" w14:paraId="3D4622CF" w14:textId="77777777" w:rsidTr="00CC61F1">
        <w:trPr>
          <w:cantSplit/>
        </w:trPr>
        <w:tc>
          <w:tcPr>
            <w:tcW w:w="1555" w:type="dxa"/>
            <w:shd w:val="clear" w:color="auto" w:fill="FFFFFF" w:themeFill="background1"/>
            <w:noWrap/>
            <w:vAlign w:val="center"/>
            <w:hideMark/>
          </w:tcPr>
          <w:p w14:paraId="0D2DB6CA" w14:textId="77777777" w:rsidR="00FF0F9B" w:rsidRPr="00EF1E43" w:rsidRDefault="00FF0F9B" w:rsidP="00374F41">
            <w:pPr>
              <w:jc w:val="center"/>
              <w:rPr>
                <w:sz w:val="24"/>
              </w:rPr>
            </w:pPr>
            <w:r w:rsidRPr="00EF1E43">
              <w:rPr>
                <w:sz w:val="24"/>
              </w:rPr>
              <w:t>9215</w:t>
            </w:r>
          </w:p>
        </w:tc>
        <w:tc>
          <w:tcPr>
            <w:tcW w:w="7371" w:type="dxa"/>
            <w:shd w:val="clear" w:color="auto" w:fill="FFFFFF" w:themeFill="background1"/>
            <w:vAlign w:val="center"/>
            <w:hideMark/>
          </w:tcPr>
          <w:p w14:paraId="2DCA19A2" w14:textId="77777777" w:rsidR="00FF0F9B" w:rsidRPr="00EF1E43" w:rsidRDefault="00FF0F9B" w:rsidP="00374F41">
            <w:pPr>
              <w:rPr>
                <w:sz w:val="24"/>
              </w:rPr>
            </w:pPr>
            <w:r w:rsidRPr="00EF1E43">
              <w:rPr>
                <w:sz w:val="24"/>
              </w:rPr>
              <w:t>Franceschi S, Favero A, La Vecchia C, et al (1996). Body size indices and breast cancer risk before and after menopause. Int J Cancer, 67(2): 181-6.</w:t>
            </w:r>
          </w:p>
        </w:tc>
      </w:tr>
      <w:tr w:rsidR="00EF1E43" w:rsidRPr="00EF1E43" w14:paraId="30429CF6" w14:textId="77777777" w:rsidTr="00CC61F1">
        <w:trPr>
          <w:cantSplit/>
        </w:trPr>
        <w:tc>
          <w:tcPr>
            <w:tcW w:w="1555" w:type="dxa"/>
            <w:shd w:val="clear" w:color="auto" w:fill="FFFFFF" w:themeFill="background1"/>
            <w:noWrap/>
            <w:vAlign w:val="center"/>
            <w:hideMark/>
          </w:tcPr>
          <w:p w14:paraId="46B23990" w14:textId="77777777" w:rsidR="00FF0F9B" w:rsidRPr="00EF1E43" w:rsidRDefault="00FF0F9B" w:rsidP="00374F41">
            <w:pPr>
              <w:jc w:val="center"/>
              <w:rPr>
                <w:sz w:val="24"/>
              </w:rPr>
            </w:pPr>
            <w:r w:rsidRPr="00EF1E43">
              <w:rPr>
                <w:sz w:val="24"/>
              </w:rPr>
              <w:t>36018</w:t>
            </w:r>
          </w:p>
        </w:tc>
        <w:tc>
          <w:tcPr>
            <w:tcW w:w="7371" w:type="dxa"/>
            <w:shd w:val="clear" w:color="auto" w:fill="FFFFFF" w:themeFill="background1"/>
            <w:vAlign w:val="center"/>
            <w:hideMark/>
          </w:tcPr>
          <w:p w14:paraId="3E572566" w14:textId="77777777" w:rsidR="00FF0F9B" w:rsidRPr="00EF1E43" w:rsidRDefault="00FF0F9B" w:rsidP="00374F41">
            <w:pPr>
              <w:rPr>
                <w:sz w:val="24"/>
              </w:rPr>
            </w:pPr>
            <w:r w:rsidRPr="00EF1E43">
              <w:rPr>
                <w:sz w:val="24"/>
              </w:rPr>
              <w:t>Freudenheim JL, Marshall JR, Graham S, et al (1995). Lifetime alcohol consumption and risk of breast cancer. Nutr Cancer, 23(1): 1-11.</w:t>
            </w:r>
          </w:p>
        </w:tc>
      </w:tr>
      <w:tr w:rsidR="00EF1E43" w:rsidRPr="00EF1E43" w14:paraId="7BD5EF9B" w14:textId="77777777" w:rsidTr="00CC61F1">
        <w:trPr>
          <w:cantSplit/>
        </w:trPr>
        <w:tc>
          <w:tcPr>
            <w:tcW w:w="1555" w:type="dxa"/>
            <w:shd w:val="clear" w:color="auto" w:fill="FFFFFF" w:themeFill="background1"/>
            <w:noWrap/>
            <w:vAlign w:val="center"/>
            <w:hideMark/>
          </w:tcPr>
          <w:p w14:paraId="068C5A38" w14:textId="77777777" w:rsidR="00FF0F9B" w:rsidRPr="00EF1E43" w:rsidRDefault="00FF0F9B" w:rsidP="00374F41">
            <w:pPr>
              <w:jc w:val="center"/>
              <w:rPr>
                <w:sz w:val="24"/>
              </w:rPr>
            </w:pPr>
            <w:r w:rsidRPr="00EF1E43">
              <w:rPr>
                <w:sz w:val="24"/>
              </w:rPr>
              <w:t>37184</w:t>
            </w:r>
          </w:p>
        </w:tc>
        <w:tc>
          <w:tcPr>
            <w:tcW w:w="7371" w:type="dxa"/>
            <w:shd w:val="clear" w:color="auto" w:fill="FFFFFF" w:themeFill="background1"/>
            <w:vAlign w:val="center"/>
            <w:hideMark/>
          </w:tcPr>
          <w:p w14:paraId="516DC972" w14:textId="77777777" w:rsidR="00FF0F9B" w:rsidRPr="00EF1E43" w:rsidRDefault="00FF0F9B" w:rsidP="00374F41">
            <w:pPr>
              <w:rPr>
                <w:sz w:val="24"/>
              </w:rPr>
            </w:pPr>
            <w:r w:rsidRPr="00EF1E43">
              <w:rPr>
                <w:sz w:val="24"/>
              </w:rPr>
              <w:t>Friedenreich CM (2001). Review of anthropometric factors and breast cancer risk. Eur J Cancer Prev, 10(1): 15-32.</w:t>
            </w:r>
          </w:p>
        </w:tc>
      </w:tr>
      <w:tr w:rsidR="00EF1E43" w:rsidRPr="00EF1E43" w14:paraId="79455C4C" w14:textId="77777777" w:rsidTr="00CC61F1">
        <w:trPr>
          <w:cantSplit/>
        </w:trPr>
        <w:tc>
          <w:tcPr>
            <w:tcW w:w="1555" w:type="dxa"/>
            <w:shd w:val="clear" w:color="auto" w:fill="FFFFFF" w:themeFill="background1"/>
            <w:noWrap/>
            <w:vAlign w:val="center"/>
            <w:hideMark/>
          </w:tcPr>
          <w:p w14:paraId="5955FB4D" w14:textId="77777777" w:rsidR="00FF0F9B" w:rsidRPr="00EF1E43" w:rsidRDefault="00FF0F9B" w:rsidP="00374F41">
            <w:pPr>
              <w:jc w:val="center"/>
              <w:rPr>
                <w:sz w:val="24"/>
              </w:rPr>
            </w:pPr>
            <w:r w:rsidRPr="00EF1E43">
              <w:rPr>
                <w:sz w:val="24"/>
              </w:rPr>
              <w:t>37528</w:t>
            </w:r>
          </w:p>
        </w:tc>
        <w:tc>
          <w:tcPr>
            <w:tcW w:w="7371" w:type="dxa"/>
            <w:shd w:val="clear" w:color="auto" w:fill="FFFFFF" w:themeFill="background1"/>
            <w:vAlign w:val="center"/>
            <w:hideMark/>
          </w:tcPr>
          <w:p w14:paraId="5296ABB0" w14:textId="77777777" w:rsidR="00FF0F9B" w:rsidRPr="00EF1E43" w:rsidRDefault="00FF0F9B" w:rsidP="00374F41">
            <w:pPr>
              <w:rPr>
                <w:sz w:val="24"/>
              </w:rPr>
            </w:pPr>
            <w:r w:rsidRPr="00EF1E43">
              <w:rPr>
                <w:sz w:val="24"/>
              </w:rPr>
              <w:t>Friedenreich CM (2004). Physical activity and breast cancer risk: the effect of menopausal status. Exerc Sport Sci Rev, 32(4): 180-4.</w:t>
            </w:r>
          </w:p>
        </w:tc>
      </w:tr>
      <w:tr w:rsidR="00EF1E43" w:rsidRPr="00EF1E43" w14:paraId="7CEE08F6" w14:textId="77777777" w:rsidTr="00CC61F1">
        <w:trPr>
          <w:cantSplit/>
        </w:trPr>
        <w:tc>
          <w:tcPr>
            <w:tcW w:w="1555" w:type="dxa"/>
            <w:shd w:val="clear" w:color="auto" w:fill="FFFFFF" w:themeFill="background1"/>
            <w:noWrap/>
            <w:vAlign w:val="center"/>
            <w:hideMark/>
          </w:tcPr>
          <w:p w14:paraId="74F2B5E2" w14:textId="77777777" w:rsidR="00FF0F9B" w:rsidRPr="00EF1E43" w:rsidRDefault="00FF0F9B" w:rsidP="00374F41">
            <w:pPr>
              <w:jc w:val="center"/>
              <w:rPr>
                <w:sz w:val="24"/>
              </w:rPr>
            </w:pPr>
            <w:r w:rsidRPr="00EF1E43">
              <w:rPr>
                <w:sz w:val="24"/>
              </w:rPr>
              <w:t>71707</w:t>
            </w:r>
          </w:p>
        </w:tc>
        <w:tc>
          <w:tcPr>
            <w:tcW w:w="7371" w:type="dxa"/>
            <w:shd w:val="clear" w:color="auto" w:fill="FFFFFF" w:themeFill="background1"/>
            <w:vAlign w:val="center"/>
            <w:hideMark/>
          </w:tcPr>
          <w:p w14:paraId="1E389D0F" w14:textId="77777777" w:rsidR="00FF0F9B" w:rsidRPr="00EF1E43" w:rsidRDefault="00FF0F9B" w:rsidP="00374F41">
            <w:pPr>
              <w:rPr>
                <w:sz w:val="24"/>
              </w:rPr>
            </w:pPr>
            <w:r w:rsidRPr="00EF1E43">
              <w:rPr>
                <w:sz w:val="24"/>
              </w:rPr>
              <w:t>Friedenreich CM (2011). Physical activity and breast cancer: Review of the epidemiologic evidence and biologic mechanisms. Recent Results Cancer Res, Chapter 11: 125-39. Springer Berlin Heidelberg.</w:t>
            </w:r>
          </w:p>
        </w:tc>
      </w:tr>
      <w:tr w:rsidR="00EF1E43" w:rsidRPr="00EF1E43" w14:paraId="31D9D283" w14:textId="77777777" w:rsidTr="00CC61F1">
        <w:trPr>
          <w:cantSplit/>
        </w:trPr>
        <w:tc>
          <w:tcPr>
            <w:tcW w:w="1555" w:type="dxa"/>
            <w:shd w:val="clear" w:color="auto" w:fill="FFFFFF" w:themeFill="background1"/>
            <w:noWrap/>
            <w:vAlign w:val="center"/>
            <w:hideMark/>
          </w:tcPr>
          <w:p w14:paraId="52DAAE44" w14:textId="77777777" w:rsidR="00FF0F9B" w:rsidRPr="00EF1E43" w:rsidRDefault="00FF0F9B" w:rsidP="00374F41">
            <w:pPr>
              <w:jc w:val="center"/>
              <w:rPr>
                <w:sz w:val="24"/>
              </w:rPr>
            </w:pPr>
            <w:r w:rsidRPr="00EF1E43">
              <w:rPr>
                <w:sz w:val="24"/>
              </w:rPr>
              <w:t>37173</w:t>
            </w:r>
          </w:p>
        </w:tc>
        <w:tc>
          <w:tcPr>
            <w:tcW w:w="7371" w:type="dxa"/>
            <w:shd w:val="clear" w:color="auto" w:fill="FFFFFF" w:themeFill="background1"/>
            <w:vAlign w:val="center"/>
            <w:hideMark/>
          </w:tcPr>
          <w:p w14:paraId="2A5C4BEF" w14:textId="77777777" w:rsidR="00FF0F9B" w:rsidRPr="00EF1E43" w:rsidRDefault="00FF0F9B" w:rsidP="00374F41">
            <w:pPr>
              <w:rPr>
                <w:sz w:val="24"/>
              </w:rPr>
            </w:pPr>
            <w:r w:rsidRPr="00EF1E43">
              <w:rPr>
                <w:sz w:val="24"/>
              </w:rPr>
              <w:t>Friedenreich CM, Bryant HE, Courneya KS (2001). Case-control study of lifetime physical activity and breast cancer risk. Am J Epidemiol, 154(4): 336-47.</w:t>
            </w:r>
          </w:p>
        </w:tc>
      </w:tr>
      <w:tr w:rsidR="00EF1E43" w:rsidRPr="00EF1E43" w14:paraId="21FCCD45" w14:textId="77777777" w:rsidTr="00CC61F1">
        <w:trPr>
          <w:cantSplit/>
        </w:trPr>
        <w:tc>
          <w:tcPr>
            <w:tcW w:w="1555" w:type="dxa"/>
            <w:shd w:val="clear" w:color="auto" w:fill="FFFFFF" w:themeFill="background1"/>
            <w:noWrap/>
            <w:vAlign w:val="center"/>
            <w:hideMark/>
          </w:tcPr>
          <w:p w14:paraId="0C6DB865" w14:textId="77777777" w:rsidR="00FF0F9B" w:rsidRPr="00EF1E43" w:rsidRDefault="00FF0F9B" w:rsidP="00374F41">
            <w:pPr>
              <w:jc w:val="center"/>
              <w:rPr>
                <w:sz w:val="24"/>
              </w:rPr>
            </w:pPr>
            <w:r w:rsidRPr="00EF1E43">
              <w:rPr>
                <w:sz w:val="24"/>
              </w:rPr>
              <w:t>37131</w:t>
            </w:r>
          </w:p>
        </w:tc>
        <w:tc>
          <w:tcPr>
            <w:tcW w:w="7371" w:type="dxa"/>
            <w:shd w:val="clear" w:color="auto" w:fill="FFFFFF" w:themeFill="background1"/>
            <w:vAlign w:val="center"/>
            <w:hideMark/>
          </w:tcPr>
          <w:p w14:paraId="6847B522" w14:textId="77777777" w:rsidR="00FF0F9B" w:rsidRPr="00EF1E43" w:rsidRDefault="00FF0F9B" w:rsidP="00374F41">
            <w:pPr>
              <w:rPr>
                <w:sz w:val="24"/>
              </w:rPr>
            </w:pPr>
            <w:r w:rsidRPr="00EF1E43">
              <w:rPr>
                <w:sz w:val="24"/>
              </w:rPr>
              <w:t>Friedenreich CM, Courneya KS, Bryant HE (2001). Influence of physical activity in different age and life periods on the risk of breast cancer. Epidemiology, 12(6): 604-12.</w:t>
            </w:r>
          </w:p>
        </w:tc>
      </w:tr>
      <w:tr w:rsidR="00EF1E43" w:rsidRPr="00EF1E43" w14:paraId="653B0A31" w14:textId="77777777" w:rsidTr="00CC61F1">
        <w:trPr>
          <w:cantSplit/>
        </w:trPr>
        <w:tc>
          <w:tcPr>
            <w:tcW w:w="1555" w:type="dxa"/>
            <w:shd w:val="clear" w:color="auto" w:fill="FFFFFF" w:themeFill="background1"/>
            <w:noWrap/>
            <w:vAlign w:val="center"/>
            <w:hideMark/>
          </w:tcPr>
          <w:p w14:paraId="7A5B8377" w14:textId="77777777" w:rsidR="00FF0F9B" w:rsidRPr="00EF1E43" w:rsidRDefault="00FF0F9B" w:rsidP="00374F41">
            <w:pPr>
              <w:jc w:val="center"/>
              <w:rPr>
                <w:sz w:val="24"/>
              </w:rPr>
            </w:pPr>
            <w:r w:rsidRPr="00EF1E43">
              <w:rPr>
                <w:sz w:val="24"/>
              </w:rPr>
              <w:t>9296</w:t>
            </w:r>
          </w:p>
        </w:tc>
        <w:tc>
          <w:tcPr>
            <w:tcW w:w="7371" w:type="dxa"/>
            <w:shd w:val="clear" w:color="auto" w:fill="FFFFFF" w:themeFill="background1"/>
            <w:vAlign w:val="center"/>
            <w:hideMark/>
          </w:tcPr>
          <w:p w14:paraId="23CF5D4D" w14:textId="77777777" w:rsidR="00FF0F9B" w:rsidRPr="00EF1E43" w:rsidRDefault="00FF0F9B" w:rsidP="00374F41">
            <w:pPr>
              <w:rPr>
                <w:sz w:val="24"/>
              </w:rPr>
            </w:pPr>
            <w:r w:rsidRPr="00EF1E43">
              <w:rPr>
                <w:sz w:val="24"/>
              </w:rPr>
              <w:t>Friedenreich CM, Howe GR, Miller AB, et al (1993). A cohort study of alcohol consumption and risk of breast cancer. Am J Epidemiol, 137(5): 512-20.</w:t>
            </w:r>
          </w:p>
        </w:tc>
      </w:tr>
      <w:tr w:rsidR="00EF1E43" w:rsidRPr="00EF1E43" w14:paraId="470EDDFC" w14:textId="77777777" w:rsidTr="00CC61F1">
        <w:trPr>
          <w:cantSplit/>
        </w:trPr>
        <w:tc>
          <w:tcPr>
            <w:tcW w:w="1555" w:type="dxa"/>
            <w:shd w:val="clear" w:color="auto" w:fill="FFFFFF" w:themeFill="background1"/>
            <w:noWrap/>
            <w:vAlign w:val="center"/>
            <w:hideMark/>
          </w:tcPr>
          <w:p w14:paraId="2502F4FC" w14:textId="77777777" w:rsidR="00FF0F9B" w:rsidRPr="00EF1E43" w:rsidRDefault="00FF0F9B" w:rsidP="00374F41">
            <w:pPr>
              <w:jc w:val="center"/>
              <w:rPr>
                <w:sz w:val="24"/>
              </w:rPr>
            </w:pPr>
            <w:r w:rsidRPr="00EF1E43">
              <w:rPr>
                <w:sz w:val="24"/>
              </w:rPr>
              <w:t>36988</w:t>
            </w:r>
          </w:p>
        </w:tc>
        <w:tc>
          <w:tcPr>
            <w:tcW w:w="7371" w:type="dxa"/>
            <w:shd w:val="clear" w:color="auto" w:fill="FFFFFF" w:themeFill="background1"/>
            <w:vAlign w:val="center"/>
            <w:hideMark/>
          </w:tcPr>
          <w:p w14:paraId="7D7D32B2" w14:textId="77777777" w:rsidR="00FF0F9B" w:rsidRPr="00EF1E43" w:rsidRDefault="00FF0F9B" w:rsidP="00374F41">
            <w:pPr>
              <w:rPr>
                <w:sz w:val="24"/>
              </w:rPr>
            </w:pPr>
            <w:r w:rsidRPr="00EF1E43">
              <w:rPr>
                <w:sz w:val="24"/>
              </w:rPr>
              <w:t>Friedenreich CM, Thune I, Brinton LA, et al (1998). Epidemiologic issues related to the association between physical activity and breast cancer. Cancer, 83(Suppl 3): 600-10.</w:t>
            </w:r>
          </w:p>
        </w:tc>
      </w:tr>
      <w:tr w:rsidR="00EF1E43" w:rsidRPr="00EF1E43" w14:paraId="682D74FA" w14:textId="77777777" w:rsidTr="00CC61F1">
        <w:trPr>
          <w:cantSplit/>
        </w:trPr>
        <w:tc>
          <w:tcPr>
            <w:tcW w:w="1555" w:type="dxa"/>
            <w:shd w:val="clear" w:color="auto" w:fill="FFFFFF" w:themeFill="background1"/>
            <w:noWrap/>
            <w:vAlign w:val="center"/>
            <w:hideMark/>
          </w:tcPr>
          <w:p w14:paraId="2066E830" w14:textId="77777777" w:rsidR="00FF0F9B" w:rsidRPr="00EF1E43" w:rsidRDefault="00FF0F9B" w:rsidP="00374F41">
            <w:pPr>
              <w:jc w:val="center"/>
              <w:rPr>
                <w:sz w:val="24"/>
              </w:rPr>
            </w:pPr>
            <w:r w:rsidRPr="00EF1E43">
              <w:rPr>
                <w:sz w:val="24"/>
              </w:rPr>
              <w:t>37169</w:t>
            </w:r>
          </w:p>
        </w:tc>
        <w:tc>
          <w:tcPr>
            <w:tcW w:w="7371" w:type="dxa"/>
            <w:shd w:val="clear" w:color="auto" w:fill="FFFFFF" w:themeFill="background1"/>
            <w:vAlign w:val="center"/>
            <w:hideMark/>
          </w:tcPr>
          <w:p w14:paraId="26E63289" w14:textId="77777777" w:rsidR="00FF0F9B" w:rsidRPr="00EF1E43" w:rsidRDefault="00FF0F9B" w:rsidP="00374F41">
            <w:pPr>
              <w:rPr>
                <w:sz w:val="24"/>
              </w:rPr>
            </w:pPr>
            <w:r w:rsidRPr="00EF1E43">
              <w:rPr>
                <w:sz w:val="24"/>
              </w:rPr>
              <w:t>Friedenreich CM, Courneya KS, Bryant HE (2001). Relation between intensity of physical activity and breast cancer risk reduction. Med Sci Sports Exerc, 33(9): 1538-45.</w:t>
            </w:r>
          </w:p>
        </w:tc>
      </w:tr>
      <w:tr w:rsidR="00EF1E43" w:rsidRPr="00EF1E43" w14:paraId="71B03869" w14:textId="77777777" w:rsidTr="00CC61F1">
        <w:trPr>
          <w:cantSplit/>
        </w:trPr>
        <w:tc>
          <w:tcPr>
            <w:tcW w:w="1555" w:type="dxa"/>
            <w:shd w:val="clear" w:color="auto" w:fill="FFFFFF" w:themeFill="background1"/>
            <w:noWrap/>
            <w:vAlign w:val="center"/>
            <w:hideMark/>
          </w:tcPr>
          <w:p w14:paraId="32ED9867" w14:textId="77777777" w:rsidR="00FF0F9B" w:rsidRPr="00EF1E43" w:rsidRDefault="00FF0F9B" w:rsidP="00374F41">
            <w:pPr>
              <w:jc w:val="center"/>
              <w:rPr>
                <w:sz w:val="24"/>
              </w:rPr>
            </w:pPr>
            <w:r w:rsidRPr="00EF1E43">
              <w:rPr>
                <w:sz w:val="24"/>
              </w:rPr>
              <w:t>38247</w:t>
            </w:r>
          </w:p>
        </w:tc>
        <w:tc>
          <w:tcPr>
            <w:tcW w:w="7371" w:type="dxa"/>
            <w:shd w:val="clear" w:color="auto" w:fill="FFFFFF" w:themeFill="background1"/>
            <w:vAlign w:val="center"/>
            <w:hideMark/>
          </w:tcPr>
          <w:p w14:paraId="5FFC6B60" w14:textId="77777777" w:rsidR="00FF0F9B" w:rsidRPr="00EF1E43" w:rsidRDefault="00FF0F9B" w:rsidP="00374F41">
            <w:pPr>
              <w:rPr>
                <w:sz w:val="24"/>
              </w:rPr>
            </w:pPr>
            <w:r w:rsidRPr="00EF1E43">
              <w:rPr>
                <w:sz w:val="24"/>
              </w:rPr>
              <w:t>Friis S, Holmich LR, McLaughlin JK, et al (2006). Cancer risk among Danish women with cosmetic breast implants. Int J Cancer, 118(4): 998-1003.</w:t>
            </w:r>
          </w:p>
        </w:tc>
      </w:tr>
      <w:tr w:rsidR="00EF1E43" w:rsidRPr="00EF1E43" w14:paraId="7F489BB3" w14:textId="77777777" w:rsidTr="00CC61F1">
        <w:trPr>
          <w:cantSplit/>
        </w:trPr>
        <w:tc>
          <w:tcPr>
            <w:tcW w:w="1555" w:type="dxa"/>
            <w:shd w:val="clear" w:color="auto" w:fill="FFFFFF" w:themeFill="background1"/>
            <w:noWrap/>
            <w:vAlign w:val="center"/>
            <w:hideMark/>
          </w:tcPr>
          <w:p w14:paraId="1070FBA0" w14:textId="77777777" w:rsidR="00FF0F9B" w:rsidRPr="00EF1E43" w:rsidRDefault="00FF0F9B" w:rsidP="00374F41">
            <w:pPr>
              <w:jc w:val="center"/>
              <w:rPr>
                <w:sz w:val="24"/>
              </w:rPr>
            </w:pPr>
            <w:r w:rsidRPr="00EF1E43">
              <w:rPr>
                <w:sz w:val="24"/>
              </w:rPr>
              <w:lastRenderedPageBreak/>
              <w:t>9216</w:t>
            </w:r>
          </w:p>
        </w:tc>
        <w:tc>
          <w:tcPr>
            <w:tcW w:w="7371" w:type="dxa"/>
            <w:shd w:val="clear" w:color="auto" w:fill="FFFFFF" w:themeFill="background1"/>
            <w:vAlign w:val="center"/>
            <w:hideMark/>
          </w:tcPr>
          <w:p w14:paraId="5971D6C1" w14:textId="77777777" w:rsidR="00FF0F9B" w:rsidRPr="00EF1E43" w:rsidRDefault="00FF0F9B" w:rsidP="00374F41">
            <w:pPr>
              <w:rPr>
                <w:sz w:val="24"/>
              </w:rPr>
            </w:pPr>
            <w:r w:rsidRPr="00EF1E43">
              <w:rPr>
                <w:sz w:val="24"/>
              </w:rPr>
              <w:t>Gaard M, Tretli S, Loken EB (1995). Dietary fat and the risk of breast cancer: a prospective study of 25,892 Norwegian women. Int J Cancer, 63(1): 13-7.</w:t>
            </w:r>
          </w:p>
        </w:tc>
      </w:tr>
      <w:tr w:rsidR="00EF1E43" w:rsidRPr="00EF1E43" w14:paraId="414C9F83" w14:textId="77777777" w:rsidTr="00CC61F1">
        <w:trPr>
          <w:cantSplit/>
        </w:trPr>
        <w:tc>
          <w:tcPr>
            <w:tcW w:w="1555" w:type="dxa"/>
            <w:shd w:val="clear" w:color="auto" w:fill="FFFFFF" w:themeFill="background1"/>
            <w:noWrap/>
            <w:vAlign w:val="center"/>
            <w:hideMark/>
          </w:tcPr>
          <w:p w14:paraId="1F8A3052" w14:textId="77777777" w:rsidR="00FF0F9B" w:rsidRPr="00EF1E43" w:rsidRDefault="00FF0F9B" w:rsidP="00374F41">
            <w:pPr>
              <w:jc w:val="center"/>
              <w:rPr>
                <w:sz w:val="24"/>
              </w:rPr>
            </w:pPr>
            <w:r w:rsidRPr="00EF1E43">
              <w:rPr>
                <w:sz w:val="24"/>
              </w:rPr>
              <w:t>4689</w:t>
            </w:r>
          </w:p>
        </w:tc>
        <w:tc>
          <w:tcPr>
            <w:tcW w:w="7371" w:type="dxa"/>
            <w:shd w:val="clear" w:color="auto" w:fill="FFFFFF" w:themeFill="background1"/>
            <w:vAlign w:val="center"/>
            <w:hideMark/>
          </w:tcPr>
          <w:p w14:paraId="136C6ADF" w14:textId="77777777" w:rsidR="00FF0F9B" w:rsidRPr="00EF1E43" w:rsidRDefault="00FF0F9B" w:rsidP="00374F41">
            <w:pPr>
              <w:rPr>
                <w:sz w:val="24"/>
              </w:rPr>
            </w:pPr>
            <w:r w:rsidRPr="00EF1E43">
              <w:rPr>
                <w:sz w:val="24"/>
              </w:rPr>
              <w:t>Gaard M, Tretli S, Urdal P (1994). Risk of breast cancer in relation to blood lipids: a prospective study of 31,209 Norwegian women. Cancer Causes Control, 5(6): 501-9.</w:t>
            </w:r>
          </w:p>
        </w:tc>
      </w:tr>
      <w:tr w:rsidR="00EF1E43" w:rsidRPr="00EF1E43" w14:paraId="7234F367" w14:textId="77777777" w:rsidTr="00CC61F1">
        <w:trPr>
          <w:cantSplit/>
        </w:trPr>
        <w:tc>
          <w:tcPr>
            <w:tcW w:w="1555" w:type="dxa"/>
            <w:shd w:val="clear" w:color="auto" w:fill="FFFFFF" w:themeFill="background1"/>
            <w:noWrap/>
            <w:vAlign w:val="center"/>
            <w:hideMark/>
          </w:tcPr>
          <w:p w14:paraId="33904EC4" w14:textId="77777777" w:rsidR="00FF0F9B" w:rsidRPr="00EF1E43" w:rsidRDefault="00FF0F9B" w:rsidP="00374F41">
            <w:pPr>
              <w:jc w:val="center"/>
              <w:rPr>
                <w:sz w:val="24"/>
              </w:rPr>
            </w:pPr>
            <w:r w:rsidRPr="00EF1E43">
              <w:rPr>
                <w:sz w:val="24"/>
              </w:rPr>
              <w:t>37180</w:t>
            </w:r>
          </w:p>
        </w:tc>
        <w:tc>
          <w:tcPr>
            <w:tcW w:w="7371" w:type="dxa"/>
            <w:shd w:val="clear" w:color="auto" w:fill="FFFFFF" w:themeFill="background1"/>
            <w:vAlign w:val="center"/>
            <w:hideMark/>
          </w:tcPr>
          <w:p w14:paraId="422A7771" w14:textId="77777777" w:rsidR="00FF0F9B" w:rsidRPr="00EF1E43" w:rsidRDefault="00FF0F9B" w:rsidP="00374F41">
            <w:pPr>
              <w:rPr>
                <w:sz w:val="24"/>
              </w:rPr>
            </w:pPr>
            <w:r w:rsidRPr="00EF1E43">
              <w:rPr>
                <w:sz w:val="24"/>
              </w:rPr>
              <w:t>Galanis DJ, Kolonel LN, Lee J, et al (1998). Anthropometric predictors of breast cancer incidence and survival in a multi-ethnic cohort of female residents of Hawaii, United States. Cancer Causes Control, 9(2): 217-24.</w:t>
            </w:r>
          </w:p>
        </w:tc>
      </w:tr>
      <w:tr w:rsidR="00EF1E43" w:rsidRPr="00EF1E43" w14:paraId="0B9D4244" w14:textId="77777777" w:rsidTr="00CC61F1">
        <w:trPr>
          <w:cantSplit/>
        </w:trPr>
        <w:tc>
          <w:tcPr>
            <w:tcW w:w="1555" w:type="dxa"/>
            <w:shd w:val="clear" w:color="auto" w:fill="FFFFFF" w:themeFill="background1"/>
            <w:noWrap/>
            <w:vAlign w:val="center"/>
            <w:hideMark/>
          </w:tcPr>
          <w:p w14:paraId="746AAFF3" w14:textId="77777777" w:rsidR="00FF0F9B" w:rsidRPr="00EF1E43" w:rsidRDefault="00FF0F9B" w:rsidP="00374F41">
            <w:pPr>
              <w:jc w:val="center"/>
              <w:rPr>
                <w:sz w:val="24"/>
              </w:rPr>
            </w:pPr>
            <w:r w:rsidRPr="00EF1E43">
              <w:rPr>
                <w:sz w:val="24"/>
              </w:rPr>
              <w:t>35684</w:t>
            </w:r>
          </w:p>
        </w:tc>
        <w:tc>
          <w:tcPr>
            <w:tcW w:w="7371" w:type="dxa"/>
            <w:shd w:val="clear" w:color="auto" w:fill="FFFFFF" w:themeFill="background1"/>
            <w:vAlign w:val="center"/>
            <w:hideMark/>
          </w:tcPr>
          <w:p w14:paraId="3BECEF18" w14:textId="77777777" w:rsidR="00FF0F9B" w:rsidRPr="00EF1E43" w:rsidRDefault="00FF0F9B" w:rsidP="00374F41">
            <w:pPr>
              <w:rPr>
                <w:sz w:val="24"/>
              </w:rPr>
            </w:pPr>
            <w:r w:rsidRPr="00EF1E43">
              <w:rPr>
                <w:sz w:val="24"/>
              </w:rPr>
              <w:t>Gammon MD, Eng SM, Teitelbaum SL, et al (2004). Environmental tobacco smoke and breast cancer incidence. Environ Res, 96(2): 176-85.</w:t>
            </w:r>
          </w:p>
        </w:tc>
      </w:tr>
      <w:tr w:rsidR="00EF1E43" w:rsidRPr="00EF1E43" w14:paraId="66568678" w14:textId="77777777" w:rsidTr="00CC61F1">
        <w:trPr>
          <w:cantSplit/>
        </w:trPr>
        <w:tc>
          <w:tcPr>
            <w:tcW w:w="1555" w:type="dxa"/>
            <w:shd w:val="clear" w:color="auto" w:fill="FFFFFF" w:themeFill="background1"/>
            <w:noWrap/>
            <w:vAlign w:val="center"/>
            <w:hideMark/>
          </w:tcPr>
          <w:p w14:paraId="2B03D650" w14:textId="77777777" w:rsidR="00FF0F9B" w:rsidRPr="00EF1E43" w:rsidRDefault="00FF0F9B" w:rsidP="00374F41">
            <w:pPr>
              <w:jc w:val="center"/>
              <w:rPr>
                <w:sz w:val="24"/>
              </w:rPr>
            </w:pPr>
            <w:r w:rsidRPr="00EF1E43">
              <w:rPr>
                <w:sz w:val="24"/>
              </w:rPr>
              <w:t>36989</w:t>
            </w:r>
          </w:p>
        </w:tc>
        <w:tc>
          <w:tcPr>
            <w:tcW w:w="7371" w:type="dxa"/>
            <w:shd w:val="clear" w:color="auto" w:fill="FFFFFF" w:themeFill="background1"/>
            <w:vAlign w:val="center"/>
            <w:hideMark/>
          </w:tcPr>
          <w:p w14:paraId="4D4189F6" w14:textId="77777777" w:rsidR="00FF0F9B" w:rsidRPr="00EF1E43" w:rsidRDefault="00FF0F9B" w:rsidP="00374F41">
            <w:pPr>
              <w:rPr>
                <w:sz w:val="24"/>
              </w:rPr>
            </w:pPr>
            <w:r w:rsidRPr="00EF1E43">
              <w:rPr>
                <w:sz w:val="24"/>
              </w:rPr>
              <w:t>Gammon MD, John EM, Britton JA (1998). Recreational and occupational physical activities and risk of breast cancer. J Natl Cancer Inst, 90(2): 100-17.</w:t>
            </w:r>
          </w:p>
        </w:tc>
      </w:tr>
      <w:tr w:rsidR="00EF1E43" w:rsidRPr="00EF1E43" w14:paraId="066CFC6B" w14:textId="77777777" w:rsidTr="00CC61F1">
        <w:trPr>
          <w:cantSplit/>
        </w:trPr>
        <w:tc>
          <w:tcPr>
            <w:tcW w:w="1555" w:type="dxa"/>
            <w:shd w:val="clear" w:color="auto" w:fill="FFFFFF" w:themeFill="background1"/>
            <w:noWrap/>
            <w:vAlign w:val="center"/>
            <w:hideMark/>
          </w:tcPr>
          <w:p w14:paraId="20719D36" w14:textId="77777777" w:rsidR="00FF0F9B" w:rsidRPr="00EF1E43" w:rsidRDefault="00FF0F9B" w:rsidP="00374F41">
            <w:pPr>
              <w:jc w:val="center"/>
              <w:rPr>
                <w:sz w:val="24"/>
              </w:rPr>
            </w:pPr>
            <w:r w:rsidRPr="00EF1E43">
              <w:rPr>
                <w:sz w:val="24"/>
              </w:rPr>
              <w:t>35737</w:t>
            </w:r>
          </w:p>
        </w:tc>
        <w:tc>
          <w:tcPr>
            <w:tcW w:w="7371" w:type="dxa"/>
            <w:shd w:val="clear" w:color="auto" w:fill="FFFFFF" w:themeFill="background1"/>
            <w:vAlign w:val="center"/>
            <w:hideMark/>
          </w:tcPr>
          <w:p w14:paraId="41A8DE82" w14:textId="77777777" w:rsidR="00FF0F9B" w:rsidRPr="00EF1E43" w:rsidRDefault="00FF0F9B" w:rsidP="00374F41">
            <w:pPr>
              <w:rPr>
                <w:sz w:val="24"/>
              </w:rPr>
            </w:pPr>
            <w:r w:rsidRPr="00EF1E43">
              <w:rPr>
                <w:sz w:val="24"/>
              </w:rPr>
              <w:t>Gammon MD, Neugut AI, Santella RM, et al (2002). The Long Island Breast Cancer Study Project: description of a multi-institutional collaboration to identify environmental risk factors for breast cancer. Breast Cancer Res Treat, 74(3): 235-54.</w:t>
            </w:r>
          </w:p>
        </w:tc>
      </w:tr>
      <w:tr w:rsidR="00EF1E43" w:rsidRPr="00EF1E43" w14:paraId="10D40E96" w14:textId="77777777" w:rsidTr="00CC61F1">
        <w:trPr>
          <w:cantSplit/>
        </w:trPr>
        <w:tc>
          <w:tcPr>
            <w:tcW w:w="1555" w:type="dxa"/>
            <w:shd w:val="clear" w:color="auto" w:fill="FFFFFF" w:themeFill="background1"/>
            <w:noWrap/>
            <w:vAlign w:val="center"/>
            <w:hideMark/>
          </w:tcPr>
          <w:p w14:paraId="1E1C4A86" w14:textId="77777777" w:rsidR="00FF0F9B" w:rsidRPr="00EF1E43" w:rsidRDefault="00FF0F9B" w:rsidP="00374F41">
            <w:pPr>
              <w:jc w:val="center"/>
              <w:rPr>
                <w:sz w:val="24"/>
              </w:rPr>
            </w:pPr>
            <w:r w:rsidRPr="00EF1E43">
              <w:rPr>
                <w:sz w:val="24"/>
              </w:rPr>
              <w:t>35679</w:t>
            </w:r>
          </w:p>
        </w:tc>
        <w:tc>
          <w:tcPr>
            <w:tcW w:w="7371" w:type="dxa"/>
            <w:shd w:val="clear" w:color="auto" w:fill="FFFFFF" w:themeFill="background1"/>
            <w:vAlign w:val="center"/>
            <w:hideMark/>
          </w:tcPr>
          <w:p w14:paraId="3E63AC41" w14:textId="77777777" w:rsidR="00FF0F9B" w:rsidRPr="00EF1E43" w:rsidRDefault="00FF0F9B" w:rsidP="00374F41">
            <w:pPr>
              <w:rPr>
                <w:sz w:val="24"/>
              </w:rPr>
            </w:pPr>
            <w:r w:rsidRPr="00EF1E43">
              <w:rPr>
                <w:sz w:val="24"/>
              </w:rPr>
              <w:t>Gammon MD, Schoenberg JB, Teitelbaum SL, et al (1998). Cigarette smoking and breast cancer risk among young women (United States). Cancer Causes Control, 9(6): 583-90.</w:t>
            </w:r>
          </w:p>
        </w:tc>
      </w:tr>
      <w:tr w:rsidR="00EF1E43" w:rsidRPr="00EF1E43" w14:paraId="7BBFDFAF" w14:textId="77777777" w:rsidTr="00CC61F1">
        <w:trPr>
          <w:cantSplit/>
        </w:trPr>
        <w:tc>
          <w:tcPr>
            <w:tcW w:w="1555" w:type="dxa"/>
            <w:shd w:val="clear" w:color="auto" w:fill="FFFFFF" w:themeFill="background1"/>
            <w:noWrap/>
            <w:vAlign w:val="center"/>
            <w:hideMark/>
          </w:tcPr>
          <w:p w14:paraId="32404338" w14:textId="77777777" w:rsidR="00FF0F9B" w:rsidRPr="00EF1E43" w:rsidRDefault="00FF0F9B" w:rsidP="00374F41">
            <w:pPr>
              <w:jc w:val="center"/>
              <w:rPr>
                <w:sz w:val="24"/>
              </w:rPr>
            </w:pPr>
            <w:r w:rsidRPr="00EF1E43">
              <w:rPr>
                <w:sz w:val="24"/>
              </w:rPr>
              <w:t>37869</w:t>
            </w:r>
          </w:p>
        </w:tc>
        <w:tc>
          <w:tcPr>
            <w:tcW w:w="7371" w:type="dxa"/>
            <w:shd w:val="clear" w:color="auto" w:fill="FFFFFF" w:themeFill="background1"/>
            <w:vAlign w:val="center"/>
            <w:hideMark/>
          </w:tcPr>
          <w:p w14:paraId="665F940F" w14:textId="77777777" w:rsidR="00FF0F9B" w:rsidRPr="00EF1E43" w:rsidRDefault="00FF0F9B" w:rsidP="00374F41">
            <w:pPr>
              <w:rPr>
                <w:sz w:val="24"/>
              </w:rPr>
            </w:pPr>
            <w:r w:rsidRPr="00EF1E43">
              <w:rPr>
                <w:sz w:val="24"/>
              </w:rPr>
              <w:t>Gammon MD, Schoenberg JB, Britton JA, et al (1998). Recreational physical activity and breast cancer risk among women under age 45 years. Am J Epidemiol, 147(3): 273-80.</w:t>
            </w:r>
          </w:p>
        </w:tc>
      </w:tr>
      <w:tr w:rsidR="00EF1E43" w:rsidRPr="00EF1E43" w14:paraId="6B5C2446" w14:textId="77777777" w:rsidTr="00CC61F1">
        <w:trPr>
          <w:cantSplit/>
        </w:trPr>
        <w:tc>
          <w:tcPr>
            <w:tcW w:w="1555" w:type="dxa"/>
            <w:shd w:val="clear" w:color="auto" w:fill="FFFFFF" w:themeFill="background1"/>
            <w:noWrap/>
            <w:vAlign w:val="center"/>
            <w:hideMark/>
          </w:tcPr>
          <w:p w14:paraId="0AF52D6B" w14:textId="77777777" w:rsidR="00FF0F9B" w:rsidRPr="00EF1E43" w:rsidRDefault="00FF0F9B" w:rsidP="00374F41">
            <w:pPr>
              <w:jc w:val="center"/>
              <w:rPr>
                <w:sz w:val="24"/>
              </w:rPr>
            </w:pPr>
            <w:r w:rsidRPr="00EF1E43">
              <w:rPr>
                <w:sz w:val="24"/>
              </w:rPr>
              <w:t>35583</w:t>
            </w:r>
          </w:p>
        </w:tc>
        <w:tc>
          <w:tcPr>
            <w:tcW w:w="7371" w:type="dxa"/>
            <w:shd w:val="clear" w:color="auto" w:fill="FFFFFF" w:themeFill="background1"/>
            <w:vAlign w:val="center"/>
            <w:hideMark/>
          </w:tcPr>
          <w:p w14:paraId="7ADC2AA0" w14:textId="77777777" w:rsidR="00FF0F9B" w:rsidRPr="00EF1E43" w:rsidRDefault="00FF0F9B" w:rsidP="00374F41">
            <w:pPr>
              <w:rPr>
                <w:sz w:val="24"/>
              </w:rPr>
            </w:pPr>
            <w:r w:rsidRPr="00EF1E43">
              <w:rPr>
                <w:sz w:val="24"/>
              </w:rPr>
              <w:t>Gao X, Fisher SG, Emami B (2003). Risk of second primary cancer in the contralateral breast in women treated for early-stage breast cancer: a population-based study. Int J Radiation Oncology Biol Phys, 56(4): 1038-45.</w:t>
            </w:r>
          </w:p>
        </w:tc>
      </w:tr>
      <w:tr w:rsidR="00EF1E43" w:rsidRPr="00EF1E43" w14:paraId="61372BCE" w14:textId="77777777" w:rsidTr="00CC61F1">
        <w:trPr>
          <w:cantSplit/>
        </w:trPr>
        <w:tc>
          <w:tcPr>
            <w:tcW w:w="1555" w:type="dxa"/>
            <w:shd w:val="clear" w:color="auto" w:fill="FFFFFF" w:themeFill="background1"/>
            <w:noWrap/>
            <w:vAlign w:val="center"/>
            <w:hideMark/>
          </w:tcPr>
          <w:p w14:paraId="48E87DDA" w14:textId="77777777" w:rsidR="00FF0F9B" w:rsidRPr="00EF1E43" w:rsidRDefault="00FF0F9B" w:rsidP="00374F41">
            <w:pPr>
              <w:jc w:val="center"/>
              <w:rPr>
                <w:sz w:val="24"/>
              </w:rPr>
            </w:pPr>
            <w:r w:rsidRPr="00EF1E43">
              <w:rPr>
                <w:sz w:val="24"/>
              </w:rPr>
              <w:t>35729</w:t>
            </w:r>
          </w:p>
        </w:tc>
        <w:tc>
          <w:tcPr>
            <w:tcW w:w="7371" w:type="dxa"/>
            <w:shd w:val="clear" w:color="auto" w:fill="FFFFFF" w:themeFill="background1"/>
            <w:vAlign w:val="center"/>
            <w:hideMark/>
          </w:tcPr>
          <w:p w14:paraId="1A30E7BE" w14:textId="77777777" w:rsidR="00FF0F9B" w:rsidRPr="00EF1E43" w:rsidRDefault="00FF0F9B" w:rsidP="00374F41">
            <w:pPr>
              <w:rPr>
                <w:sz w:val="24"/>
              </w:rPr>
            </w:pPr>
            <w:r w:rsidRPr="00EF1E43">
              <w:rPr>
                <w:sz w:val="24"/>
              </w:rPr>
              <w:t>Gao YT, Shu XO, Dai Q, et al (2000). Association of menstrual and reproductive factors with breast cancer risk: results from the Shanghai Breast Cancer Study. Int J Cancer, 87(2): 295-300.</w:t>
            </w:r>
          </w:p>
        </w:tc>
      </w:tr>
      <w:tr w:rsidR="00EF1E43" w:rsidRPr="00EF1E43" w14:paraId="22E5980D" w14:textId="77777777" w:rsidTr="00CC61F1">
        <w:trPr>
          <w:cantSplit/>
        </w:trPr>
        <w:tc>
          <w:tcPr>
            <w:tcW w:w="1555" w:type="dxa"/>
            <w:shd w:val="clear" w:color="auto" w:fill="FFFFFF" w:themeFill="background1"/>
            <w:noWrap/>
            <w:vAlign w:val="center"/>
            <w:hideMark/>
          </w:tcPr>
          <w:p w14:paraId="1C985821" w14:textId="77777777" w:rsidR="00FF0F9B" w:rsidRPr="00EF1E43" w:rsidRDefault="00FF0F9B" w:rsidP="00374F41">
            <w:pPr>
              <w:jc w:val="center"/>
              <w:rPr>
                <w:sz w:val="24"/>
              </w:rPr>
            </w:pPr>
            <w:r w:rsidRPr="00EF1E43">
              <w:rPr>
                <w:sz w:val="24"/>
              </w:rPr>
              <w:t>9295</w:t>
            </w:r>
          </w:p>
        </w:tc>
        <w:tc>
          <w:tcPr>
            <w:tcW w:w="7371" w:type="dxa"/>
            <w:shd w:val="clear" w:color="auto" w:fill="FFFFFF" w:themeFill="background1"/>
            <w:vAlign w:val="center"/>
            <w:hideMark/>
          </w:tcPr>
          <w:p w14:paraId="1B7998BF" w14:textId="77777777" w:rsidR="00FF0F9B" w:rsidRPr="00EF1E43" w:rsidRDefault="00FF0F9B" w:rsidP="00374F41">
            <w:pPr>
              <w:rPr>
                <w:sz w:val="24"/>
              </w:rPr>
            </w:pPr>
            <w:r w:rsidRPr="00EF1E43">
              <w:rPr>
                <w:sz w:val="24"/>
              </w:rPr>
              <w:t>Gapstur SM, Potter JD, Sellers TA, et al (1992). Increased risk of breast cancer with alcohol consumption in postmenopausal women. Am J Epidemiol, 136(10): 1221-31.</w:t>
            </w:r>
          </w:p>
        </w:tc>
      </w:tr>
      <w:tr w:rsidR="00EF1E43" w:rsidRPr="00EF1E43" w14:paraId="6DC3BD9A" w14:textId="77777777" w:rsidTr="00CC61F1">
        <w:trPr>
          <w:cantSplit/>
        </w:trPr>
        <w:tc>
          <w:tcPr>
            <w:tcW w:w="1555" w:type="dxa"/>
            <w:shd w:val="clear" w:color="auto" w:fill="FFFFFF" w:themeFill="background1"/>
            <w:noWrap/>
            <w:vAlign w:val="center"/>
            <w:hideMark/>
          </w:tcPr>
          <w:p w14:paraId="5D06FB32" w14:textId="77777777" w:rsidR="00FF0F9B" w:rsidRPr="00EF1E43" w:rsidRDefault="00FF0F9B" w:rsidP="00374F41">
            <w:pPr>
              <w:jc w:val="center"/>
              <w:rPr>
                <w:sz w:val="24"/>
              </w:rPr>
            </w:pPr>
            <w:r w:rsidRPr="00EF1E43">
              <w:rPr>
                <w:sz w:val="24"/>
              </w:rPr>
              <w:t>9323</w:t>
            </w:r>
          </w:p>
        </w:tc>
        <w:tc>
          <w:tcPr>
            <w:tcW w:w="7371" w:type="dxa"/>
            <w:shd w:val="clear" w:color="auto" w:fill="FFFFFF" w:themeFill="background1"/>
            <w:vAlign w:val="center"/>
            <w:hideMark/>
          </w:tcPr>
          <w:p w14:paraId="6FDF8A26" w14:textId="77777777" w:rsidR="00FF0F9B" w:rsidRPr="00EF1E43" w:rsidRDefault="00FF0F9B" w:rsidP="00374F41">
            <w:pPr>
              <w:rPr>
                <w:sz w:val="24"/>
              </w:rPr>
            </w:pPr>
            <w:r w:rsidRPr="00EF1E43">
              <w:rPr>
                <w:sz w:val="24"/>
              </w:rPr>
              <w:t>Gapstur SM, Potter JD, Drinkard C, et al (1995). Synergistic effect between alcohol and estrogen replacement therapy on risk of breast cancer differs by estrogen/progesterone receptor status in the Iowa Women's Health Study. Cancer Epidemiol Biomarkers Prev, 4(4): 313-8.</w:t>
            </w:r>
          </w:p>
        </w:tc>
      </w:tr>
      <w:tr w:rsidR="00EF1E43" w:rsidRPr="00EF1E43" w14:paraId="742922E1" w14:textId="77777777" w:rsidTr="00CC61F1">
        <w:trPr>
          <w:cantSplit/>
        </w:trPr>
        <w:tc>
          <w:tcPr>
            <w:tcW w:w="1555" w:type="dxa"/>
            <w:shd w:val="clear" w:color="auto" w:fill="FFFFFF" w:themeFill="background1"/>
            <w:noWrap/>
            <w:vAlign w:val="center"/>
            <w:hideMark/>
          </w:tcPr>
          <w:p w14:paraId="094DA912" w14:textId="77777777" w:rsidR="00FF0F9B" w:rsidRPr="00EF1E43" w:rsidRDefault="00FF0F9B" w:rsidP="00374F41">
            <w:pPr>
              <w:jc w:val="center"/>
              <w:rPr>
                <w:sz w:val="24"/>
              </w:rPr>
            </w:pPr>
            <w:r w:rsidRPr="00EF1E43">
              <w:rPr>
                <w:sz w:val="24"/>
              </w:rPr>
              <w:t>35640</w:t>
            </w:r>
          </w:p>
        </w:tc>
        <w:tc>
          <w:tcPr>
            <w:tcW w:w="7371" w:type="dxa"/>
            <w:shd w:val="clear" w:color="auto" w:fill="FFFFFF" w:themeFill="background1"/>
            <w:vAlign w:val="center"/>
            <w:hideMark/>
          </w:tcPr>
          <w:p w14:paraId="035BCF37" w14:textId="77777777" w:rsidR="00FF0F9B" w:rsidRPr="00EF1E43" w:rsidRDefault="00FF0F9B" w:rsidP="00374F41">
            <w:pPr>
              <w:rPr>
                <w:sz w:val="24"/>
              </w:rPr>
            </w:pPr>
            <w:r w:rsidRPr="00EF1E43">
              <w:rPr>
                <w:sz w:val="24"/>
              </w:rPr>
              <w:t>Garland M, Hunter DJ, Colditz GA, et al (1999). Alcohol consumption in relation to breast cancer risk in a cohort of United States women 25-42 years of age. Cancer Epidemiol Biomarkers Prev, 8(11): 1017-21.</w:t>
            </w:r>
          </w:p>
        </w:tc>
      </w:tr>
      <w:tr w:rsidR="00EF1E43" w:rsidRPr="00EF1E43" w14:paraId="02A5A580" w14:textId="77777777" w:rsidTr="00CC61F1">
        <w:trPr>
          <w:cantSplit/>
        </w:trPr>
        <w:tc>
          <w:tcPr>
            <w:tcW w:w="1555" w:type="dxa"/>
            <w:shd w:val="clear" w:color="auto" w:fill="FFFFFF" w:themeFill="background1"/>
            <w:noWrap/>
            <w:vAlign w:val="center"/>
            <w:hideMark/>
          </w:tcPr>
          <w:p w14:paraId="692C10E4" w14:textId="77777777" w:rsidR="00FF0F9B" w:rsidRPr="00EF1E43" w:rsidRDefault="00FF0F9B" w:rsidP="00374F41">
            <w:pPr>
              <w:jc w:val="center"/>
              <w:rPr>
                <w:sz w:val="24"/>
              </w:rPr>
            </w:pPr>
            <w:r w:rsidRPr="00EF1E43">
              <w:rPr>
                <w:sz w:val="24"/>
              </w:rPr>
              <w:t>71630</w:t>
            </w:r>
          </w:p>
        </w:tc>
        <w:tc>
          <w:tcPr>
            <w:tcW w:w="7371" w:type="dxa"/>
            <w:shd w:val="clear" w:color="auto" w:fill="FFFFFF" w:themeFill="background1"/>
            <w:vAlign w:val="center"/>
            <w:hideMark/>
          </w:tcPr>
          <w:p w14:paraId="5A90DE1B" w14:textId="77777777" w:rsidR="00FF0F9B" w:rsidRPr="00EF1E43" w:rsidRDefault="00FF0F9B" w:rsidP="00374F41">
            <w:pPr>
              <w:rPr>
                <w:sz w:val="24"/>
              </w:rPr>
            </w:pPr>
            <w:r w:rsidRPr="00EF1E43">
              <w:rPr>
                <w:sz w:val="24"/>
              </w:rPr>
              <w:t>Gaudet MM, Gapstur SM, Sun J, et al (2013). Active smoking and breast cancer risk: original cohort data and meta-analysis. J Natl Cancer Inst, 105(8): 515-25.</w:t>
            </w:r>
          </w:p>
        </w:tc>
      </w:tr>
      <w:tr w:rsidR="00EF1E43" w:rsidRPr="00EF1E43" w14:paraId="0C2CD2CE" w14:textId="77777777" w:rsidTr="00CC61F1">
        <w:trPr>
          <w:cantSplit/>
        </w:trPr>
        <w:tc>
          <w:tcPr>
            <w:tcW w:w="1555" w:type="dxa"/>
            <w:shd w:val="clear" w:color="auto" w:fill="FFFFFF" w:themeFill="background1"/>
            <w:noWrap/>
            <w:vAlign w:val="center"/>
            <w:hideMark/>
          </w:tcPr>
          <w:p w14:paraId="27CAE45C" w14:textId="77777777" w:rsidR="00FF0F9B" w:rsidRPr="00EF1E43" w:rsidRDefault="00FF0F9B" w:rsidP="00374F41">
            <w:pPr>
              <w:jc w:val="center"/>
              <w:rPr>
                <w:sz w:val="24"/>
              </w:rPr>
            </w:pPr>
            <w:r w:rsidRPr="00EF1E43">
              <w:rPr>
                <w:sz w:val="24"/>
              </w:rPr>
              <w:lastRenderedPageBreak/>
              <w:t>71631</w:t>
            </w:r>
          </w:p>
        </w:tc>
        <w:tc>
          <w:tcPr>
            <w:tcW w:w="7371" w:type="dxa"/>
            <w:shd w:val="clear" w:color="auto" w:fill="FFFFFF" w:themeFill="background1"/>
            <w:vAlign w:val="center"/>
            <w:hideMark/>
          </w:tcPr>
          <w:p w14:paraId="2DA7747E" w14:textId="77777777" w:rsidR="00FF0F9B" w:rsidRPr="00EF1E43" w:rsidRDefault="00FF0F9B" w:rsidP="00374F41">
            <w:pPr>
              <w:rPr>
                <w:sz w:val="24"/>
              </w:rPr>
            </w:pPr>
            <w:r w:rsidRPr="00EF1E43">
              <w:rPr>
                <w:sz w:val="24"/>
              </w:rPr>
              <w:t>Germain D (2011). Estrogen carcinogenesis in breast cancer. Endocrinol Metab Clin North Am, 40(3): 473-84, vii.</w:t>
            </w:r>
          </w:p>
        </w:tc>
      </w:tr>
      <w:tr w:rsidR="00EF1E43" w:rsidRPr="00EF1E43" w14:paraId="182DAEFF" w14:textId="77777777" w:rsidTr="00CC61F1">
        <w:trPr>
          <w:cantSplit/>
        </w:trPr>
        <w:tc>
          <w:tcPr>
            <w:tcW w:w="1555" w:type="dxa"/>
            <w:shd w:val="clear" w:color="auto" w:fill="FFFFFF" w:themeFill="background1"/>
            <w:noWrap/>
            <w:vAlign w:val="center"/>
            <w:hideMark/>
          </w:tcPr>
          <w:p w14:paraId="2E9FD1D3" w14:textId="77777777" w:rsidR="00FF0F9B" w:rsidRPr="00EF1E43" w:rsidRDefault="00FF0F9B" w:rsidP="00374F41">
            <w:pPr>
              <w:jc w:val="center"/>
              <w:rPr>
                <w:sz w:val="24"/>
              </w:rPr>
            </w:pPr>
            <w:r w:rsidRPr="00EF1E43">
              <w:rPr>
                <w:sz w:val="24"/>
              </w:rPr>
              <w:t>35836</w:t>
            </w:r>
          </w:p>
        </w:tc>
        <w:tc>
          <w:tcPr>
            <w:tcW w:w="7371" w:type="dxa"/>
            <w:shd w:val="clear" w:color="auto" w:fill="FFFFFF" w:themeFill="background1"/>
            <w:vAlign w:val="center"/>
            <w:hideMark/>
          </w:tcPr>
          <w:p w14:paraId="44414CD7" w14:textId="77777777" w:rsidR="00FF0F9B" w:rsidRPr="00EF1E43" w:rsidRDefault="00FF0F9B" w:rsidP="00374F41">
            <w:pPr>
              <w:rPr>
                <w:sz w:val="24"/>
              </w:rPr>
            </w:pPr>
            <w:r w:rsidRPr="00EF1E43">
              <w:rPr>
                <w:sz w:val="24"/>
              </w:rPr>
              <w:t>Gervais-Fagnou DD, Girouard C, Laperriere N, et al (1999). Breast cancer in women following supradiaphragmatic irradiation for Hodgkin's disease. Oncology, 57(3): 224-31.</w:t>
            </w:r>
          </w:p>
        </w:tc>
      </w:tr>
      <w:tr w:rsidR="00EF1E43" w:rsidRPr="00EF1E43" w14:paraId="6399142A" w14:textId="77777777" w:rsidTr="00CC61F1">
        <w:trPr>
          <w:cantSplit/>
        </w:trPr>
        <w:tc>
          <w:tcPr>
            <w:tcW w:w="1555" w:type="dxa"/>
            <w:shd w:val="clear" w:color="auto" w:fill="FFFFFF" w:themeFill="background1"/>
            <w:noWrap/>
            <w:vAlign w:val="center"/>
            <w:hideMark/>
          </w:tcPr>
          <w:p w14:paraId="2B9F2CC7" w14:textId="77777777" w:rsidR="00FF0F9B" w:rsidRPr="00EF1E43" w:rsidRDefault="00FF0F9B" w:rsidP="00374F41">
            <w:pPr>
              <w:jc w:val="center"/>
              <w:rPr>
                <w:sz w:val="24"/>
              </w:rPr>
            </w:pPr>
            <w:r w:rsidRPr="00EF1E43">
              <w:rPr>
                <w:sz w:val="24"/>
              </w:rPr>
              <w:t>36921</w:t>
            </w:r>
          </w:p>
        </w:tc>
        <w:tc>
          <w:tcPr>
            <w:tcW w:w="7371" w:type="dxa"/>
            <w:shd w:val="clear" w:color="auto" w:fill="FFFFFF" w:themeFill="background1"/>
            <w:vAlign w:val="center"/>
            <w:hideMark/>
          </w:tcPr>
          <w:p w14:paraId="1485945B" w14:textId="77777777" w:rsidR="00FF0F9B" w:rsidRPr="00EF1E43" w:rsidRDefault="00FF0F9B" w:rsidP="00374F41">
            <w:pPr>
              <w:rPr>
                <w:sz w:val="24"/>
              </w:rPr>
            </w:pPr>
            <w:r w:rsidRPr="00EF1E43">
              <w:rPr>
                <w:sz w:val="24"/>
              </w:rPr>
              <w:t>Gilani GM, Kamal S (2004). Risk factors for breast cancer in Pakistani women aged less than 45 years. Ann Hum Biol, 31(4): 398-407.</w:t>
            </w:r>
          </w:p>
        </w:tc>
      </w:tr>
      <w:tr w:rsidR="00EF1E43" w:rsidRPr="00EF1E43" w14:paraId="177A270C" w14:textId="77777777" w:rsidTr="00CC61F1">
        <w:trPr>
          <w:cantSplit/>
        </w:trPr>
        <w:tc>
          <w:tcPr>
            <w:tcW w:w="1555" w:type="dxa"/>
            <w:shd w:val="clear" w:color="auto" w:fill="FFFFFF" w:themeFill="background1"/>
            <w:noWrap/>
            <w:vAlign w:val="center"/>
            <w:hideMark/>
          </w:tcPr>
          <w:p w14:paraId="02A77670" w14:textId="77777777" w:rsidR="00FF0F9B" w:rsidRPr="00EF1E43" w:rsidRDefault="00FF0F9B" w:rsidP="00374F41">
            <w:pPr>
              <w:jc w:val="center"/>
              <w:rPr>
                <w:sz w:val="24"/>
              </w:rPr>
            </w:pPr>
            <w:r w:rsidRPr="00EF1E43">
              <w:rPr>
                <w:sz w:val="24"/>
              </w:rPr>
              <w:t>80728</w:t>
            </w:r>
          </w:p>
        </w:tc>
        <w:tc>
          <w:tcPr>
            <w:tcW w:w="7371" w:type="dxa"/>
            <w:shd w:val="clear" w:color="auto" w:fill="FFFFFF" w:themeFill="background1"/>
            <w:vAlign w:val="center"/>
            <w:hideMark/>
          </w:tcPr>
          <w:p w14:paraId="6D775EBB" w14:textId="77777777" w:rsidR="00FF0F9B" w:rsidRPr="00EF1E43" w:rsidRDefault="00FF0F9B" w:rsidP="00374F41">
            <w:pPr>
              <w:rPr>
                <w:sz w:val="24"/>
              </w:rPr>
            </w:pPr>
            <w:r w:rsidRPr="00EF1E43">
              <w:rPr>
                <w:sz w:val="24"/>
              </w:rPr>
              <w:t>Gilbert ES, Sokolnikov ME, Preston DL, et al (2013). Lung cancer risks from plutonium: an updated analysis of data from the Mayak worker cohort. Radiat Res, 179(3): 332-42.</w:t>
            </w:r>
          </w:p>
        </w:tc>
      </w:tr>
      <w:tr w:rsidR="00EF1E43" w:rsidRPr="00EF1E43" w14:paraId="21101EEE" w14:textId="77777777" w:rsidTr="00CC61F1">
        <w:trPr>
          <w:cantSplit/>
        </w:trPr>
        <w:tc>
          <w:tcPr>
            <w:tcW w:w="1555" w:type="dxa"/>
            <w:shd w:val="clear" w:color="auto" w:fill="FFFFFF" w:themeFill="background1"/>
            <w:noWrap/>
            <w:vAlign w:val="center"/>
            <w:hideMark/>
          </w:tcPr>
          <w:p w14:paraId="4438AC2F" w14:textId="77777777" w:rsidR="00FF0F9B" w:rsidRPr="00EF1E43" w:rsidRDefault="00FF0F9B" w:rsidP="00374F41">
            <w:pPr>
              <w:jc w:val="center"/>
              <w:rPr>
                <w:sz w:val="24"/>
              </w:rPr>
            </w:pPr>
            <w:r w:rsidRPr="00EF1E43">
              <w:rPr>
                <w:sz w:val="24"/>
              </w:rPr>
              <w:t>37171</w:t>
            </w:r>
          </w:p>
        </w:tc>
        <w:tc>
          <w:tcPr>
            <w:tcW w:w="7371" w:type="dxa"/>
            <w:shd w:val="clear" w:color="auto" w:fill="FFFFFF" w:themeFill="background1"/>
            <w:vAlign w:val="center"/>
            <w:hideMark/>
          </w:tcPr>
          <w:p w14:paraId="4D326316" w14:textId="77777777" w:rsidR="00FF0F9B" w:rsidRPr="00EF1E43" w:rsidRDefault="00FF0F9B" w:rsidP="00374F41">
            <w:pPr>
              <w:rPr>
                <w:sz w:val="24"/>
              </w:rPr>
            </w:pPr>
            <w:r w:rsidRPr="00EF1E43">
              <w:rPr>
                <w:sz w:val="24"/>
              </w:rPr>
              <w:t>Gilliland FD, Li YF, Baumgartner K, et al (2001). Physical activity and breast cancer risk in hispanic and non-hispanic white women. Am J Epidemiol, 154(5): 442-50.</w:t>
            </w:r>
          </w:p>
        </w:tc>
      </w:tr>
      <w:tr w:rsidR="00EF1E43" w:rsidRPr="00EF1E43" w14:paraId="2DEBF971" w14:textId="77777777" w:rsidTr="00CC61F1">
        <w:trPr>
          <w:cantSplit/>
        </w:trPr>
        <w:tc>
          <w:tcPr>
            <w:tcW w:w="1555" w:type="dxa"/>
            <w:shd w:val="clear" w:color="auto" w:fill="FFFFFF" w:themeFill="background1"/>
            <w:noWrap/>
            <w:vAlign w:val="center"/>
            <w:hideMark/>
          </w:tcPr>
          <w:p w14:paraId="027F656F" w14:textId="77777777" w:rsidR="00FF0F9B" w:rsidRPr="00EF1E43" w:rsidRDefault="00FF0F9B" w:rsidP="00374F41">
            <w:pPr>
              <w:jc w:val="center"/>
              <w:rPr>
                <w:sz w:val="24"/>
              </w:rPr>
            </w:pPr>
            <w:r w:rsidRPr="00EF1E43">
              <w:rPr>
                <w:sz w:val="24"/>
              </w:rPr>
              <w:t>4690</w:t>
            </w:r>
          </w:p>
        </w:tc>
        <w:tc>
          <w:tcPr>
            <w:tcW w:w="7371" w:type="dxa"/>
            <w:shd w:val="clear" w:color="auto" w:fill="FFFFFF" w:themeFill="background1"/>
            <w:vAlign w:val="center"/>
            <w:hideMark/>
          </w:tcPr>
          <w:p w14:paraId="6C63060C" w14:textId="77777777" w:rsidR="00FF0F9B" w:rsidRPr="00EF1E43" w:rsidRDefault="00FF0F9B" w:rsidP="00374F41">
            <w:pPr>
              <w:rPr>
                <w:sz w:val="24"/>
              </w:rPr>
            </w:pPr>
            <w:r w:rsidRPr="00EF1E43">
              <w:rPr>
                <w:sz w:val="24"/>
              </w:rPr>
              <w:t>Giovannucci E, Stampfer MJ, Colditz GA, et al (1993). Recall and selection bias in reporting past alcohol consumption among breast cases. Cancer Causes Control, 4(5): 441-8.</w:t>
            </w:r>
          </w:p>
        </w:tc>
      </w:tr>
      <w:tr w:rsidR="00EF1E43" w:rsidRPr="00EF1E43" w14:paraId="577853B2" w14:textId="77777777" w:rsidTr="00CC61F1">
        <w:trPr>
          <w:cantSplit/>
        </w:trPr>
        <w:tc>
          <w:tcPr>
            <w:tcW w:w="1555" w:type="dxa"/>
            <w:shd w:val="clear" w:color="auto" w:fill="FFFFFF" w:themeFill="background1"/>
            <w:noWrap/>
            <w:vAlign w:val="center"/>
            <w:hideMark/>
          </w:tcPr>
          <w:p w14:paraId="50CD3100" w14:textId="77777777" w:rsidR="00FF0F9B" w:rsidRPr="00EF1E43" w:rsidRDefault="00FF0F9B" w:rsidP="00374F41">
            <w:pPr>
              <w:jc w:val="center"/>
              <w:rPr>
                <w:sz w:val="24"/>
              </w:rPr>
            </w:pPr>
            <w:r w:rsidRPr="00EF1E43">
              <w:rPr>
                <w:sz w:val="24"/>
              </w:rPr>
              <w:t>9217</w:t>
            </w:r>
          </w:p>
        </w:tc>
        <w:tc>
          <w:tcPr>
            <w:tcW w:w="7371" w:type="dxa"/>
            <w:shd w:val="clear" w:color="auto" w:fill="FFFFFF" w:themeFill="background1"/>
            <w:vAlign w:val="center"/>
            <w:hideMark/>
          </w:tcPr>
          <w:p w14:paraId="6ADDBBBE" w14:textId="77777777" w:rsidR="00FF0F9B" w:rsidRPr="00EF1E43" w:rsidRDefault="00FF0F9B" w:rsidP="00374F41">
            <w:pPr>
              <w:rPr>
                <w:sz w:val="24"/>
              </w:rPr>
            </w:pPr>
            <w:r w:rsidRPr="00EF1E43">
              <w:rPr>
                <w:sz w:val="24"/>
              </w:rPr>
              <w:t>Giovannucci E, Stampfer MJ, Colditz GA, et al (1993). A comparison of prospective and retrospective assessments of diet in the study of breast cancer. Am J Epidemiol, 137(5): 502-11.</w:t>
            </w:r>
          </w:p>
        </w:tc>
      </w:tr>
      <w:tr w:rsidR="00EF1E43" w:rsidRPr="00EF1E43" w14:paraId="235B2711" w14:textId="77777777" w:rsidTr="00CC61F1">
        <w:trPr>
          <w:cantSplit/>
        </w:trPr>
        <w:tc>
          <w:tcPr>
            <w:tcW w:w="1555" w:type="dxa"/>
            <w:shd w:val="clear" w:color="auto" w:fill="FFFFFF" w:themeFill="background1"/>
            <w:noWrap/>
            <w:vAlign w:val="center"/>
            <w:hideMark/>
          </w:tcPr>
          <w:p w14:paraId="3E2FAE41" w14:textId="77777777" w:rsidR="00FF0F9B" w:rsidRPr="00EF1E43" w:rsidRDefault="00FF0F9B" w:rsidP="00374F41">
            <w:pPr>
              <w:jc w:val="center"/>
              <w:rPr>
                <w:sz w:val="24"/>
              </w:rPr>
            </w:pPr>
            <w:r w:rsidRPr="00EF1E43">
              <w:rPr>
                <w:sz w:val="24"/>
              </w:rPr>
              <w:t>71632</w:t>
            </w:r>
          </w:p>
        </w:tc>
        <w:tc>
          <w:tcPr>
            <w:tcW w:w="7371" w:type="dxa"/>
            <w:shd w:val="clear" w:color="auto" w:fill="FFFFFF" w:themeFill="background1"/>
            <w:vAlign w:val="center"/>
            <w:hideMark/>
          </w:tcPr>
          <w:p w14:paraId="463CBE3E" w14:textId="77777777" w:rsidR="00FF0F9B" w:rsidRPr="00EF1E43" w:rsidRDefault="00FF0F9B" w:rsidP="00374F41">
            <w:pPr>
              <w:rPr>
                <w:sz w:val="24"/>
              </w:rPr>
            </w:pPr>
            <w:r w:rsidRPr="00EF1E43">
              <w:rPr>
                <w:sz w:val="24"/>
              </w:rPr>
              <w:t>Goh J, Kirk EA, Lee SX, et al (2012). Exercise, physical activity and breast cancer: the role of tumor-associated macrophages. Exerc Immunol Rev, 18: 158-76.</w:t>
            </w:r>
          </w:p>
        </w:tc>
      </w:tr>
      <w:tr w:rsidR="00EF1E43" w:rsidRPr="00EF1E43" w14:paraId="7596EE91" w14:textId="77777777" w:rsidTr="00CC61F1">
        <w:trPr>
          <w:cantSplit/>
        </w:trPr>
        <w:tc>
          <w:tcPr>
            <w:tcW w:w="1555" w:type="dxa"/>
            <w:shd w:val="clear" w:color="auto" w:fill="FFFFFF" w:themeFill="background1"/>
            <w:noWrap/>
            <w:vAlign w:val="center"/>
            <w:hideMark/>
          </w:tcPr>
          <w:p w14:paraId="7AF68925" w14:textId="77777777" w:rsidR="00FF0F9B" w:rsidRPr="00EF1E43" w:rsidRDefault="00FF0F9B" w:rsidP="00374F41">
            <w:pPr>
              <w:jc w:val="center"/>
              <w:rPr>
                <w:sz w:val="24"/>
              </w:rPr>
            </w:pPr>
            <w:r w:rsidRPr="00EF1E43">
              <w:rPr>
                <w:sz w:val="24"/>
              </w:rPr>
              <w:t>87195</w:t>
            </w:r>
          </w:p>
        </w:tc>
        <w:tc>
          <w:tcPr>
            <w:tcW w:w="7371" w:type="dxa"/>
            <w:shd w:val="clear" w:color="auto" w:fill="FFFFFF" w:themeFill="background1"/>
            <w:vAlign w:val="center"/>
            <w:hideMark/>
          </w:tcPr>
          <w:p w14:paraId="5EF845B4" w14:textId="77777777" w:rsidR="00FF0F9B" w:rsidRPr="00EF1E43" w:rsidRDefault="00FF0F9B" w:rsidP="00374F41">
            <w:pPr>
              <w:rPr>
                <w:sz w:val="24"/>
              </w:rPr>
            </w:pPr>
            <w:r w:rsidRPr="00EF1E43">
              <w:rPr>
                <w:sz w:val="24"/>
              </w:rPr>
              <w:t>Goldberg M, Labreche F, Weichenthal S, et al (2018). Number concentrations of ultrafine particles and the incidence of postmenopausal breast cancer. Environ Epidemiol, 2(1): e006.</w:t>
            </w:r>
          </w:p>
        </w:tc>
      </w:tr>
      <w:tr w:rsidR="00EF1E43" w:rsidRPr="00EF1E43" w14:paraId="2C3204BC" w14:textId="77777777" w:rsidTr="00CC61F1">
        <w:trPr>
          <w:cantSplit/>
        </w:trPr>
        <w:tc>
          <w:tcPr>
            <w:tcW w:w="1555" w:type="dxa"/>
            <w:shd w:val="clear" w:color="auto" w:fill="FFFFFF" w:themeFill="background1"/>
            <w:noWrap/>
            <w:vAlign w:val="center"/>
            <w:hideMark/>
          </w:tcPr>
          <w:p w14:paraId="3A4B2B42" w14:textId="77777777" w:rsidR="00FF0F9B" w:rsidRPr="00EF1E43" w:rsidRDefault="00FF0F9B" w:rsidP="00374F41">
            <w:pPr>
              <w:jc w:val="center"/>
              <w:rPr>
                <w:sz w:val="24"/>
              </w:rPr>
            </w:pPr>
            <w:r w:rsidRPr="00EF1E43">
              <w:rPr>
                <w:sz w:val="24"/>
              </w:rPr>
              <w:t>9218</w:t>
            </w:r>
          </w:p>
        </w:tc>
        <w:tc>
          <w:tcPr>
            <w:tcW w:w="7371" w:type="dxa"/>
            <w:shd w:val="clear" w:color="auto" w:fill="FFFFFF" w:themeFill="background1"/>
            <w:vAlign w:val="center"/>
            <w:hideMark/>
          </w:tcPr>
          <w:p w14:paraId="70C7631B" w14:textId="77777777" w:rsidR="00FF0F9B" w:rsidRPr="00EF1E43" w:rsidRDefault="00FF0F9B" w:rsidP="00374F41">
            <w:pPr>
              <w:rPr>
                <w:sz w:val="24"/>
              </w:rPr>
            </w:pPr>
            <w:r w:rsidRPr="00EF1E43">
              <w:rPr>
                <w:sz w:val="24"/>
              </w:rPr>
              <w:t>Goldberg MS, Labreche F (1996). Occupational risk factors for female breast cancer: a review. Occup Environ Med, 53(3): 145-56.</w:t>
            </w:r>
          </w:p>
        </w:tc>
      </w:tr>
      <w:tr w:rsidR="00EF1E43" w:rsidRPr="00EF1E43" w14:paraId="0D62AB1B" w14:textId="77777777" w:rsidTr="00CC61F1">
        <w:trPr>
          <w:cantSplit/>
        </w:trPr>
        <w:tc>
          <w:tcPr>
            <w:tcW w:w="1555" w:type="dxa"/>
            <w:shd w:val="clear" w:color="auto" w:fill="FFFFFF" w:themeFill="background1"/>
            <w:noWrap/>
            <w:vAlign w:val="center"/>
            <w:hideMark/>
          </w:tcPr>
          <w:p w14:paraId="15EC78F1" w14:textId="77777777" w:rsidR="00FF0F9B" w:rsidRPr="00EF1E43" w:rsidRDefault="00FF0F9B" w:rsidP="00374F41">
            <w:pPr>
              <w:jc w:val="center"/>
              <w:rPr>
                <w:sz w:val="24"/>
              </w:rPr>
            </w:pPr>
            <w:r w:rsidRPr="00EF1E43">
              <w:rPr>
                <w:sz w:val="24"/>
              </w:rPr>
              <w:t>87207</w:t>
            </w:r>
          </w:p>
        </w:tc>
        <w:tc>
          <w:tcPr>
            <w:tcW w:w="7371" w:type="dxa"/>
            <w:shd w:val="clear" w:color="auto" w:fill="FFFFFF" w:themeFill="background1"/>
            <w:vAlign w:val="center"/>
            <w:hideMark/>
          </w:tcPr>
          <w:p w14:paraId="2BE86475" w14:textId="77777777" w:rsidR="00FF0F9B" w:rsidRPr="00EF1E43" w:rsidRDefault="00FF0F9B" w:rsidP="00374F41">
            <w:pPr>
              <w:rPr>
                <w:sz w:val="24"/>
              </w:rPr>
            </w:pPr>
            <w:r w:rsidRPr="00EF1E43">
              <w:rPr>
                <w:sz w:val="24"/>
              </w:rPr>
              <w:t>Goldberg MS, Labreche F, Weichenthal S, et al (2017). The association between the incidence of postmenopausal breast cancer and concentrations at street-level of nitrogen dioxide and ultrafine particles. Environ Res, 158: 7-15.</w:t>
            </w:r>
          </w:p>
        </w:tc>
      </w:tr>
      <w:tr w:rsidR="00EF1E43" w:rsidRPr="00EF1E43" w14:paraId="33608CE8" w14:textId="77777777" w:rsidTr="00CC61F1">
        <w:trPr>
          <w:cantSplit/>
        </w:trPr>
        <w:tc>
          <w:tcPr>
            <w:tcW w:w="1555" w:type="dxa"/>
            <w:shd w:val="clear" w:color="auto" w:fill="FFFFFF" w:themeFill="background1"/>
            <w:noWrap/>
            <w:vAlign w:val="center"/>
            <w:hideMark/>
          </w:tcPr>
          <w:p w14:paraId="1D4AF30B" w14:textId="77777777" w:rsidR="00FF0F9B" w:rsidRPr="00EF1E43" w:rsidRDefault="00FF0F9B" w:rsidP="00374F41">
            <w:pPr>
              <w:jc w:val="center"/>
              <w:rPr>
                <w:sz w:val="24"/>
              </w:rPr>
            </w:pPr>
            <w:r w:rsidRPr="00EF1E43">
              <w:rPr>
                <w:sz w:val="24"/>
              </w:rPr>
              <w:t>66306</w:t>
            </w:r>
          </w:p>
        </w:tc>
        <w:tc>
          <w:tcPr>
            <w:tcW w:w="7371" w:type="dxa"/>
            <w:shd w:val="clear" w:color="auto" w:fill="FFFFFF" w:themeFill="background1"/>
            <w:vAlign w:val="center"/>
            <w:hideMark/>
          </w:tcPr>
          <w:p w14:paraId="5F5AA45E" w14:textId="77777777" w:rsidR="00FF0F9B" w:rsidRPr="00EF1E43" w:rsidRDefault="00FF0F9B" w:rsidP="00374F41">
            <w:pPr>
              <w:rPr>
                <w:sz w:val="24"/>
              </w:rPr>
            </w:pPr>
            <w:r w:rsidRPr="00EF1E43">
              <w:rPr>
                <w:sz w:val="24"/>
              </w:rPr>
              <w:t>Golden R, Kimbrough R (2009). Weight of evidence evaluation of potential human cancer risks from exposure to polychlorinated biphenyls: an update based on studies published since 2003. Crit Rev Toxicol, 39(4): 299-331.</w:t>
            </w:r>
          </w:p>
        </w:tc>
      </w:tr>
      <w:tr w:rsidR="00EF1E43" w:rsidRPr="00EF1E43" w14:paraId="6C2DBFAB" w14:textId="77777777" w:rsidTr="00CC61F1">
        <w:trPr>
          <w:cantSplit/>
        </w:trPr>
        <w:tc>
          <w:tcPr>
            <w:tcW w:w="1555" w:type="dxa"/>
            <w:shd w:val="clear" w:color="auto" w:fill="FFFFFF" w:themeFill="background1"/>
            <w:noWrap/>
            <w:vAlign w:val="center"/>
            <w:hideMark/>
          </w:tcPr>
          <w:p w14:paraId="1A0A6332" w14:textId="77777777" w:rsidR="00FF0F9B" w:rsidRPr="00EF1E43" w:rsidRDefault="00FF0F9B" w:rsidP="00374F41">
            <w:pPr>
              <w:jc w:val="center"/>
              <w:rPr>
                <w:sz w:val="24"/>
              </w:rPr>
            </w:pPr>
            <w:r w:rsidRPr="00EF1E43">
              <w:rPr>
                <w:sz w:val="24"/>
              </w:rPr>
              <w:t>71633</w:t>
            </w:r>
          </w:p>
        </w:tc>
        <w:tc>
          <w:tcPr>
            <w:tcW w:w="7371" w:type="dxa"/>
            <w:shd w:val="clear" w:color="auto" w:fill="FFFFFF" w:themeFill="background1"/>
            <w:vAlign w:val="center"/>
            <w:hideMark/>
          </w:tcPr>
          <w:p w14:paraId="1B8C3083" w14:textId="77777777" w:rsidR="00FF0F9B" w:rsidRPr="00EF1E43" w:rsidRDefault="00FF0F9B" w:rsidP="00374F41">
            <w:pPr>
              <w:rPr>
                <w:sz w:val="24"/>
              </w:rPr>
            </w:pPr>
            <w:r w:rsidRPr="00EF1E43">
              <w:rPr>
                <w:sz w:val="24"/>
              </w:rPr>
              <w:t>Gompel A, Santen RJ (2012). Hormone therapy and breast cancer risk 10 years after the WHI. Climacteric, 15(3): 241-9.</w:t>
            </w:r>
          </w:p>
        </w:tc>
      </w:tr>
      <w:tr w:rsidR="00EF1E43" w:rsidRPr="00EF1E43" w14:paraId="00998E14" w14:textId="77777777" w:rsidTr="00CC61F1">
        <w:trPr>
          <w:cantSplit/>
        </w:trPr>
        <w:tc>
          <w:tcPr>
            <w:tcW w:w="1555" w:type="dxa"/>
            <w:shd w:val="clear" w:color="auto" w:fill="FFFFFF" w:themeFill="background1"/>
            <w:noWrap/>
            <w:vAlign w:val="center"/>
            <w:hideMark/>
          </w:tcPr>
          <w:p w14:paraId="321EF829" w14:textId="77777777" w:rsidR="00FF0F9B" w:rsidRPr="00EF1E43" w:rsidRDefault="00FF0F9B" w:rsidP="00374F41">
            <w:pPr>
              <w:jc w:val="center"/>
              <w:rPr>
                <w:sz w:val="24"/>
              </w:rPr>
            </w:pPr>
            <w:r w:rsidRPr="00EF1E43">
              <w:rPr>
                <w:sz w:val="24"/>
              </w:rPr>
              <w:t>10275</w:t>
            </w:r>
          </w:p>
        </w:tc>
        <w:tc>
          <w:tcPr>
            <w:tcW w:w="7371" w:type="dxa"/>
            <w:shd w:val="clear" w:color="auto" w:fill="FFFFFF" w:themeFill="background1"/>
            <w:vAlign w:val="center"/>
            <w:hideMark/>
          </w:tcPr>
          <w:p w14:paraId="69230C3E" w14:textId="77777777" w:rsidR="00FF0F9B" w:rsidRPr="00EF1E43" w:rsidRDefault="00FF0F9B" w:rsidP="00374F41">
            <w:pPr>
              <w:rPr>
                <w:sz w:val="24"/>
              </w:rPr>
            </w:pPr>
            <w:r w:rsidRPr="00EF1E43">
              <w:rPr>
                <w:sz w:val="24"/>
              </w:rPr>
              <w:t>Gorman JD, Champaign JL, Sumida FK, et al (1992). Schistosomiasis involving the breast. Radiology, 185(2): 423-4.</w:t>
            </w:r>
          </w:p>
        </w:tc>
      </w:tr>
      <w:tr w:rsidR="00EF1E43" w:rsidRPr="00EF1E43" w14:paraId="49A9C606" w14:textId="77777777" w:rsidTr="00CC61F1">
        <w:trPr>
          <w:cantSplit/>
        </w:trPr>
        <w:tc>
          <w:tcPr>
            <w:tcW w:w="1555" w:type="dxa"/>
            <w:shd w:val="clear" w:color="auto" w:fill="FFFFFF" w:themeFill="background1"/>
            <w:noWrap/>
            <w:vAlign w:val="center"/>
            <w:hideMark/>
          </w:tcPr>
          <w:p w14:paraId="1DEC49CB" w14:textId="77777777" w:rsidR="00FF0F9B" w:rsidRPr="00EF1E43" w:rsidRDefault="00FF0F9B" w:rsidP="00374F41">
            <w:pPr>
              <w:jc w:val="center"/>
              <w:rPr>
                <w:sz w:val="24"/>
              </w:rPr>
            </w:pPr>
            <w:r w:rsidRPr="00EF1E43">
              <w:rPr>
                <w:sz w:val="24"/>
              </w:rPr>
              <w:t>9219</w:t>
            </w:r>
          </w:p>
        </w:tc>
        <w:tc>
          <w:tcPr>
            <w:tcW w:w="7371" w:type="dxa"/>
            <w:shd w:val="clear" w:color="auto" w:fill="FFFFFF" w:themeFill="background1"/>
            <w:vAlign w:val="center"/>
            <w:hideMark/>
          </w:tcPr>
          <w:p w14:paraId="0CD7B0E4" w14:textId="77777777" w:rsidR="00FF0F9B" w:rsidRPr="00EF1E43" w:rsidRDefault="00FF0F9B" w:rsidP="00374F41">
            <w:pPr>
              <w:rPr>
                <w:sz w:val="24"/>
              </w:rPr>
            </w:pPr>
            <w:r w:rsidRPr="00EF1E43">
              <w:rPr>
                <w:sz w:val="24"/>
              </w:rPr>
              <w:t>Graham S, Hellmann R, Marshall J, et al (1991). Nutritional epidemiology of postmenopausal breast cancer in western New York. Am J Epidemiol, 134(6): 552-66.</w:t>
            </w:r>
          </w:p>
        </w:tc>
      </w:tr>
      <w:tr w:rsidR="00EF1E43" w:rsidRPr="00EF1E43" w14:paraId="758324C8" w14:textId="77777777" w:rsidTr="00CC61F1">
        <w:trPr>
          <w:cantSplit/>
        </w:trPr>
        <w:tc>
          <w:tcPr>
            <w:tcW w:w="1555" w:type="dxa"/>
            <w:shd w:val="clear" w:color="auto" w:fill="FFFFFF" w:themeFill="background1"/>
            <w:noWrap/>
            <w:vAlign w:val="center"/>
            <w:hideMark/>
          </w:tcPr>
          <w:p w14:paraId="111EB64D" w14:textId="77777777" w:rsidR="00FF0F9B" w:rsidRPr="00EF1E43" w:rsidRDefault="00FF0F9B" w:rsidP="00374F41">
            <w:pPr>
              <w:jc w:val="center"/>
              <w:rPr>
                <w:sz w:val="24"/>
              </w:rPr>
            </w:pPr>
            <w:r w:rsidRPr="00EF1E43">
              <w:rPr>
                <w:sz w:val="24"/>
              </w:rPr>
              <w:t>35685</w:t>
            </w:r>
          </w:p>
        </w:tc>
        <w:tc>
          <w:tcPr>
            <w:tcW w:w="7371" w:type="dxa"/>
            <w:shd w:val="clear" w:color="auto" w:fill="FFFFFF" w:themeFill="background1"/>
            <w:vAlign w:val="center"/>
            <w:hideMark/>
          </w:tcPr>
          <w:p w14:paraId="62446929" w14:textId="77777777" w:rsidR="00FF0F9B" w:rsidRPr="00EF1E43" w:rsidRDefault="00FF0F9B" w:rsidP="00374F41">
            <w:pPr>
              <w:rPr>
                <w:sz w:val="24"/>
              </w:rPr>
            </w:pPr>
            <w:r w:rsidRPr="00EF1E43">
              <w:rPr>
                <w:sz w:val="24"/>
              </w:rPr>
              <w:t>Gram IT, Braaten T, Terry PD, et al (2005). Breast cancer risk among women who start smoking as teenagers. Cancer Epidemiol Biomarkers Prev, 14(1): 61-6.</w:t>
            </w:r>
          </w:p>
        </w:tc>
      </w:tr>
      <w:tr w:rsidR="00EF1E43" w:rsidRPr="00EF1E43" w14:paraId="07C8311D" w14:textId="77777777" w:rsidTr="00CC61F1">
        <w:trPr>
          <w:cantSplit/>
        </w:trPr>
        <w:tc>
          <w:tcPr>
            <w:tcW w:w="1555" w:type="dxa"/>
            <w:shd w:val="clear" w:color="auto" w:fill="FFFFFF" w:themeFill="background1"/>
            <w:noWrap/>
            <w:vAlign w:val="center"/>
            <w:hideMark/>
          </w:tcPr>
          <w:p w14:paraId="4326F329" w14:textId="77777777" w:rsidR="00FF0F9B" w:rsidRPr="00EF1E43" w:rsidRDefault="00FF0F9B" w:rsidP="00374F41">
            <w:pPr>
              <w:jc w:val="center"/>
              <w:rPr>
                <w:sz w:val="24"/>
              </w:rPr>
            </w:pPr>
            <w:r w:rsidRPr="00EF1E43">
              <w:rPr>
                <w:sz w:val="24"/>
              </w:rPr>
              <w:t>87205</w:t>
            </w:r>
          </w:p>
        </w:tc>
        <w:tc>
          <w:tcPr>
            <w:tcW w:w="7371" w:type="dxa"/>
            <w:shd w:val="clear" w:color="auto" w:fill="FFFFFF" w:themeFill="background1"/>
            <w:vAlign w:val="center"/>
            <w:hideMark/>
          </w:tcPr>
          <w:p w14:paraId="484B31F4" w14:textId="77777777" w:rsidR="00FF0F9B" w:rsidRPr="00EF1E43" w:rsidRDefault="00FF0F9B" w:rsidP="00374F41">
            <w:pPr>
              <w:rPr>
                <w:sz w:val="24"/>
              </w:rPr>
            </w:pPr>
            <w:r w:rsidRPr="00EF1E43">
              <w:rPr>
                <w:sz w:val="24"/>
              </w:rPr>
              <w:t>Gray JM, Rasanayagam S, Engel C, et al (2017). State of the evidence 2017: an update on the connection between breast cancer and the environment. Environ Health, 16(1): 94.</w:t>
            </w:r>
          </w:p>
        </w:tc>
      </w:tr>
      <w:tr w:rsidR="00EF1E43" w:rsidRPr="00EF1E43" w14:paraId="4E78C7C4" w14:textId="77777777" w:rsidTr="00CC61F1">
        <w:trPr>
          <w:cantSplit/>
        </w:trPr>
        <w:tc>
          <w:tcPr>
            <w:tcW w:w="1555" w:type="dxa"/>
            <w:shd w:val="clear" w:color="auto" w:fill="FFFFFF" w:themeFill="background1"/>
            <w:noWrap/>
            <w:vAlign w:val="center"/>
            <w:hideMark/>
          </w:tcPr>
          <w:p w14:paraId="2610E65A" w14:textId="77777777" w:rsidR="00FF0F9B" w:rsidRPr="00EF1E43" w:rsidRDefault="00FF0F9B" w:rsidP="00374F41">
            <w:pPr>
              <w:jc w:val="center"/>
              <w:rPr>
                <w:sz w:val="24"/>
              </w:rPr>
            </w:pPr>
            <w:r w:rsidRPr="00EF1E43">
              <w:rPr>
                <w:sz w:val="24"/>
              </w:rPr>
              <w:lastRenderedPageBreak/>
              <w:t>52517</w:t>
            </w:r>
          </w:p>
        </w:tc>
        <w:tc>
          <w:tcPr>
            <w:tcW w:w="7371" w:type="dxa"/>
            <w:shd w:val="clear" w:color="auto" w:fill="FFFFFF" w:themeFill="background1"/>
            <w:vAlign w:val="center"/>
            <w:hideMark/>
          </w:tcPr>
          <w:p w14:paraId="7161C2BD" w14:textId="77777777" w:rsidR="00FF0F9B" w:rsidRPr="00EF1E43" w:rsidRDefault="00FF0F9B" w:rsidP="00374F41">
            <w:pPr>
              <w:rPr>
                <w:sz w:val="24"/>
              </w:rPr>
            </w:pPr>
            <w:r w:rsidRPr="00EF1E43">
              <w:rPr>
                <w:sz w:val="24"/>
              </w:rPr>
              <w:t>Grosse Y, Baan R, Straif K, et al (2007). Carcinogenicity of 1,3-butadiene, ethylene oxide, vinyl chloride, vinyl fluoride, and vinyl bromide. Lancet Oncol, 8(8): 679-80.</w:t>
            </w:r>
          </w:p>
        </w:tc>
      </w:tr>
      <w:tr w:rsidR="00EF1E43" w:rsidRPr="00EF1E43" w14:paraId="02BE0006" w14:textId="77777777" w:rsidTr="00CC61F1">
        <w:trPr>
          <w:cantSplit/>
        </w:trPr>
        <w:tc>
          <w:tcPr>
            <w:tcW w:w="1555" w:type="dxa"/>
            <w:shd w:val="clear" w:color="auto" w:fill="FFFFFF" w:themeFill="background1"/>
            <w:noWrap/>
            <w:vAlign w:val="center"/>
            <w:hideMark/>
          </w:tcPr>
          <w:p w14:paraId="0A9494D4" w14:textId="77777777" w:rsidR="00FF0F9B" w:rsidRPr="00EF1E43" w:rsidRDefault="00FF0F9B" w:rsidP="00374F41">
            <w:pPr>
              <w:jc w:val="center"/>
              <w:rPr>
                <w:sz w:val="24"/>
              </w:rPr>
            </w:pPr>
            <w:r w:rsidRPr="00EF1E43">
              <w:rPr>
                <w:sz w:val="24"/>
              </w:rPr>
              <w:t>35629</w:t>
            </w:r>
          </w:p>
        </w:tc>
        <w:tc>
          <w:tcPr>
            <w:tcW w:w="7371" w:type="dxa"/>
            <w:shd w:val="clear" w:color="auto" w:fill="FFFFFF" w:themeFill="background1"/>
            <w:vAlign w:val="center"/>
            <w:hideMark/>
          </w:tcPr>
          <w:p w14:paraId="011E4EB4" w14:textId="77777777" w:rsidR="00FF0F9B" w:rsidRPr="00EF1E43" w:rsidRDefault="00FF0F9B" w:rsidP="00374F41">
            <w:pPr>
              <w:rPr>
                <w:sz w:val="24"/>
              </w:rPr>
            </w:pPr>
            <w:r w:rsidRPr="00EF1E43">
              <w:rPr>
                <w:sz w:val="24"/>
              </w:rPr>
              <w:t>Guenel P, Cyr D, Sabroe S, et al (2004). Alcohol drinking may increase risk of breast cancer in men: a European population-based case-control study. Cancer Causes Control, 15(6): 571-80.</w:t>
            </w:r>
          </w:p>
        </w:tc>
      </w:tr>
      <w:tr w:rsidR="00EF1E43" w:rsidRPr="00EF1E43" w14:paraId="1F7FF76B" w14:textId="77777777" w:rsidTr="00CC61F1">
        <w:trPr>
          <w:cantSplit/>
        </w:trPr>
        <w:tc>
          <w:tcPr>
            <w:tcW w:w="1555" w:type="dxa"/>
            <w:shd w:val="clear" w:color="auto" w:fill="FFFFFF" w:themeFill="background1"/>
            <w:noWrap/>
            <w:vAlign w:val="center"/>
            <w:hideMark/>
          </w:tcPr>
          <w:p w14:paraId="4E13953C" w14:textId="77777777" w:rsidR="00FF0F9B" w:rsidRPr="00EF1E43" w:rsidRDefault="00FF0F9B" w:rsidP="00374F41">
            <w:pPr>
              <w:jc w:val="center"/>
              <w:rPr>
                <w:sz w:val="24"/>
              </w:rPr>
            </w:pPr>
            <w:r w:rsidRPr="00EF1E43">
              <w:rPr>
                <w:sz w:val="24"/>
              </w:rPr>
              <w:t>35595</w:t>
            </w:r>
          </w:p>
        </w:tc>
        <w:tc>
          <w:tcPr>
            <w:tcW w:w="7371" w:type="dxa"/>
            <w:shd w:val="clear" w:color="auto" w:fill="FFFFFF" w:themeFill="background1"/>
            <w:vAlign w:val="center"/>
            <w:hideMark/>
          </w:tcPr>
          <w:p w14:paraId="605106D5" w14:textId="77777777" w:rsidR="00FF0F9B" w:rsidRPr="00EF1E43" w:rsidRDefault="00FF0F9B" w:rsidP="00374F41">
            <w:pPr>
              <w:rPr>
                <w:sz w:val="24"/>
              </w:rPr>
            </w:pPr>
            <w:r w:rsidRPr="00EF1E43">
              <w:rPr>
                <w:sz w:val="24"/>
              </w:rPr>
              <w:t>Guibout C, Adjadj E, Rubino C, et al (2005). Malignant breast tumors after radiotherapy for a first cancer during childhood. J Clin Oncol, 23(1): 197-204.</w:t>
            </w:r>
          </w:p>
        </w:tc>
      </w:tr>
      <w:tr w:rsidR="00EF1E43" w:rsidRPr="00EF1E43" w14:paraId="398A470D" w14:textId="77777777" w:rsidTr="00CC61F1">
        <w:trPr>
          <w:cantSplit/>
        </w:trPr>
        <w:tc>
          <w:tcPr>
            <w:tcW w:w="1555" w:type="dxa"/>
            <w:shd w:val="clear" w:color="auto" w:fill="FFFFFF" w:themeFill="background1"/>
            <w:noWrap/>
            <w:vAlign w:val="center"/>
            <w:hideMark/>
          </w:tcPr>
          <w:p w14:paraId="0B4375C7" w14:textId="77777777" w:rsidR="00FF0F9B" w:rsidRPr="00EF1E43" w:rsidRDefault="00FF0F9B" w:rsidP="00374F41">
            <w:pPr>
              <w:jc w:val="center"/>
              <w:rPr>
                <w:sz w:val="24"/>
              </w:rPr>
            </w:pPr>
            <w:r w:rsidRPr="00EF1E43">
              <w:rPr>
                <w:sz w:val="24"/>
              </w:rPr>
              <w:t>50710</w:t>
            </w:r>
          </w:p>
        </w:tc>
        <w:tc>
          <w:tcPr>
            <w:tcW w:w="7371" w:type="dxa"/>
            <w:shd w:val="clear" w:color="auto" w:fill="FFFFFF" w:themeFill="background1"/>
            <w:vAlign w:val="center"/>
            <w:hideMark/>
          </w:tcPr>
          <w:p w14:paraId="360A05B8" w14:textId="77777777" w:rsidR="00FF0F9B" w:rsidRPr="00EF1E43" w:rsidRDefault="00FF0F9B" w:rsidP="00374F41">
            <w:pPr>
              <w:rPr>
                <w:sz w:val="24"/>
              </w:rPr>
            </w:pPr>
            <w:r w:rsidRPr="00EF1E43">
              <w:rPr>
                <w:sz w:val="24"/>
              </w:rPr>
              <w:t>Guidotti TL (2007). Evaluating causality for occupational cancers: the example of firefighters. Occup Med, 57(7): 466-71.</w:t>
            </w:r>
          </w:p>
        </w:tc>
      </w:tr>
      <w:tr w:rsidR="00EF1E43" w:rsidRPr="00EF1E43" w14:paraId="1D91515E" w14:textId="77777777" w:rsidTr="00CC61F1">
        <w:trPr>
          <w:cantSplit/>
        </w:trPr>
        <w:tc>
          <w:tcPr>
            <w:tcW w:w="1555" w:type="dxa"/>
            <w:shd w:val="clear" w:color="auto" w:fill="FFFFFF" w:themeFill="background1"/>
            <w:noWrap/>
            <w:vAlign w:val="center"/>
            <w:hideMark/>
          </w:tcPr>
          <w:p w14:paraId="08D48416" w14:textId="77777777" w:rsidR="00FF0F9B" w:rsidRPr="00EF1E43" w:rsidRDefault="00FF0F9B" w:rsidP="00374F41">
            <w:pPr>
              <w:jc w:val="center"/>
              <w:rPr>
                <w:sz w:val="24"/>
              </w:rPr>
            </w:pPr>
            <w:r w:rsidRPr="00EF1E43">
              <w:rPr>
                <w:sz w:val="24"/>
              </w:rPr>
              <w:t>72440</w:t>
            </w:r>
          </w:p>
        </w:tc>
        <w:tc>
          <w:tcPr>
            <w:tcW w:w="7371" w:type="dxa"/>
            <w:shd w:val="clear" w:color="auto" w:fill="FFFFFF" w:themeFill="background1"/>
            <w:vAlign w:val="center"/>
            <w:hideMark/>
          </w:tcPr>
          <w:p w14:paraId="5BDBE29C" w14:textId="77777777" w:rsidR="00FF0F9B" w:rsidRPr="00EF1E43" w:rsidRDefault="00FF0F9B" w:rsidP="00374F41">
            <w:pPr>
              <w:rPr>
                <w:sz w:val="24"/>
              </w:rPr>
            </w:pPr>
            <w:r w:rsidRPr="00EF1E43">
              <w:rPr>
                <w:sz w:val="24"/>
              </w:rPr>
              <w:t>Guidotti TL (2014). Health Risks and Occupation as a Firefighter. Medical Advisory Services, Department of Veterans' Affairs, Commonwealth of Australia.</w:t>
            </w:r>
          </w:p>
        </w:tc>
      </w:tr>
      <w:tr w:rsidR="00EF1E43" w:rsidRPr="00EF1E43" w14:paraId="357E11B8" w14:textId="77777777" w:rsidTr="00CC61F1">
        <w:trPr>
          <w:cantSplit/>
        </w:trPr>
        <w:tc>
          <w:tcPr>
            <w:tcW w:w="1555" w:type="dxa"/>
            <w:shd w:val="clear" w:color="auto" w:fill="FFFFFF" w:themeFill="background1"/>
            <w:noWrap/>
            <w:vAlign w:val="center"/>
            <w:hideMark/>
          </w:tcPr>
          <w:p w14:paraId="6AEB3CB1" w14:textId="77777777" w:rsidR="00FF0F9B" w:rsidRPr="00EF1E43" w:rsidRDefault="00FF0F9B" w:rsidP="00374F41">
            <w:pPr>
              <w:jc w:val="center"/>
              <w:rPr>
                <w:sz w:val="24"/>
              </w:rPr>
            </w:pPr>
            <w:r w:rsidRPr="00EF1E43">
              <w:rPr>
                <w:sz w:val="24"/>
              </w:rPr>
              <w:t>80729</w:t>
            </w:r>
          </w:p>
        </w:tc>
        <w:tc>
          <w:tcPr>
            <w:tcW w:w="7371" w:type="dxa"/>
            <w:shd w:val="clear" w:color="auto" w:fill="FFFFFF" w:themeFill="background1"/>
            <w:vAlign w:val="center"/>
            <w:hideMark/>
          </w:tcPr>
          <w:p w14:paraId="5D843F52" w14:textId="77777777" w:rsidR="00FF0F9B" w:rsidRPr="00EF1E43" w:rsidRDefault="00FF0F9B" w:rsidP="00374F41">
            <w:pPr>
              <w:rPr>
                <w:sz w:val="24"/>
              </w:rPr>
            </w:pPr>
            <w:r w:rsidRPr="00EF1E43">
              <w:rPr>
                <w:sz w:val="24"/>
              </w:rPr>
              <w:t>Gun R, Parsons J, Ryan P, et al (2006). Australian Participants in British Nuclear Tests in Australia, Vol 2: Mortality and Cancer Incidence. Department of Veterans' Affairs, Canberra.</w:t>
            </w:r>
          </w:p>
        </w:tc>
      </w:tr>
      <w:tr w:rsidR="00EF1E43" w:rsidRPr="00EF1E43" w14:paraId="41A282C1" w14:textId="77777777" w:rsidTr="00CC61F1">
        <w:trPr>
          <w:cantSplit/>
        </w:trPr>
        <w:tc>
          <w:tcPr>
            <w:tcW w:w="1555" w:type="dxa"/>
            <w:shd w:val="clear" w:color="auto" w:fill="FFFFFF" w:themeFill="background1"/>
            <w:noWrap/>
            <w:vAlign w:val="center"/>
            <w:hideMark/>
          </w:tcPr>
          <w:p w14:paraId="407A8D05" w14:textId="77777777" w:rsidR="00FF0F9B" w:rsidRPr="00EF1E43" w:rsidRDefault="00FF0F9B" w:rsidP="00374F41">
            <w:pPr>
              <w:jc w:val="center"/>
              <w:rPr>
                <w:sz w:val="24"/>
              </w:rPr>
            </w:pPr>
            <w:r w:rsidRPr="00EF1E43">
              <w:rPr>
                <w:sz w:val="24"/>
              </w:rPr>
              <w:t>46931</w:t>
            </w:r>
          </w:p>
        </w:tc>
        <w:tc>
          <w:tcPr>
            <w:tcW w:w="7371" w:type="dxa"/>
            <w:shd w:val="clear" w:color="auto" w:fill="FFFFFF" w:themeFill="background1"/>
            <w:vAlign w:val="center"/>
            <w:hideMark/>
          </w:tcPr>
          <w:p w14:paraId="3880D61A" w14:textId="77777777" w:rsidR="00FF0F9B" w:rsidRPr="00EF1E43" w:rsidRDefault="00FF0F9B" w:rsidP="00374F41">
            <w:pPr>
              <w:rPr>
                <w:sz w:val="24"/>
              </w:rPr>
            </w:pPr>
            <w:r w:rsidRPr="00EF1E43">
              <w:rPr>
                <w:sz w:val="24"/>
              </w:rPr>
              <w:t>Guzelian P, Victoroff MS, Halmes NC, et al (2005). Evidence-based toxicology: a comprehensive framework for causation. Hum Experimental Toxicol, 24(4): 161-201.</w:t>
            </w:r>
          </w:p>
        </w:tc>
      </w:tr>
      <w:tr w:rsidR="00EF1E43" w:rsidRPr="00EF1E43" w14:paraId="302894D4" w14:textId="77777777" w:rsidTr="00CC61F1">
        <w:trPr>
          <w:cantSplit/>
        </w:trPr>
        <w:tc>
          <w:tcPr>
            <w:tcW w:w="1555" w:type="dxa"/>
            <w:shd w:val="clear" w:color="auto" w:fill="FFFFFF" w:themeFill="background1"/>
            <w:noWrap/>
            <w:vAlign w:val="center"/>
            <w:hideMark/>
          </w:tcPr>
          <w:p w14:paraId="127F01C1" w14:textId="77777777" w:rsidR="00FF0F9B" w:rsidRPr="00EF1E43" w:rsidRDefault="00FF0F9B" w:rsidP="00374F41">
            <w:pPr>
              <w:jc w:val="center"/>
              <w:rPr>
                <w:sz w:val="24"/>
              </w:rPr>
            </w:pPr>
            <w:r w:rsidRPr="00EF1E43">
              <w:rPr>
                <w:sz w:val="24"/>
              </w:rPr>
              <w:t>35582</w:t>
            </w:r>
          </w:p>
        </w:tc>
        <w:tc>
          <w:tcPr>
            <w:tcW w:w="7371" w:type="dxa"/>
            <w:shd w:val="clear" w:color="auto" w:fill="FFFFFF" w:themeFill="background1"/>
            <w:vAlign w:val="center"/>
            <w:hideMark/>
          </w:tcPr>
          <w:p w14:paraId="2D730236" w14:textId="77777777" w:rsidR="00FF0F9B" w:rsidRPr="00EF1E43" w:rsidRDefault="00FF0F9B" w:rsidP="00374F41">
            <w:pPr>
              <w:rPr>
                <w:sz w:val="24"/>
              </w:rPr>
            </w:pPr>
            <w:r w:rsidRPr="00EF1E43">
              <w:rPr>
                <w:sz w:val="24"/>
              </w:rPr>
              <w:t>Haffty BG (2003). Radiation therapy and the risk of contralateral breast cancer. Int J Radiat Oncol Biol Phys, 56(4): 920-1.</w:t>
            </w:r>
          </w:p>
        </w:tc>
      </w:tr>
      <w:tr w:rsidR="00EF1E43" w:rsidRPr="00EF1E43" w14:paraId="76545FA6" w14:textId="77777777" w:rsidTr="00CC61F1">
        <w:trPr>
          <w:cantSplit/>
        </w:trPr>
        <w:tc>
          <w:tcPr>
            <w:tcW w:w="1555" w:type="dxa"/>
            <w:shd w:val="clear" w:color="auto" w:fill="FFFFFF" w:themeFill="background1"/>
            <w:noWrap/>
            <w:vAlign w:val="center"/>
            <w:hideMark/>
          </w:tcPr>
          <w:p w14:paraId="1FE2603C" w14:textId="77777777" w:rsidR="00FF0F9B" w:rsidRPr="00EF1E43" w:rsidRDefault="00FF0F9B" w:rsidP="00374F41">
            <w:pPr>
              <w:jc w:val="center"/>
              <w:rPr>
                <w:sz w:val="24"/>
              </w:rPr>
            </w:pPr>
            <w:r w:rsidRPr="00EF1E43">
              <w:rPr>
                <w:sz w:val="24"/>
              </w:rPr>
              <w:t>35621</w:t>
            </w:r>
          </w:p>
        </w:tc>
        <w:tc>
          <w:tcPr>
            <w:tcW w:w="7371" w:type="dxa"/>
            <w:shd w:val="clear" w:color="auto" w:fill="FFFFFF" w:themeFill="background1"/>
            <w:vAlign w:val="center"/>
            <w:hideMark/>
          </w:tcPr>
          <w:p w14:paraId="4A92A1C2" w14:textId="77777777" w:rsidR="00FF0F9B" w:rsidRPr="00EF1E43" w:rsidRDefault="00FF0F9B" w:rsidP="00374F41">
            <w:pPr>
              <w:rPr>
                <w:sz w:val="24"/>
              </w:rPr>
            </w:pPr>
            <w:r w:rsidRPr="00EF1E43">
              <w:rPr>
                <w:sz w:val="24"/>
              </w:rPr>
              <w:t>Hall IJ, Moorman PG, Millikan RC, et al (2005). Comparative analysis of breast cancer risk factors among African-American women and white women. Am J Epidemiol, 161(1): 40-51.</w:t>
            </w:r>
          </w:p>
        </w:tc>
      </w:tr>
      <w:tr w:rsidR="00EF1E43" w:rsidRPr="00EF1E43" w14:paraId="086C07E6" w14:textId="77777777" w:rsidTr="00CC61F1">
        <w:trPr>
          <w:cantSplit/>
        </w:trPr>
        <w:tc>
          <w:tcPr>
            <w:tcW w:w="1555" w:type="dxa"/>
            <w:shd w:val="clear" w:color="auto" w:fill="FFFFFF" w:themeFill="background1"/>
            <w:noWrap/>
            <w:vAlign w:val="center"/>
          </w:tcPr>
          <w:p w14:paraId="1DE64AC8" w14:textId="77777777" w:rsidR="00FF0F9B" w:rsidRPr="00EF1E43" w:rsidRDefault="00FF0F9B" w:rsidP="00374F41">
            <w:pPr>
              <w:jc w:val="center"/>
              <w:rPr>
                <w:sz w:val="24"/>
              </w:rPr>
            </w:pPr>
            <w:r w:rsidRPr="00EF1E43">
              <w:rPr>
                <w:sz w:val="24"/>
              </w:rPr>
              <w:t>35654</w:t>
            </w:r>
          </w:p>
        </w:tc>
        <w:tc>
          <w:tcPr>
            <w:tcW w:w="7371" w:type="dxa"/>
            <w:shd w:val="clear" w:color="auto" w:fill="FFFFFF" w:themeFill="background1"/>
            <w:vAlign w:val="center"/>
          </w:tcPr>
          <w:p w14:paraId="26CFAEA7" w14:textId="77777777" w:rsidR="00FF0F9B" w:rsidRPr="00EF1E43" w:rsidRDefault="00FF0F9B" w:rsidP="00374F41">
            <w:pPr>
              <w:rPr>
                <w:sz w:val="24"/>
              </w:rPr>
            </w:pPr>
            <w:r w:rsidRPr="00EF1E43">
              <w:rPr>
                <w:sz w:val="24"/>
              </w:rPr>
              <w:t>Hamajima N, Hirose K, Tajima K, et al (2002). Alcohol, tobacco and breast cancer--collaborative reanalysis of individual data from 53 epidemiological studies, including 58,515 women with breast cancer and 95,067 women without the disease. Br J Cancer, 87(11): 1234-45.</w:t>
            </w:r>
          </w:p>
        </w:tc>
      </w:tr>
      <w:tr w:rsidR="00EF1E43" w:rsidRPr="00EF1E43" w14:paraId="13E4249A" w14:textId="77777777" w:rsidTr="00CC61F1">
        <w:trPr>
          <w:cantSplit/>
        </w:trPr>
        <w:tc>
          <w:tcPr>
            <w:tcW w:w="1555" w:type="dxa"/>
            <w:shd w:val="clear" w:color="auto" w:fill="FFFFFF" w:themeFill="background1"/>
            <w:noWrap/>
            <w:vAlign w:val="center"/>
            <w:hideMark/>
          </w:tcPr>
          <w:p w14:paraId="3377C41E" w14:textId="77777777" w:rsidR="00FF0F9B" w:rsidRPr="00EF1E43" w:rsidRDefault="00FF0F9B" w:rsidP="00374F41">
            <w:pPr>
              <w:jc w:val="center"/>
              <w:rPr>
                <w:sz w:val="24"/>
              </w:rPr>
            </w:pPr>
            <w:r w:rsidRPr="00EF1E43">
              <w:rPr>
                <w:sz w:val="24"/>
              </w:rPr>
              <w:t>58983</w:t>
            </w:r>
          </w:p>
        </w:tc>
        <w:tc>
          <w:tcPr>
            <w:tcW w:w="7371" w:type="dxa"/>
            <w:shd w:val="clear" w:color="auto" w:fill="FFFFFF" w:themeFill="background1"/>
            <w:vAlign w:val="center"/>
            <w:hideMark/>
          </w:tcPr>
          <w:p w14:paraId="14AB8A45" w14:textId="77777777" w:rsidR="00FF0F9B" w:rsidRPr="00EF1E43" w:rsidRDefault="00FF0F9B" w:rsidP="00374F41">
            <w:pPr>
              <w:rPr>
                <w:sz w:val="24"/>
              </w:rPr>
            </w:pPr>
            <w:r w:rsidRPr="00EF1E43">
              <w:rPr>
                <w:sz w:val="24"/>
              </w:rPr>
              <w:t>Hammer GP, Blettner M, Zeeb H (2009). Epidemiological studies of cancer in aircrew. Radiat Prot Dosimetry, 136(4): 232-9.</w:t>
            </w:r>
          </w:p>
        </w:tc>
      </w:tr>
      <w:tr w:rsidR="00EF1E43" w:rsidRPr="00EF1E43" w14:paraId="59667CD2" w14:textId="77777777" w:rsidTr="00CC61F1">
        <w:trPr>
          <w:cantSplit/>
        </w:trPr>
        <w:tc>
          <w:tcPr>
            <w:tcW w:w="1555" w:type="dxa"/>
            <w:shd w:val="clear" w:color="auto" w:fill="FFFFFF" w:themeFill="background1"/>
            <w:noWrap/>
            <w:vAlign w:val="center"/>
            <w:hideMark/>
          </w:tcPr>
          <w:p w14:paraId="325CEFE1" w14:textId="77777777" w:rsidR="00FF0F9B" w:rsidRPr="00EF1E43" w:rsidRDefault="00FF0F9B" w:rsidP="00374F41">
            <w:pPr>
              <w:jc w:val="center"/>
              <w:rPr>
                <w:sz w:val="24"/>
              </w:rPr>
            </w:pPr>
            <w:r w:rsidRPr="00EF1E43">
              <w:rPr>
                <w:sz w:val="24"/>
              </w:rPr>
              <w:t>35937</w:t>
            </w:r>
          </w:p>
        </w:tc>
        <w:tc>
          <w:tcPr>
            <w:tcW w:w="7371" w:type="dxa"/>
            <w:shd w:val="clear" w:color="auto" w:fill="FFFFFF" w:themeFill="background1"/>
            <w:vAlign w:val="center"/>
            <w:hideMark/>
          </w:tcPr>
          <w:p w14:paraId="326B4C9A" w14:textId="77777777" w:rsidR="00FF0F9B" w:rsidRPr="00EF1E43" w:rsidRDefault="00FF0F9B" w:rsidP="00374F41">
            <w:pPr>
              <w:rPr>
                <w:sz w:val="24"/>
              </w:rPr>
            </w:pPr>
            <w:r w:rsidRPr="00EF1E43">
              <w:rPr>
                <w:sz w:val="24"/>
              </w:rPr>
              <w:t>Hanaoka T, Yamamoto S, Sobue T, et al (2005). Active and passive smoking and breast cancer risk in middle-aged Japanese women. Int J Cancer, 114(2): 317-22.</w:t>
            </w:r>
          </w:p>
        </w:tc>
      </w:tr>
      <w:tr w:rsidR="00EF1E43" w:rsidRPr="00EF1E43" w14:paraId="72EBC172" w14:textId="77777777" w:rsidTr="00CC61F1">
        <w:trPr>
          <w:cantSplit/>
        </w:trPr>
        <w:tc>
          <w:tcPr>
            <w:tcW w:w="1555" w:type="dxa"/>
            <w:shd w:val="clear" w:color="auto" w:fill="FFFFFF" w:themeFill="background1"/>
            <w:noWrap/>
            <w:vAlign w:val="center"/>
            <w:hideMark/>
          </w:tcPr>
          <w:p w14:paraId="4BCF6C10" w14:textId="77777777" w:rsidR="00FF0F9B" w:rsidRPr="00EF1E43" w:rsidRDefault="00FF0F9B" w:rsidP="00374F41">
            <w:pPr>
              <w:jc w:val="center"/>
              <w:rPr>
                <w:sz w:val="24"/>
              </w:rPr>
            </w:pPr>
            <w:r w:rsidRPr="00EF1E43">
              <w:rPr>
                <w:sz w:val="24"/>
              </w:rPr>
              <w:t>77287</w:t>
            </w:r>
          </w:p>
        </w:tc>
        <w:tc>
          <w:tcPr>
            <w:tcW w:w="7371" w:type="dxa"/>
            <w:shd w:val="clear" w:color="auto" w:fill="FFFFFF" w:themeFill="background1"/>
            <w:vAlign w:val="center"/>
            <w:hideMark/>
          </w:tcPr>
          <w:p w14:paraId="6F71919A" w14:textId="77777777" w:rsidR="00FF0F9B" w:rsidRPr="00EF1E43" w:rsidRDefault="00FF0F9B" w:rsidP="00374F41">
            <w:pPr>
              <w:rPr>
                <w:sz w:val="24"/>
              </w:rPr>
            </w:pPr>
            <w:r w:rsidRPr="00EF1E43">
              <w:rPr>
                <w:sz w:val="24"/>
              </w:rPr>
              <w:t>Hansen J (2000). Elevated risk for male breast cancer after occupational exposure to gasoline and vehicular combustion products. Am J Ind Med, 37(4): 349-52.</w:t>
            </w:r>
          </w:p>
        </w:tc>
      </w:tr>
      <w:tr w:rsidR="00EF1E43" w:rsidRPr="00EF1E43" w14:paraId="397A3BEA" w14:textId="77777777" w:rsidTr="00CC61F1">
        <w:trPr>
          <w:cantSplit/>
        </w:trPr>
        <w:tc>
          <w:tcPr>
            <w:tcW w:w="1555" w:type="dxa"/>
            <w:shd w:val="clear" w:color="auto" w:fill="FFFFFF" w:themeFill="background1"/>
            <w:noWrap/>
            <w:vAlign w:val="center"/>
            <w:hideMark/>
          </w:tcPr>
          <w:p w14:paraId="59692008" w14:textId="77777777" w:rsidR="00FF0F9B" w:rsidRPr="00EF1E43" w:rsidRDefault="00FF0F9B" w:rsidP="00374F41">
            <w:pPr>
              <w:jc w:val="center"/>
              <w:rPr>
                <w:sz w:val="24"/>
              </w:rPr>
            </w:pPr>
            <w:r w:rsidRPr="00EF1E43">
              <w:rPr>
                <w:sz w:val="24"/>
              </w:rPr>
              <w:t>71634</w:t>
            </w:r>
          </w:p>
        </w:tc>
        <w:tc>
          <w:tcPr>
            <w:tcW w:w="7371" w:type="dxa"/>
            <w:shd w:val="clear" w:color="auto" w:fill="FFFFFF" w:themeFill="background1"/>
            <w:vAlign w:val="center"/>
            <w:hideMark/>
          </w:tcPr>
          <w:p w14:paraId="30FEC938" w14:textId="77777777" w:rsidR="00FF0F9B" w:rsidRPr="00EF1E43" w:rsidRDefault="00FF0F9B" w:rsidP="00374F41">
            <w:pPr>
              <w:rPr>
                <w:sz w:val="24"/>
              </w:rPr>
            </w:pPr>
            <w:r w:rsidRPr="00EF1E43">
              <w:rPr>
                <w:sz w:val="24"/>
              </w:rPr>
              <w:t>Hansen J, Lassen CF (2012). Nested case-control study of night shift work and breast cancer risk among women in the Danish military. Occup Environ Med, 69(8): 551-6.</w:t>
            </w:r>
          </w:p>
        </w:tc>
      </w:tr>
      <w:tr w:rsidR="00EF1E43" w:rsidRPr="00EF1E43" w14:paraId="4DDFDFD9" w14:textId="77777777" w:rsidTr="00CC61F1">
        <w:trPr>
          <w:cantSplit/>
        </w:trPr>
        <w:tc>
          <w:tcPr>
            <w:tcW w:w="1555" w:type="dxa"/>
            <w:shd w:val="clear" w:color="auto" w:fill="FFFFFF" w:themeFill="background1"/>
            <w:noWrap/>
            <w:vAlign w:val="center"/>
            <w:hideMark/>
          </w:tcPr>
          <w:p w14:paraId="2159604B" w14:textId="77777777" w:rsidR="00FF0F9B" w:rsidRPr="00EF1E43" w:rsidRDefault="00FF0F9B" w:rsidP="00374F41">
            <w:pPr>
              <w:jc w:val="center"/>
              <w:rPr>
                <w:sz w:val="24"/>
              </w:rPr>
            </w:pPr>
            <w:r w:rsidRPr="00EF1E43">
              <w:rPr>
                <w:sz w:val="24"/>
              </w:rPr>
              <w:t>42056</w:t>
            </w:r>
          </w:p>
        </w:tc>
        <w:tc>
          <w:tcPr>
            <w:tcW w:w="7371" w:type="dxa"/>
            <w:shd w:val="clear" w:color="auto" w:fill="FFFFFF" w:themeFill="background1"/>
            <w:vAlign w:val="center"/>
            <w:hideMark/>
          </w:tcPr>
          <w:p w14:paraId="7CCFE061" w14:textId="77777777" w:rsidR="00FF0F9B" w:rsidRPr="00EF1E43" w:rsidRDefault="00FF0F9B" w:rsidP="00374F41">
            <w:pPr>
              <w:rPr>
                <w:sz w:val="24"/>
              </w:rPr>
            </w:pPr>
            <w:r w:rsidRPr="00EF1E43">
              <w:rPr>
                <w:sz w:val="24"/>
              </w:rPr>
              <w:t>Harrison JD, Muirhead CR (2003). Quantitative comparisons of cancer induction in humans by internally deposited radionuclides and external radiation. Int J Radiat Biol, 79(1): 1-13.</w:t>
            </w:r>
          </w:p>
        </w:tc>
      </w:tr>
      <w:tr w:rsidR="00EF1E43" w:rsidRPr="00EF1E43" w14:paraId="462E62BE" w14:textId="77777777" w:rsidTr="00CC61F1">
        <w:trPr>
          <w:cantSplit/>
        </w:trPr>
        <w:tc>
          <w:tcPr>
            <w:tcW w:w="1555" w:type="dxa"/>
            <w:shd w:val="clear" w:color="auto" w:fill="FFFFFF" w:themeFill="background1"/>
            <w:noWrap/>
            <w:vAlign w:val="center"/>
            <w:hideMark/>
          </w:tcPr>
          <w:p w14:paraId="209B765A" w14:textId="77777777" w:rsidR="00FF0F9B" w:rsidRPr="00EF1E43" w:rsidRDefault="00FF0F9B" w:rsidP="00374F41">
            <w:pPr>
              <w:jc w:val="center"/>
              <w:rPr>
                <w:sz w:val="24"/>
              </w:rPr>
            </w:pPr>
            <w:r w:rsidRPr="00EF1E43">
              <w:rPr>
                <w:sz w:val="24"/>
              </w:rPr>
              <w:t>87212</w:t>
            </w:r>
          </w:p>
        </w:tc>
        <w:tc>
          <w:tcPr>
            <w:tcW w:w="7371" w:type="dxa"/>
            <w:shd w:val="clear" w:color="auto" w:fill="FFFFFF" w:themeFill="background1"/>
            <w:vAlign w:val="center"/>
            <w:hideMark/>
          </w:tcPr>
          <w:p w14:paraId="07183177" w14:textId="77777777" w:rsidR="00FF0F9B" w:rsidRPr="00EF1E43" w:rsidRDefault="00FF0F9B" w:rsidP="00374F41">
            <w:pPr>
              <w:rPr>
                <w:sz w:val="24"/>
              </w:rPr>
            </w:pPr>
            <w:r w:rsidRPr="00EF1E43">
              <w:rPr>
                <w:sz w:val="24"/>
              </w:rPr>
              <w:t>Hart JE, Bertrand KA, DuPre N, et al (2016). Long-term particulate matter exposures during adulthood and risk of breast cancer incidence in the Nurses’ Health Study II prospective cohort. Cancer Epidemiol Biomarkers Prev, 25(8): 1274-6.</w:t>
            </w:r>
          </w:p>
        </w:tc>
      </w:tr>
      <w:tr w:rsidR="00EF1E43" w:rsidRPr="00EF1E43" w14:paraId="4617D37E" w14:textId="77777777" w:rsidTr="00CC61F1">
        <w:trPr>
          <w:cantSplit/>
        </w:trPr>
        <w:tc>
          <w:tcPr>
            <w:tcW w:w="1555" w:type="dxa"/>
            <w:shd w:val="clear" w:color="auto" w:fill="FFFFFF" w:themeFill="background1"/>
            <w:noWrap/>
            <w:vAlign w:val="center"/>
            <w:hideMark/>
          </w:tcPr>
          <w:p w14:paraId="7C8EFBEB" w14:textId="77777777" w:rsidR="00FF0F9B" w:rsidRPr="00EF1E43" w:rsidRDefault="00FF0F9B" w:rsidP="00374F41">
            <w:pPr>
              <w:jc w:val="center"/>
              <w:rPr>
                <w:sz w:val="24"/>
              </w:rPr>
            </w:pPr>
            <w:r w:rsidRPr="00EF1E43">
              <w:rPr>
                <w:sz w:val="24"/>
              </w:rPr>
              <w:lastRenderedPageBreak/>
              <w:t>36911</w:t>
            </w:r>
          </w:p>
        </w:tc>
        <w:tc>
          <w:tcPr>
            <w:tcW w:w="7371" w:type="dxa"/>
            <w:shd w:val="clear" w:color="auto" w:fill="FFFFFF" w:themeFill="background1"/>
            <w:vAlign w:val="center"/>
            <w:hideMark/>
          </w:tcPr>
          <w:p w14:paraId="146371F7" w14:textId="77777777" w:rsidR="00FF0F9B" w:rsidRPr="00EF1E43" w:rsidRDefault="00FF0F9B" w:rsidP="00374F41">
            <w:pPr>
              <w:rPr>
                <w:sz w:val="24"/>
              </w:rPr>
            </w:pPr>
            <w:r w:rsidRPr="00EF1E43">
              <w:rPr>
                <w:sz w:val="24"/>
              </w:rPr>
              <w:t>Harvie M, Hooper L, Howell AH (2003). Central obesity and breast cancer risk: a systematic review. Obes Rev, 4(3): 157-73.</w:t>
            </w:r>
          </w:p>
        </w:tc>
      </w:tr>
      <w:tr w:rsidR="00EF1E43" w:rsidRPr="00EF1E43" w14:paraId="1A6C6201" w14:textId="77777777" w:rsidTr="00CC61F1">
        <w:trPr>
          <w:cantSplit/>
        </w:trPr>
        <w:tc>
          <w:tcPr>
            <w:tcW w:w="1555" w:type="dxa"/>
            <w:shd w:val="clear" w:color="auto" w:fill="FFFFFF" w:themeFill="background1"/>
            <w:noWrap/>
            <w:vAlign w:val="center"/>
            <w:hideMark/>
          </w:tcPr>
          <w:p w14:paraId="1B195C8C" w14:textId="77777777" w:rsidR="00FF0F9B" w:rsidRPr="00EF1E43" w:rsidRDefault="00FF0F9B" w:rsidP="00374F41">
            <w:pPr>
              <w:jc w:val="center"/>
              <w:rPr>
                <w:sz w:val="24"/>
              </w:rPr>
            </w:pPr>
            <w:r w:rsidRPr="00EF1E43">
              <w:rPr>
                <w:sz w:val="24"/>
              </w:rPr>
              <w:t>38293</w:t>
            </w:r>
          </w:p>
        </w:tc>
        <w:tc>
          <w:tcPr>
            <w:tcW w:w="7371" w:type="dxa"/>
            <w:shd w:val="clear" w:color="auto" w:fill="FFFFFF" w:themeFill="background1"/>
            <w:vAlign w:val="center"/>
            <w:hideMark/>
          </w:tcPr>
          <w:p w14:paraId="37001D2F" w14:textId="77777777" w:rsidR="00FF0F9B" w:rsidRPr="00EF1E43" w:rsidRDefault="00FF0F9B" w:rsidP="00374F41">
            <w:pPr>
              <w:rPr>
                <w:sz w:val="24"/>
              </w:rPr>
            </w:pPr>
            <w:r w:rsidRPr="00EF1E43">
              <w:rPr>
                <w:sz w:val="24"/>
              </w:rPr>
              <w:t>Health News (2004). Male breast cancer rates rising. Health News, 10(8): 13.</w:t>
            </w:r>
          </w:p>
        </w:tc>
      </w:tr>
      <w:tr w:rsidR="00EF1E43" w:rsidRPr="00EF1E43" w14:paraId="13A260EF" w14:textId="77777777" w:rsidTr="00CC61F1">
        <w:trPr>
          <w:cantSplit/>
        </w:trPr>
        <w:tc>
          <w:tcPr>
            <w:tcW w:w="1555" w:type="dxa"/>
            <w:shd w:val="clear" w:color="auto" w:fill="FFFFFF" w:themeFill="background1"/>
            <w:noWrap/>
            <w:vAlign w:val="center"/>
            <w:hideMark/>
          </w:tcPr>
          <w:p w14:paraId="4AF8703E" w14:textId="77777777" w:rsidR="00FF0F9B" w:rsidRPr="00EF1E43" w:rsidRDefault="00FF0F9B" w:rsidP="00374F41">
            <w:pPr>
              <w:jc w:val="center"/>
              <w:rPr>
                <w:sz w:val="24"/>
              </w:rPr>
            </w:pPr>
            <w:r w:rsidRPr="00EF1E43">
              <w:rPr>
                <w:sz w:val="24"/>
              </w:rPr>
              <w:t>11114</w:t>
            </w:r>
          </w:p>
        </w:tc>
        <w:tc>
          <w:tcPr>
            <w:tcW w:w="7371" w:type="dxa"/>
            <w:shd w:val="clear" w:color="auto" w:fill="FFFFFF" w:themeFill="background1"/>
            <w:vAlign w:val="center"/>
            <w:hideMark/>
          </w:tcPr>
          <w:p w14:paraId="37F6D6FC" w14:textId="77777777" w:rsidR="00FF0F9B" w:rsidRPr="00EF1E43" w:rsidRDefault="00FF0F9B" w:rsidP="00374F41">
            <w:pPr>
              <w:rPr>
                <w:sz w:val="24"/>
              </w:rPr>
            </w:pPr>
            <w:r w:rsidRPr="00EF1E43">
              <w:rPr>
                <w:sz w:val="24"/>
              </w:rPr>
              <w:t>Heikkinen S, Koskenvuo M, Malila N, et al (2016). Use of exogenous hormones and the risk of breast cancer: results from self-reported survey data with validity assessment. Cancer Causes Control, 27(2): 249-58.</w:t>
            </w:r>
          </w:p>
        </w:tc>
      </w:tr>
      <w:tr w:rsidR="00EF1E43" w:rsidRPr="00EF1E43" w14:paraId="7A668B89" w14:textId="77777777" w:rsidTr="00CC61F1">
        <w:trPr>
          <w:cantSplit/>
        </w:trPr>
        <w:tc>
          <w:tcPr>
            <w:tcW w:w="1555" w:type="dxa"/>
            <w:shd w:val="clear" w:color="auto" w:fill="FFFFFF" w:themeFill="background1"/>
            <w:noWrap/>
            <w:vAlign w:val="center"/>
            <w:hideMark/>
          </w:tcPr>
          <w:p w14:paraId="576D6D11" w14:textId="77777777" w:rsidR="00FF0F9B" w:rsidRPr="00EF1E43" w:rsidRDefault="00FF0F9B" w:rsidP="00374F41">
            <w:pPr>
              <w:jc w:val="center"/>
              <w:rPr>
                <w:sz w:val="24"/>
              </w:rPr>
            </w:pPr>
            <w:r w:rsidRPr="00EF1E43">
              <w:rPr>
                <w:sz w:val="24"/>
              </w:rPr>
              <w:t>35735</w:t>
            </w:r>
          </w:p>
        </w:tc>
        <w:tc>
          <w:tcPr>
            <w:tcW w:w="7371" w:type="dxa"/>
            <w:shd w:val="clear" w:color="auto" w:fill="FFFFFF" w:themeFill="background1"/>
            <w:vAlign w:val="center"/>
            <w:hideMark/>
          </w:tcPr>
          <w:p w14:paraId="1BFE0084" w14:textId="77777777" w:rsidR="00FF0F9B" w:rsidRPr="00EF1E43" w:rsidRDefault="00FF0F9B" w:rsidP="00374F41">
            <w:pPr>
              <w:rPr>
                <w:sz w:val="24"/>
              </w:rPr>
            </w:pPr>
            <w:r w:rsidRPr="00EF1E43">
              <w:rPr>
                <w:sz w:val="24"/>
              </w:rPr>
              <w:t>Helewa M, Levesque P, Provencher D (2002). Breast Cancer, Pregnancy and Breastfeeding. J Obstet Gynaecol Can, 24(2): 164-80; quiz 181-4.</w:t>
            </w:r>
          </w:p>
        </w:tc>
      </w:tr>
      <w:tr w:rsidR="00EF1E43" w:rsidRPr="00EF1E43" w14:paraId="735FD036" w14:textId="77777777" w:rsidTr="00CC61F1">
        <w:trPr>
          <w:cantSplit/>
        </w:trPr>
        <w:tc>
          <w:tcPr>
            <w:tcW w:w="1555" w:type="dxa"/>
            <w:shd w:val="clear" w:color="auto" w:fill="FFFFFF" w:themeFill="background1"/>
            <w:noWrap/>
            <w:vAlign w:val="center"/>
            <w:hideMark/>
          </w:tcPr>
          <w:p w14:paraId="4B0400D4" w14:textId="77777777" w:rsidR="00FF0F9B" w:rsidRPr="00EF1E43" w:rsidRDefault="00FF0F9B" w:rsidP="00374F41">
            <w:pPr>
              <w:jc w:val="center"/>
              <w:rPr>
                <w:sz w:val="24"/>
              </w:rPr>
            </w:pPr>
            <w:r w:rsidRPr="00EF1E43">
              <w:rPr>
                <w:sz w:val="24"/>
              </w:rPr>
              <w:t>9220</w:t>
            </w:r>
          </w:p>
        </w:tc>
        <w:tc>
          <w:tcPr>
            <w:tcW w:w="7371" w:type="dxa"/>
            <w:shd w:val="clear" w:color="auto" w:fill="FFFFFF" w:themeFill="background1"/>
            <w:vAlign w:val="center"/>
            <w:hideMark/>
          </w:tcPr>
          <w:p w14:paraId="73A09ACE" w14:textId="77777777" w:rsidR="00FF0F9B" w:rsidRPr="00EF1E43" w:rsidRDefault="00FF0F9B" w:rsidP="00374F41">
            <w:pPr>
              <w:rPr>
                <w:sz w:val="24"/>
              </w:rPr>
            </w:pPr>
            <w:r w:rsidRPr="00EF1E43">
              <w:rPr>
                <w:sz w:val="24"/>
              </w:rPr>
              <w:t>Henderson AK, Rosen D, Miller GL, et al (1995). Breast cancer among women exposed to polybrominated biphenyls. Epidemiology, 6(5): 544-6.</w:t>
            </w:r>
          </w:p>
        </w:tc>
      </w:tr>
      <w:tr w:rsidR="00EF1E43" w:rsidRPr="00EF1E43" w14:paraId="11558E70" w14:textId="77777777" w:rsidTr="00CC61F1">
        <w:trPr>
          <w:cantSplit/>
        </w:trPr>
        <w:tc>
          <w:tcPr>
            <w:tcW w:w="1555" w:type="dxa"/>
            <w:shd w:val="clear" w:color="auto" w:fill="FFFFFF" w:themeFill="background1"/>
            <w:noWrap/>
            <w:vAlign w:val="center"/>
            <w:hideMark/>
          </w:tcPr>
          <w:p w14:paraId="3DC39FBA" w14:textId="77777777" w:rsidR="00FF0F9B" w:rsidRPr="00EF1E43" w:rsidRDefault="00FF0F9B" w:rsidP="00374F41">
            <w:pPr>
              <w:jc w:val="center"/>
              <w:rPr>
                <w:sz w:val="24"/>
              </w:rPr>
            </w:pPr>
            <w:r w:rsidRPr="00EF1E43">
              <w:rPr>
                <w:sz w:val="24"/>
              </w:rPr>
              <w:t>3279</w:t>
            </w:r>
          </w:p>
        </w:tc>
        <w:tc>
          <w:tcPr>
            <w:tcW w:w="7371" w:type="dxa"/>
            <w:shd w:val="clear" w:color="auto" w:fill="FFFFFF" w:themeFill="background1"/>
            <w:vAlign w:val="center"/>
            <w:hideMark/>
          </w:tcPr>
          <w:p w14:paraId="14D38302" w14:textId="77777777" w:rsidR="00FF0F9B" w:rsidRPr="00EF1E43" w:rsidRDefault="00FF0F9B" w:rsidP="00374F41">
            <w:pPr>
              <w:rPr>
                <w:sz w:val="24"/>
              </w:rPr>
            </w:pPr>
            <w:r w:rsidRPr="00EF1E43">
              <w:rPr>
                <w:sz w:val="24"/>
              </w:rPr>
              <w:t>Henderson BE (1990). [Comment] Summary report of the sixth symposium on cancer registries and epidemiology in the Pacific basin. J Natl Cancer Inst, 82(14): 1886-90.</w:t>
            </w:r>
          </w:p>
        </w:tc>
      </w:tr>
      <w:tr w:rsidR="00EF1E43" w:rsidRPr="00EF1E43" w14:paraId="18F527E5" w14:textId="77777777" w:rsidTr="00CC61F1">
        <w:trPr>
          <w:cantSplit/>
        </w:trPr>
        <w:tc>
          <w:tcPr>
            <w:tcW w:w="1555" w:type="dxa"/>
            <w:shd w:val="clear" w:color="auto" w:fill="FFFFFF" w:themeFill="background1"/>
            <w:noWrap/>
            <w:vAlign w:val="center"/>
            <w:hideMark/>
          </w:tcPr>
          <w:p w14:paraId="1A4626B2" w14:textId="77777777" w:rsidR="00FF0F9B" w:rsidRPr="00EF1E43" w:rsidRDefault="00FF0F9B" w:rsidP="00374F41">
            <w:pPr>
              <w:jc w:val="center"/>
              <w:rPr>
                <w:sz w:val="24"/>
              </w:rPr>
            </w:pPr>
            <w:r w:rsidRPr="00EF1E43">
              <w:rPr>
                <w:sz w:val="24"/>
              </w:rPr>
              <w:t>9221</w:t>
            </w:r>
          </w:p>
        </w:tc>
        <w:tc>
          <w:tcPr>
            <w:tcW w:w="7371" w:type="dxa"/>
            <w:shd w:val="clear" w:color="auto" w:fill="FFFFFF" w:themeFill="background1"/>
            <w:vAlign w:val="center"/>
            <w:hideMark/>
          </w:tcPr>
          <w:p w14:paraId="1047437F" w14:textId="77777777" w:rsidR="00FF0F9B" w:rsidRPr="00EF1E43" w:rsidRDefault="00FF0F9B" w:rsidP="00374F41">
            <w:pPr>
              <w:rPr>
                <w:sz w:val="24"/>
              </w:rPr>
            </w:pPr>
            <w:r w:rsidRPr="00EF1E43">
              <w:rPr>
                <w:sz w:val="24"/>
              </w:rPr>
              <w:t>Henderson IC (1994). Breast cancer. Harrison's Principles of Internal Medicine, 13th Edition, Chapter 319: 1840-50.</w:t>
            </w:r>
          </w:p>
        </w:tc>
      </w:tr>
      <w:tr w:rsidR="00EF1E43" w:rsidRPr="00EF1E43" w14:paraId="25913A41" w14:textId="77777777" w:rsidTr="00CC61F1">
        <w:trPr>
          <w:cantSplit/>
        </w:trPr>
        <w:tc>
          <w:tcPr>
            <w:tcW w:w="1555" w:type="dxa"/>
            <w:shd w:val="clear" w:color="auto" w:fill="FFFFFF" w:themeFill="background1"/>
            <w:noWrap/>
            <w:vAlign w:val="center"/>
            <w:hideMark/>
          </w:tcPr>
          <w:p w14:paraId="10083DFB" w14:textId="77777777" w:rsidR="00FF0F9B" w:rsidRPr="00EF1E43" w:rsidRDefault="00FF0F9B" w:rsidP="00374F41">
            <w:pPr>
              <w:jc w:val="center"/>
              <w:rPr>
                <w:sz w:val="24"/>
              </w:rPr>
            </w:pPr>
            <w:r w:rsidRPr="00EF1E43">
              <w:rPr>
                <w:sz w:val="24"/>
              </w:rPr>
              <w:t>35040</w:t>
            </w:r>
          </w:p>
        </w:tc>
        <w:tc>
          <w:tcPr>
            <w:tcW w:w="7371" w:type="dxa"/>
            <w:shd w:val="clear" w:color="auto" w:fill="FFFFFF" w:themeFill="background1"/>
            <w:vAlign w:val="center"/>
            <w:hideMark/>
          </w:tcPr>
          <w:p w14:paraId="273E8C18" w14:textId="77777777" w:rsidR="00FF0F9B" w:rsidRPr="00EF1E43" w:rsidRDefault="00FF0F9B" w:rsidP="00374F41">
            <w:pPr>
              <w:rPr>
                <w:sz w:val="24"/>
              </w:rPr>
            </w:pPr>
            <w:r w:rsidRPr="00EF1E43">
              <w:rPr>
                <w:sz w:val="24"/>
              </w:rPr>
              <w:t>Herdman RC, Fahey TJ Jr (2001). Silicone breast implants and cancer. Cancer Invest, 19(8): 821-32.</w:t>
            </w:r>
          </w:p>
        </w:tc>
      </w:tr>
      <w:tr w:rsidR="00EF1E43" w:rsidRPr="00EF1E43" w14:paraId="0D779572" w14:textId="77777777" w:rsidTr="00CC61F1">
        <w:trPr>
          <w:cantSplit/>
        </w:trPr>
        <w:tc>
          <w:tcPr>
            <w:tcW w:w="1555" w:type="dxa"/>
            <w:shd w:val="clear" w:color="auto" w:fill="FFFFFF" w:themeFill="background1"/>
            <w:noWrap/>
            <w:vAlign w:val="center"/>
            <w:hideMark/>
          </w:tcPr>
          <w:p w14:paraId="4F7498AB" w14:textId="77777777" w:rsidR="00FF0F9B" w:rsidRPr="00EF1E43" w:rsidRDefault="00FF0F9B" w:rsidP="00374F41">
            <w:pPr>
              <w:jc w:val="center"/>
              <w:rPr>
                <w:sz w:val="24"/>
              </w:rPr>
            </w:pPr>
            <w:r w:rsidRPr="00EF1E43">
              <w:rPr>
                <w:sz w:val="24"/>
              </w:rPr>
              <w:t>38254</w:t>
            </w:r>
          </w:p>
        </w:tc>
        <w:tc>
          <w:tcPr>
            <w:tcW w:w="7371" w:type="dxa"/>
            <w:shd w:val="clear" w:color="auto" w:fill="FFFFFF" w:themeFill="background1"/>
            <w:vAlign w:val="center"/>
            <w:hideMark/>
          </w:tcPr>
          <w:p w14:paraId="4711B5C8" w14:textId="77777777" w:rsidR="00FF0F9B" w:rsidRPr="00EF1E43" w:rsidRDefault="00FF0F9B" w:rsidP="00374F41">
            <w:pPr>
              <w:rPr>
                <w:sz w:val="24"/>
              </w:rPr>
            </w:pPr>
            <w:r w:rsidRPr="00EF1E43">
              <w:rPr>
                <w:sz w:val="24"/>
              </w:rPr>
              <w:t>Higginbotham S, Zhang ZF, Lee IM, et al (2004). Dietary glycemic load and breast cancer risk in the Women's Health Study. Cancer Epidemiol Biomarkers Prev, 13(1): 65-70.</w:t>
            </w:r>
          </w:p>
        </w:tc>
      </w:tr>
      <w:tr w:rsidR="00EF1E43" w:rsidRPr="00EF1E43" w14:paraId="602B7A5A" w14:textId="77777777" w:rsidTr="00CC61F1">
        <w:trPr>
          <w:cantSplit/>
        </w:trPr>
        <w:tc>
          <w:tcPr>
            <w:tcW w:w="1555" w:type="dxa"/>
            <w:shd w:val="clear" w:color="auto" w:fill="FFFFFF" w:themeFill="background1"/>
            <w:noWrap/>
            <w:vAlign w:val="center"/>
            <w:hideMark/>
          </w:tcPr>
          <w:p w14:paraId="3FACFD72" w14:textId="77777777" w:rsidR="00FF0F9B" w:rsidRPr="00EF1E43" w:rsidRDefault="00FF0F9B" w:rsidP="00374F41">
            <w:pPr>
              <w:jc w:val="center"/>
              <w:rPr>
                <w:sz w:val="24"/>
              </w:rPr>
            </w:pPr>
            <w:r w:rsidRPr="00EF1E43">
              <w:rPr>
                <w:sz w:val="24"/>
              </w:rPr>
              <w:t>71635</w:t>
            </w:r>
          </w:p>
        </w:tc>
        <w:tc>
          <w:tcPr>
            <w:tcW w:w="7371" w:type="dxa"/>
            <w:shd w:val="clear" w:color="auto" w:fill="FFFFFF" w:themeFill="background1"/>
            <w:vAlign w:val="center"/>
            <w:hideMark/>
          </w:tcPr>
          <w:p w14:paraId="6A83DFBE" w14:textId="77777777" w:rsidR="00FF0F9B" w:rsidRPr="00EF1E43" w:rsidRDefault="00FF0F9B" w:rsidP="00374F41">
            <w:pPr>
              <w:rPr>
                <w:sz w:val="24"/>
              </w:rPr>
            </w:pPr>
            <w:r w:rsidRPr="00EF1E43">
              <w:rPr>
                <w:sz w:val="24"/>
              </w:rPr>
              <w:t>Hilakivi-Clarke L, de Assis S, Warri A (2013). Exposures to synthetic estrogens at different times during the life, and their effect on breast cancer risk. J Mammory Glad Biol Neoplasia, 18(1): 25-42.</w:t>
            </w:r>
          </w:p>
        </w:tc>
      </w:tr>
      <w:tr w:rsidR="00EF1E43" w:rsidRPr="00EF1E43" w14:paraId="796E23A9" w14:textId="77777777" w:rsidTr="00CC61F1">
        <w:trPr>
          <w:cantSplit/>
        </w:trPr>
        <w:tc>
          <w:tcPr>
            <w:tcW w:w="1555" w:type="dxa"/>
            <w:shd w:val="clear" w:color="auto" w:fill="FFFFFF" w:themeFill="background1"/>
            <w:noWrap/>
            <w:vAlign w:val="center"/>
            <w:hideMark/>
          </w:tcPr>
          <w:p w14:paraId="7F01B1F9" w14:textId="77777777" w:rsidR="00FF0F9B" w:rsidRPr="00EF1E43" w:rsidRDefault="00FF0F9B" w:rsidP="00374F41">
            <w:pPr>
              <w:jc w:val="center"/>
              <w:rPr>
                <w:sz w:val="24"/>
              </w:rPr>
            </w:pPr>
            <w:r w:rsidRPr="00EF1E43">
              <w:rPr>
                <w:sz w:val="24"/>
              </w:rPr>
              <w:t>35568</w:t>
            </w:r>
          </w:p>
        </w:tc>
        <w:tc>
          <w:tcPr>
            <w:tcW w:w="7371" w:type="dxa"/>
            <w:shd w:val="clear" w:color="auto" w:fill="FFFFFF" w:themeFill="background1"/>
            <w:vAlign w:val="center"/>
            <w:hideMark/>
          </w:tcPr>
          <w:p w14:paraId="7F159125" w14:textId="77777777" w:rsidR="00FF0F9B" w:rsidRPr="00EF1E43" w:rsidRDefault="00FF0F9B" w:rsidP="00374F41">
            <w:pPr>
              <w:rPr>
                <w:sz w:val="24"/>
              </w:rPr>
            </w:pPr>
            <w:r w:rsidRPr="00EF1E43">
              <w:rPr>
                <w:sz w:val="24"/>
              </w:rPr>
              <w:t>Hill DA, Preston-Martin S, Ross RK, et al (2002). Medical radiation, family history of cancer, and benign breast disease in relation to breast cancer risk in young women, USA. Cancer Causes Control, 13(8): 711-8.</w:t>
            </w:r>
          </w:p>
        </w:tc>
      </w:tr>
      <w:tr w:rsidR="00EF1E43" w:rsidRPr="00EF1E43" w14:paraId="1065CFD0" w14:textId="77777777" w:rsidTr="00CC61F1">
        <w:trPr>
          <w:cantSplit/>
        </w:trPr>
        <w:tc>
          <w:tcPr>
            <w:tcW w:w="1555" w:type="dxa"/>
            <w:shd w:val="clear" w:color="auto" w:fill="FFFFFF" w:themeFill="background1"/>
            <w:noWrap/>
            <w:vAlign w:val="center"/>
            <w:hideMark/>
          </w:tcPr>
          <w:p w14:paraId="115B07E7" w14:textId="77777777" w:rsidR="00FF0F9B" w:rsidRPr="00EF1E43" w:rsidRDefault="00FF0F9B" w:rsidP="00374F41">
            <w:pPr>
              <w:jc w:val="center"/>
              <w:rPr>
                <w:sz w:val="24"/>
              </w:rPr>
            </w:pPr>
            <w:r w:rsidRPr="00EF1E43">
              <w:rPr>
                <w:sz w:val="24"/>
              </w:rPr>
              <w:t>71636</w:t>
            </w:r>
          </w:p>
        </w:tc>
        <w:tc>
          <w:tcPr>
            <w:tcW w:w="7371" w:type="dxa"/>
            <w:shd w:val="clear" w:color="auto" w:fill="FFFFFF" w:themeFill="background1"/>
            <w:vAlign w:val="center"/>
            <w:hideMark/>
          </w:tcPr>
          <w:p w14:paraId="6C4AE5FB" w14:textId="77777777" w:rsidR="00FF0F9B" w:rsidRPr="00EF1E43" w:rsidRDefault="00FF0F9B" w:rsidP="00374F41">
            <w:pPr>
              <w:rPr>
                <w:sz w:val="24"/>
              </w:rPr>
            </w:pPr>
            <w:r w:rsidRPr="00EF1E43">
              <w:rPr>
                <w:sz w:val="24"/>
              </w:rPr>
              <w:t>Hippocrate A, Oussaief L, Joab I (2011). Possible role of EBV in breast cancer and other unusually EBV-associated cancers. Cancer Lett, 305(2): 144-9.</w:t>
            </w:r>
          </w:p>
        </w:tc>
      </w:tr>
      <w:tr w:rsidR="00EF1E43" w:rsidRPr="00EF1E43" w14:paraId="0C37632C" w14:textId="77777777" w:rsidTr="00CC61F1">
        <w:trPr>
          <w:cantSplit/>
        </w:trPr>
        <w:tc>
          <w:tcPr>
            <w:tcW w:w="1555" w:type="dxa"/>
            <w:shd w:val="clear" w:color="auto" w:fill="FFFFFF" w:themeFill="background1"/>
            <w:noWrap/>
            <w:vAlign w:val="center"/>
            <w:hideMark/>
          </w:tcPr>
          <w:p w14:paraId="2CE21B55" w14:textId="77777777" w:rsidR="00FF0F9B" w:rsidRPr="00EF1E43" w:rsidRDefault="00FF0F9B" w:rsidP="00374F41">
            <w:pPr>
              <w:jc w:val="center"/>
              <w:rPr>
                <w:sz w:val="24"/>
              </w:rPr>
            </w:pPr>
            <w:r w:rsidRPr="00EF1E43">
              <w:rPr>
                <w:sz w:val="24"/>
              </w:rPr>
              <w:t>37530</w:t>
            </w:r>
          </w:p>
        </w:tc>
        <w:tc>
          <w:tcPr>
            <w:tcW w:w="7371" w:type="dxa"/>
            <w:shd w:val="clear" w:color="auto" w:fill="FFFFFF" w:themeFill="background1"/>
            <w:vAlign w:val="center"/>
            <w:hideMark/>
          </w:tcPr>
          <w:p w14:paraId="793F4B44" w14:textId="77777777" w:rsidR="00FF0F9B" w:rsidRPr="00EF1E43" w:rsidRDefault="00FF0F9B" w:rsidP="00374F41">
            <w:pPr>
              <w:rPr>
                <w:sz w:val="24"/>
              </w:rPr>
            </w:pPr>
            <w:r w:rsidRPr="00EF1E43">
              <w:rPr>
                <w:sz w:val="24"/>
              </w:rPr>
              <w:t>Hirose K, Hamajima N, Takezaki T, et al (2003). Physical exercise reduces risk of breast cancer in Japanese women. Cancer Sci, 94(2): 193-9.</w:t>
            </w:r>
          </w:p>
        </w:tc>
      </w:tr>
      <w:tr w:rsidR="00EF1E43" w:rsidRPr="00EF1E43" w14:paraId="3C80D28D" w14:textId="77777777" w:rsidTr="00CC61F1">
        <w:trPr>
          <w:cantSplit/>
        </w:trPr>
        <w:tc>
          <w:tcPr>
            <w:tcW w:w="1555" w:type="dxa"/>
            <w:shd w:val="clear" w:color="auto" w:fill="FFFFFF" w:themeFill="background1"/>
            <w:noWrap/>
            <w:vAlign w:val="center"/>
            <w:hideMark/>
          </w:tcPr>
          <w:p w14:paraId="43E43F03" w14:textId="77777777" w:rsidR="00FF0F9B" w:rsidRPr="00EF1E43" w:rsidRDefault="00FF0F9B" w:rsidP="00374F41">
            <w:pPr>
              <w:jc w:val="center"/>
              <w:rPr>
                <w:sz w:val="24"/>
              </w:rPr>
            </w:pPr>
            <w:r w:rsidRPr="00EF1E43">
              <w:rPr>
                <w:sz w:val="24"/>
              </w:rPr>
              <w:t>36919</w:t>
            </w:r>
          </w:p>
        </w:tc>
        <w:tc>
          <w:tcPr>
            <w:tcW w:w="7371" w:type="dxa"/>
            <w:shd w:val="clear" w:color="auto" w:fill="FFFFFF" w:themeFill="background1"/>
            <w:vAlign w:val="center"/>
            <w:hideMark/>
          </w:tcPr>
          <w:p w14:paraId="2652407D" w14:textId="77777777" w:rsidR="00FF0F9B" w:rsidRPr="00EF1E43" w:rsidRDefault="00FF0F9B" w:rsidP="00374F41">
            <w:pPr>
              <w:rPr>
                <w:sz w:val="24"/>
              </w:rPr>
            </w:pPr>
            <w:r w:rsidRPr="00EF1E43">
              <w:rPr>
                <w:sz w:val="24"/>
              </w:rPr>
              <w:t>Hirose K, Tajima K, Hamajima N, et al (2001). Association of family history and other risk factors with breast cancer risk among Japanese premenopausal and postmenopausal women. Cancer Causes Control, 12(4): 349-58.</w:t>
            </w:r>
          </w:p>
        </w:tc>
      </w:tr>
      <w:tr w:rsidR="00EF1E43" w:rsidRPr="00EF1E43" w14:paraId="78501E8C" w14:textId="77777777" w:rsidTr="00CC61F1">
        <w:trPr>
          <w:cantSplit/>
        </w:trPr>
        <w:tc>
          <w:tcPr>
            <w:tcW w:w="1555" w:type="dxa"/>
            <w:shd w:val="clear" w:color="auto" w:fill="FFFFFF" w:themeFill="background1"/>
            <w:noWrap/>
            <w:vAlign w:val="center"/>
            <w:hideMark/>
          </w:tcPr>
          <w:p w14:paraId="351A4E94" w14:textId="77777777" w:rsidR="00FF0F9B" w:rsidRPr="00EF1E43" w:rsidRDefault="00FF0F9B" w:rsidP="00374F41">
            <w:pPr>
              <w:jc w:val="center"/>
              <w:rPr>
                <w:sz w:val="24"/>
              </w:rPr>
            </w:pPr>
            <w:r w:rsidRPr="00EF1E43">
              <w:rPr>
                <w:sz w:val="24"/>
              </w:rPr>
              <w:t>35840</w:t>
            </w:r>
          </w:p>
        </w:tc>
        <w:tc>
          <w:tcPr>
            <w:tcW w:w="7371" w:type="dxa"/>
            <w:shd w:val="clear" w:color="auto" w:fill="FFFFFF" w:themeFill="background1"/>
            <w:vAlign w:val="center"/>
            <w:hideMark/>
          </w:tcPr>
          <w:p w14:paraId="4D45580F" w14:textId="77777777" w:rsidR="00FF0F9B" w:rsidRPr="00EF1E43" w:rsidRDefault="00FF0F9B" w:rsidP="00374F41">
            <w:pPr>
              <w:rPr>
                <w:sz w:val="24"/>
              </w:rPr>
            </w:pPr>
            <w:r w:rsidRPr="00EF1E43">
              <w:rPr>
                <w:sz w:val="24"/>
              </w:rPr>
              <w:t>Hirose K, Tajima K, Hamajima N, et al (1995). A large-scale, hospital-based case-control study of risk factors of breast cancer according to menopausal status. Jpn J Cancer Res, 86(2): 146-54.</w:t>
            </w:r>
          </w:p>
        </w:tc>
      </w:tr>
      <w:tr w:rsidR="00EF1E43" w:rsidRPr="00EF1E43" w14:paraId="3D03B5CE" w14:textId="77777777" w:rsidTr="00CC61F1">
        <w:trPr>
          <w:cantSplit/>
        </w:trPr>
        <w:tc>
          <w:tcPr>
            <w:tcW w:w="1555" w:type="dxa"/>
            <w:shd w:val="clear" w:color="auto" w:fill="FFFFFF" w:themeFill="background1"/>
            <w:noWrap/>
            <w:vAlign w:val="center"/>
            <w:hideMark/>
          </w:tcPr>
          <w:p w14:paraId="34B0DEAA" w14:textId="77777777" w:rsidR="00FF0F9B" w:rsidRPr="00EF1E43" w:rsidRDefault="00FF0F9B" w:rsidP="00374F41">
            <w:pPr>
              <w:jc w:val="center"/>
              <w:rPr>
                <w:sz w:val="24"/>
              </w:rPr>
            </w:pPr>
            <w:r w:rsidRPr="00EF1E43">
              <w:rPr>
                <w:sz w:val="24"/>
              </w:rPr>
              <w:t>35584</w:t>
            </w:r>
          </w:p>
        </w:tc>
        <w:tc>
          <w:tcPr>
            <w:tcW w:w="7371" w:type="dxa"/>
            <w:shd w:val="clear" w:color="auto" w:fill="FFFFFF" w:themeFill="background1"/>
            <w:vAlign w:val="center"/>
            <w:hideMark/>
          </w:tcPr>
          <w:p w14:paraId="005AF8B4" w14:textId="77777777" w:rsidR="00FF0F9B" w:rsidRPr="00EF1E43" w:rsidRDefault="00FF0F9B" w:rsidP="00374F41">
            <w:pPr>
              <w:rPr>
                <w:sz w:val="24"/>
              </w:rPr>
            </w:pPr>
            <w:r w:rsidRPr="00EF1E43">
              <w:rPr>
                <w:sz w:val="24"/>
              </w:rPr>
              <w:t>Holmberg E, Holm LE, Lundell M, et al (2001). Excess breast cancer risk and the role of parity, age at first childbirth and exposure to radiation in infancy. Br J Cancer, 85(3): 362-6.</w:t>
            </w:r>
          </w:p>
        </w:tc>
      </w:tr>
      <w:tr w:rsidR="00EF1E43" w:rsidRPr="00EF1E43" w14:paraId="0F44725A" w14:textId="77777777" w:rsidTr="00CC61F1">
        <w:trPr>
          <w:cantSplit/>
        </w:trPr>
        <w:tc>
          <w:tcPr>
            <w:tcW w:w="1555" w:type="dxa"/>
            <w:shd w:val="clear" w:color="auto" w:fill="FFFFFF" w:themeFill="background1"/>
            <w:noWrap/>
            <w:vAlign w:val="center"/>
            <w:hideMark/>
          </w:tcPr>
          <w:p w14:paraId="52628451" w14:textId="77777777" w:rsidR="00FF0F9B" w:rsidRPr="00EF1E43" w:rsidRDefault="00FF0F9B" w:rsidP="00374F41">
            <w:pPr>
              <w:jc w:val="center"/>
              <w:rPr>
                <w:sz w:val="24"/>
              </w:rPr>
            </w:pPr>
            <w:r w:rsidRPr="00EF1E43">
              <w:rPr>
                <w:sz w:val="24"/>
              </w:rPr>
              <w:lastRenderedPageBreak/>
              <w:t>35832</w:t>
            </w:r>
          </w:p>
        </w:tc>
        <w:tc>
          <w:tcPr>
            <w:tcW w:w="7371" w:type="dxa"/>
            <w:shd w:val="clear" w:color="auto" w:fill="FFFFFF" w:themeFill="background1"/>
            <w:vAlign w:val="center"/>
            <w:hideMark/>
          </w:tcPr>
          <w:p w14:paraId="287AEF8B" w14:textId="77777777" w:rsidR="00FF0F9B" w:rsidRPr="00EF1E43" w:rsidRDefault="00FF0F9B" w:rsidP="00374F41">
            <w:pPr>
              <w:rPr>
                <w:sz w:val="24"/>
              </w:rPr>
            </w:pPr>
            <w:r w:rsidRPr="00EF1E43">
              <w:rPr>
                <w:sz w:val="24"/>
              </w:rPr>
              <w:t>Holmberg L, Baron JA, Byers T, et al (1995). Alcohol intake and breast cancer risk: effect of exposure from 15 years of age. Cancer Epidemiol Biomarkers Prev, 4(8): 843-7.</w:t>
            </w:r>
          </w:p>
        </w:tc>
      </w:tr>
      <w:tr w:rsidR="00EF1E43" w:rsidRPr="00EF1E43" w14:paraId="35D249BA" w14:textId="77777777" w:rsidTr="00CC61F1">
        <w:trPr>
          <w:cantSplit/>
        </w:trPr>
        <w:tc>
          <w:tcPr>
            <w:tcW w:w="1555" w:type="dxa"/>
            <w:shd w:val="clear" w:color="auto" w:fill="FFFFFF" w:themeFill="background1"/>
            <w:noWrap/>
            <w:vAlign w:val="center"/>
            <w:hideMark/>
          </w:tcPr>
          <w:p w14:paraId="4FE3ABC7" w14:textId="77777777" w:rsidR="00FF0F9B" w:rsidRPr="00EF1E43" w:rsidRDefault="00FF0F9B" w:rsidP="00374F41">
            <w:pPr>
              <w:jc w:val="center"/>
              <w:rPr>
                <w:sz w:val="24"/>
              </w:rPr>
            </w:pPr>
            <w:r w:rsidRPr="00EF1E43">
              <w:rPr>
                <w:sz w:val="24"/>
              </w:rPr>
              <w:t>58622</w:t>
            </w:r>
          </w:p>
        </w:tc>
        <w:tc>
          <w:tcPr>
            <w:tcW w:w="7371" w:type="dxa"/>
            <w:shd w:val="clear" w:color="auto" w:fill="FFFFFF" w:themeFill="background1"/>
            <w:vAlign w:val="center"/>
            <w:hideMark/>
          </w:tcPr>
          <w:p w14:paraId="6C41DD43" w14:textId="77777777" w:rsidR="00FF0F9B" w:rsidRPr="00EF1E43" w:rsidRDefault="00FF0F9B" w:rsidP="00374F41">
            <w:pPr>
              <w:rPr>
                <w:sz w:val="24"/>
              </w:rPr>
            </w:pPr>
            <w:r w:rsidRPr="00EF1E43">
              <w:rPr>
                <w:sz w:val="24"/>
              </w:rPr>
              <w:t>Holmes EB, White GL, Gaffney DK (2010). Ionizing radiation exposure, medical imaging. Retrieved 27 September 2010, from http://emedicine.medscape.com/article/1464228-print</w:t>
            </w:r>
          </w:p>
        </w:tc>
      </w:tr>
      <w:tr w:rsidR="00EF1E43" w:rsidRPr="00EF1E43" w14:paraId="64116AC0" w14:textId="77777777" w:rsidTr="00CC61F1">
        <w:trPr>
          <w:cantSplit/>
        </w:trPr>
        <w:tc>
          <w:tcPr>
            <w:tcW w:w="1555" w:type="dxa"/>
            <w:shd w:val="clear" w:color="auto" w:fill="FFFFFF" w:themeFill="background1"/>
            <w:noWrap/>
            <w:vAlign w:val="center"/>
            <w:hideMark/>
          </w:tcPr>
          <w:p w14:paraId="5F633E1C" w14:textId="77777777" w:rsidR="00FF0F9B" w:rsidRPr="00EF1E43" w:rsidRDefault="00FF0F9B" w:rsidP="00374F41">
            <w:pPr>
              <w:jc w:val="center"/>
              <w:rPr>
                <w:sz w:val="24"/>
              </w:rPr>
            </w:pPr>
            <w:r w:rsidRPr="00EF1E43">
              <w:rPr>
                <w:sz w:val="24"/>
              </w:rPr>
              <w:t>38294</w:t>
            </w:r>
          </w:p>
        </w:tc>
        <w:tc>
          <w:tcPr>
            <w:tcW w:w="7371" w:type="dxa"/>
            <w:shd w:val="clear" w:color="auto" w:fill="FFFFFF" w:themeFill="background1"/>
            <w:vAlign w:val="center"/>
            <w:hideMark/>
          </w:tcPr>
          <w:p w14:paraId="7D529455" w14:textId="77777777" w:rsidR="00FF0F9B" w:rsidRPr="00EF1E43" w:rsidRDefault="00FF0F9B" w:rsidP="00374F41">
            <w:pPr>
              <w:rPr>
                <w:sz w:val="24"/>
              </w:rPr>
            </w:pPr>
            <w:r w:rsidRPr="00EF1E43">
              <w:rPr>
                <w:sz w:val="24"/>
              </w:rPr>
              <w:t>Holmes MD, Willett WC (2004). Does diet affect breast cancer risk? Breast Cancer Res, 6(4): 170-8.</w:t>
            </w:r>
          </w:p>
        </w:tc>
      </w:tr>
      <w:tr w:rsidR="00EF1E43" w:rsidRPr="00EF1E43" w14:paraId="6F1D3679" w14:textId="77777777" w:rsidTr="00CC61F1">
        <w:trPr>
          <w:cantSplit/>
        </w:trPr>
        <w:tc>
          <w:tcPr>
            <w:tcW w:w="1555" w:type="dxa"/>
            <w:shd w:val="clear" w:color="auto" w:fill="FFFFFF" w:themeFill="background1"/>
            <w:noWrap/>
            <w:vAlign w:val="center"/>
            <w:hideMark/>
          </w:tcPr>
          <w:p w14:paraId="0B393AEB" w14:textId="77777777" w:rsidR="00FF0F9B" w:rsidRPr="00EF1E43" w:rsidRDefault="00FF0F9B" w:rsidP="00374F41">
            <w:pPr>
              <w:jc w:val="center"/>
              <w:rPr>
                <w:sz w:val="24"/>
              </w:rPr>
            </w:pPr>
            <w:r w:rsidRPr="00EF1E43">
              <w:rPr>
                <w:sz w:val="24"/>
              </w:rPr>
              <w:t>35643</w:t>
            </w:r>
          </w:p>
        </w:tc>
        <w:tc>
          <w:tcPr>
            <w:tcW w:w="7371" w:type="dxa"/>
            <w:shd w:val="clear" w:color="auto" w:fill="FFFFFF" w:themeFill="background1"/>
            <w:vAlign w:val="center"/>
            <w:hideMark/>
          </w:tcPr>
          <w:p w14:paraId="2D9603D1" w14:textId="77777777" w:rsidR="00FF0F9B" w:rsidRPr="00EF1E43" w:rsidRDefault="00FF0F9B" w:rsidP="00374F41">
            <w:pPr>
              <w:rPr>
                <w:sz w:val="24"/>
              </w:rPr>
            </w:pPr>
            <w:r w:rsidRPr="00EF1E43">
              <w:rPr>
                <w:sz w:val="24"/>
              </w:rPr>
              <w:t>Horn-Ross PL, Canchola AJ, West DW, et al (2004). Patterns of alcohol consumption and breast cancer risk in the California Teachers Study cohort. Cancer Epidemiol Biomarkers Prev, 13(3): 405-11.</w:t>
            </w:r>
          </w:p>
        </w:tc>
      </w:tr>
      <w:tr w:rsidR="00EF1E43" w:rsidRPr="00EF1E43" w14:paraId="789707EA" w14:textId="77777777" w:rsidTr="00CC61F1">
        <w:trPr>
          <w:cantSplit/>
        </w:trPr>
        <w:tc>
          <w:tcPr>
            <w:tcW w:w="1555" w:type="dxa"/>
            <w:shd w:val="clear" w:color="auto" w:fill="FFFFFF" w:themeFill="background1"/>
            <w:noWrap/>
            <w:vAlign w:val="center"/>
            <w:hideMark/>
          </w:tcPr>
          <w:p w14:paraId="4EBFC015" w14:textId="77777777" w:rsidR="00FF0F9B" w:rsidRPr="00EF1E43" w:rsidRDefault="00FF0F9B" w:rsidP="00374F41">
            <w:pPr>
              <w:jc w:val="center"/>
              <w:rPr>
                <w:sz w:val="24"/>
              </w:rPr>
            </w:pPr>
            <w:r w:rsidRPr="00EF1E43">
              <w:rPr>
                <w:sz w:val="24"/>
              </w:rPr>
              <w:t>9485</w:t>
            </w:r>
          </w:p>
        </w:tc>
        <w:tc>
          <w:tcPr>
            <w:tcW w:w="7371" w:type="dxa"/>
            <w:shd w:val="clear" w:color="auto" w:fill="FFFFFF" w:themeFill="background1"/>
            <w:vAlign w:val="center"/>
            <w:hideMark/>
          </w:tcPr>
          <w:p w14:paraId="2D38D6D9" w14:textId="77777777" w:rsidR="00FF0F9B" w:rsidRPr="00EF1E43" w:rsidRDefault="00FF0F9B" w:rsidP="00374F41">
            <w:pPr>
              <w:rPr>
                <w:sz w:val="24"/>
              </w:rPr>
            </w:pPr>
            <w:r w:rsidRPr="00EF1E43">
              <w:rPr>
                <w:sz w:val="24"/>
              </w:rPr>
              <w:t>Howe GR, McLaughlin J (1996). Breast cancer mortality between 1950 and 1987 after exposure to fractionated moderate-dose-rate ionizing radiation in the Canadian fluoroscopy cohort study and a comparison with breast cancer mortality in the atomic bomb survivors study. Radiat Res, 145(6): 694-707.</w:t>
            </w:r>
          </w:p>
        </w:tc>
      </w:tr>
      <w:tr w:rsidR="00EF1E43" w:rsidRPr="00EF1E43" w14:paraId="5FBB42AA" w14:textId="77777777" w:rsidTr="00CC61F1">
        <w:trPr>
          <w:cantSplit/>
        </w:trPr>
        <w:tc>
          <w:tcPr>
            <w:tcW w:w="1555" w:type="dxa"/>
            <w:shd w:val="clear" w:color="auto" w:fill="FFFFFF" w:themeFill="background1"/>
            <w:noWrap/>
            <w:vAlign w:val="center"/>
            <w:hideMark/>
          </w:tcPr>
          <w:p w14:paraId="551787FB" w14:textId="77777777" w:rsidR="00FF0F9B" w:rsidRPr="00EF1E43" w:rsidRDefault="00FF0F9B" w:rsidP="00374F41">
            <w:pPr>
              <w:jc w:val="center"/>
              <w:rPr>
                <w:sz w:val="24"/>
              </w:rPr>
            </w:pPr>
            <w:r w:rsidRPr="00EF1E43">
              <w:rPr>
                <w:sz w:val="24"/>
              </w:rPr>
              <w:t>36916</w:t>
            </w:r>
          </w:p>
        </w:tc>
        <w:tc>
          <w:tcPr>
            <w:tcW w:w="7371" w:type="dxa"/>
            <w:shd w:val="clear" w:color="auto" w:fill="FFFFFF" w:themeFill="background1"/>
            <w:vAlign w:val="center"/>
            <w:hideMark/>
          </w:tcPr>
          <w:p w14:paraId="02C87849" w14:textId="77777777" w:rsidR="00FF0F9B" w:rsidRPr="00EF1E43" w:rsidRDefault="00FF0F9B" w:rsidP="00374F41">
            <w:pPr>
              <w:rPr>
                <w:sz w:val="24"/>
              </w:rPr>
            </w:pPr>
            <w:r w:rsidRPr="00EF1E43">
              <w:rPr>
                <w:sz w:val="24"/>
              </w:rPr>
              <w:t>Hsing AW, McLaughlin JK, Cocco P, et al (1998). Risk factors for male breast cancer (United States). Cancer Causes Control, 9(3): 269-75.</w:t>
            </w:r>
          </w:p>
        </w:tc>
      </w:tr>
      <w:tr w:rsidR="00EF1E43" w:rsidRPr="00EF1E43" w14:paraId="0BDBF9ED" w14:textId="77777777" w:rsidTr="00CC61F1">
        <w:trPr>
          <w:cantSplit/>
        </w:trPr>
        <w:tc>
          <w:tcPr>
            <w:tcW w:w="1555" w:type="dxa"/>
            <w:shd w:val="clear" w:color="auto" w:fill="FFFFFF" w:themeFill="background1"/>
            <w:noWrap/>
            <w:vAlign w:val="center"/>
            <w:hideMark/>
          </w:tcPr>
          <w:p w14:paraId="2DF94BCD" w14:textId="77777777" w:rsidR="00FF0F9B" w:rsidRPr="00EF1E43" w:rsidRDefault="00FF0F9B" w:rsidP="00374F41">
            <w:pPr>
              <w:jc w:val="center"/>
              <w:rPr>
                <w:sz w:val="24"/>
              </w:rPr>
            </w:pPr>
            <w:r w:rsidRPr="00EF1E43">
              <w:rPr>
                <w:sz w:val="24"/>
              </w:rPr>
              <w:t>72597</w:t>
            </w:r>
          </w:p>
        </w:tc>
        <w:tc>
          <w:tcPr>
            <w:tcW w:w="7371" w:type="dxa"/>
            <w:shd w:val="clear" w:color="auto" w:fill="FFFFFF" w:themeFill="background1"/>
            <w:vAlign w:val="center"/>
            <w:hideMark/>
          </w:tcPr>
          <w:p w14:paraId="4FDDD25C" w14:textId="77777777" w:rsidR="00FF0F9B" w:rsidRPr="00EF1E43" w:rsidRDefault="00FF0F9B" w:rsidP="00374F41">
            <w:pPr>
              <w:rPr>
                <w:sz w:val="24"/>
              </w:rPr>
            </w:pPr>
            <w:r w:rsidRPr="00EF1E43">
              <w:rPr>
                <w:sz w:val="24"/>
              </w:rPr>
              <w:t>Hsu WL, Preston DL, Soda M, et al (2013). The incidence of leukemia, lymphoma and multiple myeloma among atomic bomb survivors: 1950-2001. Radiat Res, 179(3): 361-82.</w:t>
            </w:r>
          </w:p>
        </w:tc>
      </w:tr>
      <w:tr w:rsidR="00EF1E43" w:rsidRPr="00EF1E43" w14:paraId="426F282D" w14:textId="77777777" w:rsidTr="00CC61F1">
        <w:trPr>
          <w:cantSplit/>
        </w:trPr>
        <w:tc>
          <w:tcPr>
            <w:tcW w:w="1555" w:type="dxa"/>
            <w:shd w:val="clear" w:color="auto" w:fill="FFFFFF" w:themeFill="background1"/>
            <w:noWrap/>
            <w:vAlign w:val="center"/>
            <w:hideMark/>
          </w:tcPr>
          <w:p w14:paraId="110FBF29" w14:textId="77777777" w:rsidR="00FF0F9B" w:rsidRPr="00EF1E43" w:rsidRDefault="00FF0F9B" w:rsidP="00374F41">
            <w:pPr>
              <w:jc w:val="center"/>
              <w:rPr>
                <w:sz w:val="24"/>
              </w:rPr>
            </w:pPr>
            <w:r w:rsidRPr="00EF1E43">
              <w:rPr>
                <w:sz w:val="24"/>
              </w:rPr>
              <w:t>37176</w:t>
            </w:r>
          </w:p>
        </w:tc>
        <w:tc>
          <w:tcPr>
            <w:tcW w:w="7371" w:type="dxa"/>
            <w:shd w:val="clear" w:color="auto" w:fill="FFFFFF" w:themeFill="background1"/>
            <w:vAlign w:val="center"/>
            <w:hideMark/>
          </w:tcPr>
          <w:p w14:paraId="24253501" w14:textId="77777777" w:rsidR="00FF0F9B" w:rsidRPr="00EF1E43" w:rsidRDefault="00FF0F9B" w:rsidP="00374F41">
            <w:pPr>
              <w:rPr>
                <w:sz w:val="24"/>
              </w:rPr>
            </w:pPr>
            <w:r w:rsidRPr="00EF1E43">
              <w:rPr>
                <w:sz w:val="24"/>
              </w:rPr>
              <w:t>Hu YH, Nagata C, Shimizu H, et al (1997). Association of body mass index, physical activity, and reproductive histories with breast cancer: a case-control study in Gifu, Japan. Breast Cancer Res Treat, 43(1): 65-72.</w:t>
            </w:r>
          </w:p>
        </w:tc>
      </w:tr>
      <w:tr w:rsidR="00EF1E43" w:rsidRPr="00EF1E43" w14:paraId="6D957DE4" w14:textId="77777777" w:rsidTr="00CC61F1">
        <w:trPr>
          <w:cantSplit/>
        </w:trPr>
        <w:tc>
          <w:tcPr>
            <w:tcW w:w="1555" w:type="dxa"/>
            <w:shd w:val="clear" w:color="auto" w:fill="FFFFFF" w:themeFill="background1"/>
            <w:noWrap/>
            <w:vAlign w:val="center"/>
            <w:hideMark/>
          </w:tcPr>
          <w:p w14:paraId="3D6524C2" w14:textId="77777777" w:rsidR="00FF0F9B" w:rsidRPr="00EF1E43" w:rsidRDefault="00FF0F9B" w:rsidP="00374F41">
            <w:pPr>
              <w:jc w:val="center"/>
              <w:rPr>
                <w:sz w:val="24"/>
              </w:rPr>
            </w:pPr>
            <w:r w:rsidRPr="00EF1E43">
              <w:rPr>
                <w:sz w:val="24"/>
              </w:rPr>
              <w:t>37529</w:t>
            </w:r>
          </w:p>
        </w:tc>
        <w:tc>
          <w:tcPr>
            <w:tcW w:w="7371" w:type="dxa"/>
            <w:shd w:val="clear" w:color="auto" w:fill="FFFFFF" w:themeFill="background1"/>
            <w:vAlign w:val="center"/>
            <w:hideMark/>
          </w:tcPr>
          <w:p w14:paraId="6C3FFB38" w14:textId="77777777" w:rsidR="00FF0F9B" w:rsidRPr="00EF1E43" w:rsidRDefault="00FF0F9B" w:rsidP="00374F41">
            <w:pPr>
              <w:rPr>
                <w:sz w:val="24"/>
              </w:rPr>
            </w:pPr>
            <w:r w:rsidRPr="00EF1E43">
              <w:rPr>
                <w:sz w:val="24"/>
              </w:rPr>
              <w:t>Huang XE, Hirose K, Wakai K, et al (2004). Comparison of lifestyle risk factors by family history for gastric, breast, lung and colorectal cancer. Asian Pac J Cancer Prev, 5(4): 419-27.</w:t>
            </w:r>
          </w:p>
        </w:tc>
      </w:tr>
      <w:tr w:rsidR="00EF1E43" w:rsidRPr="00EF1E43" w14:paraId="252BA664" w14:textId="77777777" w:rsidTr="00CC61F1">
        <w:trPr>
          <w:cantSplit/>
        </w:trPr>
        <w:tc>
          <w:tcPr>
            <w:tcW w:w="1555" w:type="dxa"/>
            <w:shd w:val="clear" w:color="auto" w:fill="FFFFFF" w:themeFill="background1"/>
            <w:noWrap/>
            <w:vAlign w:val="center"/>
            <w:hideMark/>
          </w:tcPr>
          <w:p w14:paraId="1B0B790F" w14:textId="77777777" w:rsidR="00FF0F9B" w:rsidRPr="00EF1E43" w:rsidRDefault="00FF0F9B" w:rsidP="00374F41">
            <w:pPr>
              <w:jc w:val="center"/>
              <w:rPr>
                <w:sz w:val="24"/>
              </w:rPr>
            </w:pPr>
            <w:r w:rsidRPr="00EF1E43">
              <w:rPr>
                <w:sz w:val="24"/>
              </w:rPr>
              <w:t>37179</w:t>
            </w:r>
          </w:p>
        </w:tc>
        <w:tc>
          <w:tcPr>
            <w:tcW w:w="7371" w:type="dxa"/>
            <w:shd w:val="clear" w:color="auto" w:fill="FFFFFF" w:themeFill="background1"/>
            <w:vAlign w:val="center"/>
            <w:hideMark/>
          </w:tcPr>
          <w:p w14:paraId="222FF736" w14:textId="77777777" w:rsidR="00FF0F9B" w:rsidRPr="00EF1E43" w:rsidRDefault="00FF0F9B" w:rsidP="00374F41">
            <w:pPr>
              <w:rPr>
                <w:sz w:val="24"/>
              </w:rPr>
            </w:pPr>
            <w:r w:rsidRPr="00EF1E43">
              <w:rPr>
                <w:sz w:val="24"/>
              </w:rPr>
              <w:t>Huang Z, Hankinson SE, Colditz GA, et al (1997). Dual effects of weight and weight gain on breast cancer risk. JAMA, 278(17): 1407-11.</w:t>
            </w:r>
          </w:p>
        </w:tc>
      </w:tr>
      <w:tr w:rsidR="00EF1E43" w:rsidRPr="00EF1E43" w14:paraId="440CA176" w14:textId="77777777" w:rsidTr="00CC61F1">
        <w:trPr>
          <w:cantSplit/>
        </w:trPr>
        <w:tc>
          <w:tcPr>
            <w:tcW w:w="1555" w:type="dxa"/>
            <w:shd w:val="clear" w:color="auto" w:fill="FFFFFF" w:themeFill="background1"/>
            <w:noWrap/>
            <w:vAlign w:val="center"/>
            <w:hideMark/>
          </w:tcPr>
          <w:p w14:paraId="169B00A7" w14:textId="77777777" w:rsidR="00FF0F9B" w:rsidRPr="00EF1E43" w:rsidRDefault="00FF0F9B" w:rsidP="00374F41">
            <w:pPr>
              <w:jc w:val="center"/>
              <w:rPr>
                <w:sz w:val="24"/>
              </w:rPr>
            </w:pPr>
            <w:r w:rsidRPr="00EF1E43">
              <w:rPr>
                <w:sz w:val="24"/>
              </w:rPr>
              <w:t>40523</w:t>
            </w:r>
          </w:p>
        </w:tc>
        <w:tc>
          <w:tcPr>
            <w:tcW w:w="7371" w:type="dxa"/>
            <w:shd w:val="clear" w:color="auto" w:fill="FFFFFF" w:themeFill="background1"/>
            <w:vAlign w:val="center"/>
            <w:hideMark/>
          </w:tcPr>
          <w:p w14:paraId="5374D498" w14:textId="77777777" w:rsidR="00FF0F9B" w:rsidRPr="00EF1E43" w:rsidRDefault="00FF0F9B" w:rsidP="00374F41">
            <w:pPr>
              <w:rPr>
                <w:sz w:val="24"/>
              </w:rPr>
            </w:pPr>
            <w:r w:rsidRPr="00EF1E43">
              <w:rPr>
                <w:sz w:val="24"/>
              </w:rPr>
              <w:t>Huang Z, Willett WC, Colditz GA, et al (1999). Waist circumference, waist:hip ratio, and risk of breast cancer in the Nurses' Health Study. Am J Epidemiol, 150(12): 1316-24.</w:t>
            </w:r>
          </w:p>
        </w:tc>
      </w:tr>
      <w:tr w:rsidR="00EF1E43" w:rsidRPr="00EF1E43" w14:paraId="2C6E2329" w14:textId="77777777" w:rsidTr="00CC61F1">
        <w:trPr>
          <w:cantSplit/>
        </w:trPr>
        <w:tc>
          <w:tcPr>
            <w:tcW w:w="1555" w:type="dxa"/>
            <w:shd w:val="clear" w:color="auto" w:fill="FFFFFF" w:themeFill="background1"/>
            <w:noWrap/>
            <w:vAlign w:val="center"/>
            <w:hideMark/>
          </w:tcPr>
          <w:p w14:paraId="339B0854" w14:textId="77777777" w:rsidR="00FF0F9B" w:rsidRPr="00EF1E43" w:rsidRDefault="00FF0F9B" w:rsidP="00374F41">
            <w:pPr>
              <w:jc w:val="center"/>
              <w:rPr>
                <w:sz w:val="24"/>
              </w:rPr>
            </w:pPr>
            <w:r w:rsidRPr="00EF1E43">
              <w:rPr>
                <w:sz w:val="24"/>
              </w:rPr>
              <w:t>4727</w:t>
            </w:r>
          </w:p>
        </w:tc>
        <w:tc>
          <w:tcPr>
            <w:tcW w:w="7371" w:type="dxa"/>
            <w:shd w:val="clear" w:color="auto" w:fill="FFFFFF" w:themeFill="background1"/>
            <w:vAlign w:val="center"/>
            <w:hideMark/>
          </w:tcPr>
          <w:p w14:paraId="5D9B5DE6" w14:textId="77777777" w:rsidR="00FF0F9B" w:rsidRPr="00EF1E43" w:rsidRDefault="00FF0F9B" w:rsidP="00374F41">
            <w:pPr>
              <w:rPr>
                <w:sz w:val="24"/>
              </w:rPr>
            </w:pPr>
            <w:r w:rsidRPr="00EF1E43">
              <w:rPr>
                <w:sz w:val="24"/>
              </w:rPr>
              <w:t>Hunter DJ, Kelsey KT (1993). Pesticide residues and breast cancer: The harvest of a silent spring? J Natl Cancer Inst, 85(8): 598-9.</w:t>
            </w:r>
          </w:p>
        </w:tc>
      </w:tr>
      <w:tr w:rsidR="00EF1E43" w:rsidRPr="00EF1E43" w14:paraId="38124F4C" w14:textId="77777777" w:rsidTr="00CC61F1">
        <w:trPr>
          <w:cantSplit/>
        </w:trPr>
        <w:tc>
          <w:tcPr>
            <w:tcW w:w="1555" w:type="dxa"/>
            <w:shd w:val="clear" w:color="auto" w:fill="FFFFFF" w:themeFill="background1"/>
            <w:noWrap/>
            <w:vAlign w:val="center"/>
            <w:hideMark/>
          </w:tcPr>
          <w:p w14:paraId="1847B73C" w14:textId="77777777" w:rsidR="00FF0F9B" w:rsidRPr="00EF1E43" w:rsidRDefault="00FF0F9B" w:rsidP="00374F41">
            <w:pPr>
              <w:jc w:val="center"/>
              <w:rPr>
                <w:sz w:val="24"/>
              </w:rPr>
            </w:pPr>
            <w:r w:rsidRPr="00EF1E43">
              <w:rPr>
                <w:sz w:val="24"/>
              </w:rPr>
              <w:t>9223</w:t>
            </w:r>
          </w:p>
        </w:tc>
        <w:tc>
          <w:tcPr>
            <w:tcW w:w="7371" w:type="dxa"/>
            <w:shd w:val="clear" w:color="auto" w:fill="FFFFFF" w:themeFill="background1"/>
            <w:vAlign w:val="center"/>
            <w:hideMark/>
          </w:tcPr>
          <w:p w14:paraId="124D3C63" w14:textId="77777777" w:rsidR="00FF0F9B" w:rsidRPr="00EF1E43" w:rsidRDefault="00FF0F9B" w:rsidP="00374F41">
            <w:pPr>
              <w:rPr>
                <w:sz w:val="24"/>
              </w:rPr>
            </w:pPr>
            <w:r w:rsidRPr="00EF1E43">
              <w:rPr>
                <w:sz w:val="24"/>
              </w:rPr>
              <w:t>Hunter DJ, Spiegelman D, Adami HO, et al (1996). Cohort studies of fat intake and the risk of breast cancer--a pooled analysis. N Engl J Med, 334(6): 356-61.</w:t>
            </w:r>
          </w:p>
        </w:tc>
      </w:tr>
      <w:tr w:rsidR="00EF1E43" w:rsidRPr="00EF1E43" w14:paraId="6AFA7E2E" w14:textId="77777777" w:rsidTr="00CC61F1">
        <w:trPr>
          <w:cantSplit/>
        </w:trPr>
        <w:tc>
          <w:tcPr>
            <w:tcW w:w="1555" w:type="dxa"/>
            <w:shd w:val="clear" w:color="auto" w:fill="FFFFFF" w:themeFill="background1"/>
            <w:noWrap/>
            <w:vAlign w:val="center"/>
            <w:hideMark/>
          </w:tcPr>
          <w:p w14:paraId="3178EC54" w14:textId="77777777" w:rsidR="00FF0F9B" w:rsidRPr="00EF1E43" w:rsidRDefault="00FF0F9B" w:rsidP="00374F41">
            <w:pPr>
              <w:jc w:val="center"/>
              <w:rPr>
                <w:sz w:val="24"/>
              </w:rPr>
            </w:pPr>
            <w:r w:rsidRPr="00EF1E43">
              <w:rPr>
                <w:sz w:val="24"/>
              </w:rPr>
              <w:t>80730</w:t>
            </w:r>
          </w:p>
        </w:tc>
        <w:tc>
          <w:tcPr>
            <w:tcW w:w="7371" w:type="dxa"/>
            <w:shd w:val="clear" w:color="auto" w:fill="FFFFFF" w:themeFill="background1"/>
            <w:vAlign w:val="center"/>
            <w:hideMark/>
          </w:tcPr>
          <w:p w14:paraId="070F2491" w14:textId="77777777" w:rsidR="00FF0F9B" w:rsidRPr="00EF1E43" w:rsidRDefault="00FF0F9B" w:rsidP="00374F41">
            <w:pPr>
              <w:rPr>
                <w:sz w:val="24"/>
              </w:rPr>
            </w:pPr>
            <w:r w:rsidRPr="00EF1E43">
              <w:rPr>
                <w:sz w:val="24"/>
              </w:rPr>
              <w:t>Hunter N, Kuznetsova IS, Labutina EV, et al (2013). Solid cancer incidence other than lung, liver and bone in Mayak workers: 1948-2004. Br J Cancer, 109(7): 1989-96.</w:t>
            </w:r>
          </w:p>
        </w:tc>
      </w:tr>
      <w:tr w:rsidR="00EF1E43" w:rsidRPr="00EF1E43" w14:paraId="0E1B837D" w14:textId="77777777" w:rsidTr="00CC61F1">
        <w:trPr>
          <w:cantSplit/>
        </w:trPr>
        <w:tc>
          <w:tcPr>
            <w:tcW w:w="1555" w:type="dxa"/>
            <w:shd w:val="clear" w:color="auto" w:fill="FFFFFF" w:themeFill="background1"/>
            <w:noWrap/>
            <w:vAlign w:val="center"/>
            <w:hideMark/>
          </w:tcPr>
          <w:p w14:paraId="26C78AB2" w14:textId="77777777" w:rsidR="00FF0F9B" w:rsidRPr="00EF1E43" w:rsidRDefault="00FF0F9B" w:rsidP="00374F41">
            <w:pPr>
              <w:jc w:val="center"/>
              <w:rPr>
                <w:sz w:val="24"/>
              </w:rPr>
            </w:pPr>
            <w:r w:rsidRPr="00EF1E43">
              <w:rPr>
                <w:sz w:val="24"/>
              </w:rPr>
              <w:t>47028</w:t>
            </w:r>
          </w:p>
        </w:tc>
        <w:tc>
          <w:tcPr>
            <w:tcW w:w="7371" w:type="dxa"/>
            <w:shd w:val="clear" w:color="auto" w:fill="FFFFFF" w:themeFill="background1"/>
            <w:vAlign w:val="center"/>
            <w:hideMark/>
          </w:tcPr>
          <w:p w14:paraId="50209C5D" w14:textId="77777777" w:rsidR="00FF0F9B" w:rsidRPr="00EF1E43" w:rsidRDefault="00FF0F9B" w:rsidP="00374F41">
            <w:pPr>
              <w:rPr>
                <w:sz w:val="24"/>
              </w:rPr>
            </w:pPr>
            <w:r w:rsidRPr="00EF1E43">
              <w:rPr>
                <w:sz w:val="24"/>
              </w:rPr>
              <w:t>IARC (2005). Human papillomaviruses. IARC monographs on the evaluation of carcinogenic risks to humans, Vol 90. International Agency for Research on Cancer, Lyon France.</w:t>
            </w:r>
          </w:p>
        </w:tc>
      </w:tr>
      <w:tr w:rsidR="00EF1E43" w:rsidRPr="00EF1E43" w14:paraId="65A17D3C" w14:textId="77777777" w:rsidTr="00CC61F1">
        <w:trPr>
          <w:cantSplit/>
        </w:trPr>
        <w:tc>
          <w:tcPr>
            <w:tcW w:w="1555" w:type="dxa"/>
            <w:shd w:val="clear" w:color="auto" w:fill="FFFFFF" w:themeFill="background1"/>
            <w:noWrap/>
            <w:vAlign w:val="center"/>
            <w:hideMark/>
          </w:tcPr>
          <w:p w14:paraId="509014DF" w14:textId="77777777" w:rsidR="00FF0F9B" w:rsidRPr="00EF1E43" w:rsidRDefault="00FF0F9B" w:rsidP="00374F41">
            <w:pPr>
              <w:jc w:val="center"/>
              <w:rPr>
                <w:sz w:val="24"/>
              </w:rPr>
            </w:pPr>
            <w:r w:rsidRPr="00EF1E43">
              <w:rPr>
                <w:sz w:val="24"/>
              </w:rPr>
              <w:lastRenderedPageBreak/>
              <w:t>60284</w:t>
            </w:r>
          </w:p>
        </w:tc>
        <w:tc>
          <w:tcPr>
            <w:tcW w:w="7371" w:type="dxa"/>
            <w:shd w:val="clear" w:color="auto" w:fill="FFFFFF" w:themeFill="background1"/>
            <w:vAlign w:val="center"/>
            <w:hideMark/>
          </w:tcPr>
          <w:p w14:paraId="427D8D46" w14:textId="77777777" w:rsidR="00FF0F9B" w:rsidRPr="00EF1E43" w:rsidRDefault="00FF0F9B" w:rsidP="00374F41">
            <w:pPr>
              <w:rPr>
                <w:sz w:val="24"/>
              </w:rPr>
            </w:pPr>
            <w:r w:rsidRPr="00EF1E43">
              <w:rPr>
                <w:sz w:val="24"/>
              </w:rPr>
              <w:t>IARC Working Group (2010). Alcohol consumption and ethyl carbamate. IARC Monographs on the Evaluation of Carcinogenic Risks to Humans, Vol 96. World Health Organization, International Agency for Research on Cancer, Lyon France.</w:t>
            </w:r>
          </w:p>
        </w:tc>
      </w:tr>
      <w:tr w:rsidR="00EF1E43" w:rsidRPr="00EF1E43" w14:paraId="6A326185" w14:textId="77777777" w:rsidTr="00CC61F1">
        <w:trPr>
          <w:cantSplit/>
        </w:trPr>
        <w:tc>
          <w:tcPr>
            <w:tcW w:w="1555" w:type="dxa"/>
            <w:shd w:val="clear" w:color="auto" w:fill="FFFFFF" w:themeFill="background1"/>
            <w:noWrap/>
            <w:vAlign w:val="center"/>
            <w:hideMark/>
          </w:tcPr>
          <w:p w14:paraId="7F4E5995" w14:textId="77777777" w:rsidR="00FF0F9B" w:rsidRPr="00EF1E43" w:rsidRDefault="00FF0F9B" w:rsidP="00374F41">
            <w:pPr>
              <w:jc w:val="center"/>
              <w:rPr>
                <w:sz w:val="24"/>
              </w:rPr>
            </w:pPr>
            <w:r w:rsidRPr="00EF1E43">
              <w:rPr>
                <w:sz w:val="24"/>
              </w:rPr>
              <w:t>60195</w:t>
            </w:r>
          </w:p>
        </w:tc>
        <w:tc>
          <w:tcPr>
            <w:tcW w:w="7371" w:type="dxa"/>
            <w:shd w:val="clear" w:color="auto" w:fill="FFFFFF" w:themeFill="background1"/>
            <w:vAlign w:val="center"/>
            <w:hideMark/>
          </w:tcPr>
          <w:p w14:paraId="7BCFB3D1" w14:textId="77777777" w:rsidR="00FF0F9B" w:rsidRPr="00EF1E43" w:rsidRDefault="00FF0F9B" w:rsidP="00374F41">
            <w:pPr>
              <w:rPr>
                <w:sz w:val="24"/>
              </w:rPr>
            </w:pPr>
            <w:r w:rsidRPr="00EF1E43">
              <w:rPr>
                <w:sz w:val="24"/>
              </w:rPr>
              <w:t>IARC Working Group (2010). Painting, firefighting, and shiftwork. IARC Monographs on the Evaluation of Carcinogenic Risks to Humans, Volume 98. World Health Organization, International Agency for Research on Cancer, Lyon France.</w:t>
            </w:r>
          </w:p>
        </w:tc>
      </w:tr>
      <w:tr w:rsidR="00EF1E43" w:rsidRPr="00EF1E43" w14:paraId="20A741D9" w14:textId="77777777" w:rsidTr="00CC61F1">
        <w:trPr>
          <w:cantSplit/>
        </w:trPr>
        <w:tc>
          <w:tcPr>
            <w:tcW w:w="1555" w:type="dxa"/>
            <w:shd w:val="clear" w:color="auto" w:fill="FFFFFF" w:themeFill="background1"/>
            <w:noWrap/>
            <w:vAlign w:val="center"/>
            <w:hideMark/>
          </w:tcPr>
          <w:p w14:paraId="29D40A41" w14:textId="77777777" w:rsidR="00FF0F9B" w:rsidRPr="00EF1E43" w:rsidRDefault="00FF0F9B" w:rsidP="00374F41">
            <w:pPr>
              <w:jc w:val="center"/>
              <w:rPr>
                <w:sz w:val="24"/>
              </w:rPr>
            </w:pPr>
            <w:r w:rsidRPr="00EF1E43">
              <w:rPr>
                <w:sz w:val="24"/>
              </w:rPr>
              <w:t>68409</w:t>
            </w:r>
          </w:p>
        </w:tc>
        <w:tc>
          <w:tcPr>
            <w:tcW w:w="7371" w:type="dxa"/>
            <w:shd w:val="clear" w:color="auto" w:fill="FFFFFF" w:themeFill="background1"/>
            <w:vAlign w:val="center"/>
            <w:hideMark/>
          </w:tcPr>
          <w:p w14:paraId="469A1869" w14:textId="77777777" w:rsidR="00FF0F9B" w:rsidRPr="00EF1E43" w:rsidRDefault="00FF0F9B" w:rsidP="00374F41">
            <w:pPr>
              <w:rPr>
                <w:sz w:val="24"/>
              </w:rPr>
            </w:pPr>
            <w:r w:rsidRPr="00EF1E43">
              <w:rPr>
                <w:sz w:val="24"/>
              </w:rPr>
              <w:t>IARC Working group (2012). Chemical agents and related occupations. IARC Monographs on the Evaluation of Carcinogenic Risks to Humans, Vol 100F. World Health Organization, international Agency for Research on Cancer, Lyon France.</w:t>
            </w:r>
          </w:p>
        </w:tc>
      </w:tr>
      <w:tr w:rsidR="00EF1E43" w:rsidRPr="00EF1E43" w14:paraId="2EC7E0AD" w14:textId="77777777" w:rsidTr="00CC61F1">
        <w:trPr>
          <w:cantSplit/>
        </w:trPr>
        <w:tc>
          <w:tcPr>
            <w:tcW w:w="1555" w:type="dxa"/>
            <w:shd w:val="clear" w:color="auto" w:fill="FFFFFF" w:themeFill="background1"/>
            <w:noWrap/>
            <w:vAlign w:val="center"/>
            <w:hideMark/>
          </w:tcPr>
          <w:p w14:paraId="4B95E32B" w14:textId="77777777" w:rsidR="00FF0F9B" w:rsidRPr="00EF1E43" w:rsidRDefault="00FF0F9B" w:rsidP="00374F41">
            <w:pPr>
              <w:jc w:val="center"/>
              <w:rPr>
                <w:sz w:val="24"/>
              </w:rPr>
            </w:pPr>
            <w:r w:rsidRPr="00EF1E43">
              <w:rPr>
                <w:sz w:val="24"/>
              </w:rPr>
              <w:t>67141</w:t>
            </w:r>
          </w:p>
        </w:tc>
        <w:tc>
          <w:tcPr>
            <w:tcW w:w="7371" w:type="dxa"/>
            <w:shd w:val="clear" w:color="auto" w:fill="FFFFFF" w:themeFill="background1"/>
            <w:vAlign w:val="center"/>
            <w:hideMark/>
          </w:tcPr>
          <w:p w14:paraId="5038D172" w14:textId="77777777" w:rsidR="00FF0F9B" w:rsidRPr="00EF1E43" w:rsidRDefault="00FF0F9B" w:rsidP="00374F41">
            <w:pPr>
              <w:rPr>
                <w:sz w:val="24"/>
              </w:rPr>
            </w:pPr>
            <w:r w:rsidRPr="00EF1E43">
              <w:rPr>
                <w:sz w:val="24"/>
              </w:rPr>
              <w:t>IARC Working Group (2008). 1,3-butadiene, ethylene oxide and vinyl halides (vinyl fluoride, vinyl chloride and vinyl bromide). IARC Monographs on the Evaluation of Carcinogenic Risks to Humans, Vol 97. World Health Organization International Agency for Research on Cancer. Lyon France.</w:t>
            </w:r>
          </w:p>
        </w:tc>
      </w:tr>
      <w:tr w:rsidR="00EF1E43" w:rsidRPr="00EF1E43" w14:paraId="3C50CCD5" w14:textId="77777777" w:rsidTr="00CC61F1">
        <w:trPr>
          <w:cantSplit/>
        </w:trPr>
        <w:tc>
          <w:tcPr>
            <w:tcW w:w="1555" w:type="dxa"/>
            <w:shd w:val="clear" w:color="auto" w:fill="FFFFFF" w:themeFill="background1"/>
            <w:noWrap/>
            <w:vAlign w:val="center"/>
            <w:hideMark/>
          </w:tcPr>
          <w:p w14:paraId="450313A8" w14:textId="77777777" w:rsidR="00FF0F9B" w:rsidRPr="00EF1E43" w:rsidRDefault="00FF0F9B" w:rsidP="00374F41">
            <w:pPr>
              <w:jc w:val="center"/>
              <w:rPr>
                <w:sz w:val="24"/>
              </w:rPr>
            </w:pPr>
            <w:r w:rsidRPr="00EF1E43">
              <w:rPr>
                <w:sz w:val="24"/>
              </w:rPr>
              <w:t>68411</w:t>
            </w:r>
          </w:p>
        </w:tc>
        <w:tc>
          <w:tcPr>
            <w:tcW w:w="7371" w:type="dxa"/>
            <w:shd w:val="clear" w:color="auto" w:fill="FFFFFF" w:themeFill="background1"/>
            <w:vAlign w:val="center"/>
            <w:hideMark/>
          </w:tcPr>
          <w:p w14:paraId="2215E076" w14:textId="77777777" w:rsidR="00FF0F9B" w:rsidRPr="00EF1E43" w:rsidRDefault="00FF0F9B" w:rsidP="00374F41">
            <w:pPr>
              <w:rPr>
                <w:sz w:val="24"/>
              </w:rPr>
            </w:pPr>
            <w:r w:rsidRPr="00EF1E43">
              <w:rPr>
                <w:sz w:val="24"/>
              </w:rPr>
              <w:t>IARC Working Group (2009). Biological agents. IARC Monographs on the Evaluation of Carcinogenic Risks to Humans, Vol 100B. World Health Organization, International Agency for Research on Cancer, Lyon France.</w:t>
            </w:r>
          </w:p>
        </w:tc>
      </w:tr>
      <w:tr w:rsidR="00EF1E43" w:rsidRPr="00EF1E43" w14:paraId="37D9A3B6" w14:textId="77777777" w:rsidTr="00CC61F1">
        <w:trPr>
          <w:cantSplit/>
        </w:trPr>
        <w:tc>
          <w:tcPr>
            <w:tcW w:w="1555" w:type="dxa"/>
            <w:shd w:val="clear" w:color="auto" w:fill="FFFFFF" w:themeFill="background1"/>
            <w:noWrap/>
            <w:vAlign w:val="center"/>
            <w:hideMark/>
          </w:tcPr>
          <w:p w14:paraId="02CEE98A" w14:textId="77777777" w:rsidR="00FF0F9B" w:rsidRPr="00EF1E43" w:rsidRDefault="00FF0F9B" w:rsidP="00374F41">
            <w:pPr>
              <w:jc w:val="center"/>
              <w:rPr>
                <w:sz w:val="24"/>
              </w:rPr>
            </w:pPr>
            <w:r w:rsidRPr="00EF1E43">
              <w:rPr>
                <w:sz w:val="24"/>
              </w:rPr>
              <w:t>88981</w:t>
            </w:r>
          </w:p>
        </w:tc>
        <w:tc>
          <w:tcPr>
            <w:tcW w:w="7371" w:type="dxa"/>
            <w:shd w:val="clear" w:color="auto" w:fill="FFFFFF" w:themeFill="background1"/>
            <w:vAlign w:val="center"/>
            <w:hideMark/>
          </w:tcPr>
          <w:p w14:paraId="56E204A9" w14:textId="77777777" w:rsidR="00FF0F9B" w:rsidRPr="00EF1E43" w:rsidRDefault="00FF0F9B" w:rsidP="00374F41">
            <w:pPr>
              <w:rPr>
                <w:sz w:val="24"/>
              </w:rPr>
            </w:pPr>
            <w:r w:rsidRPr="00EF1E43">
              <w:rPr>
                <w:sz w:val="24"/>
              </w:rPr>
              <w:t>IARC Working Group (2012). Combined estrogen-progestogen contraceptives. IARC Monographs on the Evaluation of Carcinogenic Risks to Humans, Vol 100A: 283-311. World Health Organization, International Agency on Research on Cancer, Lyon France.</w:t>
            </w:r>
          </w:p>
        </w:tc>
      </w:tr>
      <w:tr w:rsidR="00EF1E43" w:rsidRPr="00EF1E43" w14:paraId="531F94E5" w14:textId="77777777" w:rsidTr="00CC61F1">
        <w:trPr>
          <w:cantSplit/>
        </w:trPr>
        <w:tc>
          <w:tcPr>
            <w:tcW w:w="1555" w:type="dxa"/>
            <w:shd w:val="clear" w:color="auto" w:fill="FFFFFF" w:themeFill="background1"/>
            <w:noWrap/>
            <w:vAlign w:val="center"/>
            <w:hideMark/>
          </w:tcPr>
          <w:p w14:paraId="336A3F34" w14:textId="77777777" w:rsidR="00FF0F9B" w:rsidRPr="00EF1E43" w:rsidRDefault="00FF0F9B" w:rsidP="00374F41">
            <w:pPr>
              <w:jc w:val="center"/>
              <w:rPr>
                <w:sz w:val="24"/>
              </w:rPr>
            </w:pPr>
            <w:r w:rsidRPr="00EF1E43">
              <w:rPr>
                <w:sz w:val="24"/>
              </w:rPr>
              <w:t>29517</w:t>
            </w:r>
          </w:p>
        </w:tc>
        <w:tc>
          <w:tcPr>
            <w:tcW w:w="7371" w:type="dxa"/>
            <w:shd w:val="clear" w:color="auto" w:fill="FFFFFF" w:themeFill="background1"/>
            <w:vAlign w:val="center"/>
            <w:hideMark/>
          </w:tcPr>
          <w:p w14:paraId="0E078FAD" w14:textId="77777777" w:rsidR="00FF0F9B" w:rsidRPr="00EF1E43" w:rsidRDefault="00FF0F9B" w:rsidP="00374F41">
            <w:pPr>
              <w:rPr>
                <w:sz w:val="24"/>
              </w:rPr>
            </w:pPr>
            <w:r w:rsidRPr="00EF1E43">
              <w:rPr>
                <w:sz w:val="24"/>
              </w:rPr>
              <w:t>IARC Working Group (1991). Occupational exposures in insecticide application, and some pesticides. IARC Monographs on the Evaluation of Carcinogenic Risks to Humans, Vol 53. World Health Organization International Agency for Research on Cancer. Lyon France.</w:t>
            </w:r>
          </w:p>
        </w:tc>
      </w:tr>
      <w:tr w:rsidR="00EF1E43" w:rsidRPr="00EF1E43" w14:paraId="378F88A1" w14:textId="77777777" w:rsidTr="00CC61F1">
        <w:trPr>
          <w:cantSplit/>
        </w:trPr>
        <w:tc>
          <w:tcPr>
            <w:tcW w:w="1555" w:type="dxa"/>
            <w:shd w:val="clear" w:color="auto" w:fill="FFFFFF" w:themeFill="background1"/>
            <w:noWrap/>
            <w:vAlign w:val="center"/>
            <w:hideMark/>
          </w:tcPr>
          <w:p w14:paraId="7DA0061B" w14:textId="77777777" w:rsidR="00FF0F9B" w:rsidRPr="00EF1E43" w:rsidRDefault="00FF0F9B" w:rsidP="00374F41">
            <w:pPr>
              <w:jc w:val="center"/>
              <w:rPr>
                <w:sz w:val="24"/>
              </w:rPr>
            </w:pPr>
            <w:r w:rsidRPr="00EF1E43">
              <w:rPr>
                <w:sz w:val="24"/>
              </w:rPr>
              <w:t>70587</w:t>
            </w:r>
          </w:p>
        </w:tc>
        <w:tc>
          <w:tcPr>
            <w:tcW w:w="7371" w:type="dxa"/>
            <w:shd w:val="clear" w:color="auto" w:fill="FFFFFF" w:themeFill="background1"/>
            <w:vAlign w:val="center"/>
            <w:hideMark/>
          </w:tcPr>
          <w:p w14:paraId="7F172FBE" w14:textId="77777777" w:rsidR="00FF0F9B" w:rsidRPr="00EF1E43" w:rsidRDefault="00FF0F9B" w:rsidP="00374F41">
            <w:pPr>
              <w:rPr>
                <w:sz w:val="24"/>
              </w:rPr>
            </w:pPr>
            <w:r w:rsidRPr="00EF1E43">
              <w:rPr>
                <w:sz w:val="24"/>
              </w:rPr>
              <w:t>IARC Working Group (2013). Non-ionizing radiation, Radiofrequency electromagnetic fields. IARC Monographs on the evaluation of carcinogenic risks to humans, Vol 102 Part 2. IARC Press, Lyon.</w:t>
            </w:r>
          </w:p>
        </w:tc>
      </w:tr>
      <w:tr w:rsidR="00EF1E43" w:rsidRPr="00EF1E43" w14:paraId="2D4DA8E4" w14:textId="77777777" w:rsidTr="00CC61F1">
        <w:trPr>
          <w:cantSplit/>
        </w:trPr>
        <w:tc>
          <w:tcPr>
            <w:tcW w:w="1555" w:type="dxa"/>
            <w:shd w:val="clear" w:color="auto" w:fill="FFFFFF" w:themeFill="background1"/>
            <w:noWrap/>
            <w:vAlign w:val="center"/>
            <w:hideMark/>
          </w:tcPr>
          <w:p w14:paraId="18796507" w14:textId="77777777" w:rsidR="00FF0F9B" w:rsidRPr="00EF1E43" w:rsidRDefault="00FF0F9B" w:rsidP="00374F41">
            <w:pPr>
              <w:jc w:val="center"/>
              <w:rPr>
                <w:sz w:val="24"/>
              </w:rPr>
            </w:pPr>
            <w:r w:rsidRPr="00EF1E43">
              <w:rPr>
                <w:sz w:val="24"/>
              </w:rPr>
              <w:t>71193</w:t>
            </w:r>
          </w:p>
        </w:tc>
        <w:tc>
          <w:tcPr>
            <w:tcW w:w="7371" w:type="dxa"/>
            <w:shd w:val="clear" w:color="auto" w:fill="FFFFFF" w:themeFill="background1"/>
            <w:vAlign w:val="center"/>
            <w:hideMark/>
          </w:tcPr>
          <w:p w14:paraId="04257D89" w14:textId="77777777" w:rsidR="00FF0F9B" w:rsidRPr="00EF1E43" w:rsidRDefault="00FF0F9B" w:rsidP="00374F41">
            <w:pPr>
              <w:rPr>
                <w:sz w:val="24"/>
              </w:rPr>
            </w:pPr>
            <w:r w:rsidRPr="00EF1E43">
              <w:rPr>
                <w:sz w:val="24"/>
              </w:rPr>
              <w:t>IARC Working Group (2009). A review of human carcinogens. Part C: Arsenic, metals, fibres, and dusts. IARC Monogr Carcinog Risks Humans, Vol 100: 233-59. World Health Organization International Agency for Research on Cancer. Lyon France.</w:t>
            </w:r>
          </w:p>
        </w:tc>
      </w:tr>
      <w:tr w:rsidR="00EF1E43" w:rsidRPr="00EF1E43" w14:paraId="016B1568" w14:textId="77777777" w:rsidTr="00CC61F1">
        <w:trPr>
          <w:cantSplit/>
        </w:trPr>
        <w:tc>
          <w:tcPr>
            <w:tcW w:w="1555" w:type="dxa"/>
            <w:shd w:val="clear" w:color="auto" w:fill="FFFFFF" w:themeFill="background1"/>
            <w:noWrap/>
            <w:vAlign w:val="center"/>
            <w:hideMark/>
          </w:tcPr>
          <w:p w14:paraId="17550E8B" w14:textId="77777777" w:rsidR="00FF0F9B" w:rsidRPr="00EF1E43" w:rsidRDefault="00FF0F9B" w:rsidP="00374F41">
            <w:pPr>
              <w:jc w:val="center"/>
              <w:rPr>
                <w:sz w:val="24"/>
              </w:rPr>
            </w:pPr>
            <w:r w:rsidRPr="00EF1E43">
              <w:rPr>
                <w:sz w:val="24"/>
              </w:rPr>
              <w:t>71192</w:t>
            </w:r>
          </w:p>
        </w:tc>
        <w:tc>
          <w:tcPr>
            <w:tcW w:w="7371" w:type="dxa"/>
            <w:shd w:val="clear" w:color="auto" w:fill="FFFFFF" w:themeFill="background1"/>
            <w:vAlign w:val="center"/>
            <w:hideMark/>
          </w:tcPr>
          <w:p w14:paraId="351BAA90" w14:textId="77777777" w:rsidR="00FF0F9B" w:rsidRPr="00EF1E43" w:rsidRDefault="00FF0F9B" w:rsidP="00374F41">
            <w:pPr>
              <w:rPr>
                <w:sz w:val="24"/>
              </w:rPr>
            </w:pPr>
            <w:r w:rsidRPr="00EF1E43">
              <w:rPr>
                <w:sz w:val="24"/>
              </w:rPr>
              <w:t>IARC Working Group (2012). Radiation. IARC Monographs on the Evaluation of Carcinogenic Risks to Humans, Vol 100D. International Agency for Research on Cancer, Lyon France.</w:t>
            </w:r>
          </w:p>
        </w:tc>
      </w:tr>
      <w:tr w:rsidR="00EF1E43" w:rsidRPr="00EF1E43" w14:paraId="059CD77A" w14:textId="77777777" w:rsidTr="00CC61F1">
        <w:trPr>
          <w:cantSplit/>
        </w:trPr>
        <w:tc>
          <w:tcPr>
            <w:tcW w:w="1555" w:type="dxa"/>
            <w:shd w:val="clear" w:color="auto" w:fill="FFFFFF" w:themeFill="background1"/>
            <w:noWrap/>
            <w:vAlign w:val="center"/>
            <w:hideMark/>
          </w:tcPr>
          <w:p w14:paraId="0420E803" w14:textId="77777777" w:rsidR="00FF0F9B" w:rsidRPr="00EF1E43" w:rsidRDefault="00FF0F9B" w:rsidP="00374F41">
            <w:pPr>
              <w:jc w:val="center"/>
              <w:rPr>
                <w:sz w:val="24"/>
              </w:rPr>
            </w:pPr>
            <w:r w:rsidRPr="00EF1E43">
              <w:rPr>
                <w:sz w:val="24"/>
              </w:rPr>
              <w:t>70162</w:t>
            </w:r>
          </w:p>
        </w:tc>
        <w:tc>
          <w:tcPr>
            <w:tcW w:w="7371" w:type="dxa"/>
            <w:shd w:val="clear" w:color="auto" w:fill="FFFFFF" w:themeFill="background1"/>
            <w:vAlign w:val="center"/>
            <w:hideMark/>
          </w:tcPr>
          <w:p w14:paraId="7D717B87" w14:textId="77777777" w:rsidR="00FF0F9B" w:rsidRPr="00EF1E43" w:rsidRDefault="00FF0F9B" w:rsidP="00374F41">
            <w:pPr>
              <w:rPr>
                <w:sz w:val="24"/>
              </w:rPr>
            </w:pPr>
            <w:r w:rsidRPr="00EF1E43">
              <w:rPr>
                <w:sz w:val="24"/>
              </w:rPr>
              <w:t>IARC Working Group (2009). Personal habits and indoor combustions. IARC Monographs on the Evaluation of Carcinogenic Risks to Humans, Vol 100E. World Health Organization, International Agency for Research on Cancer. Lyon France.</w:t>
            </w:r>
          </w:p>
        </w:tc>
      </w:tr>
      <w:tr w:rsidR="00EF1E43" w:rsidRPr="00EF1E43" w14:paraId="3D873202" w14:textId="77777777" w:rsidTr="00CC61F1">
        <w:trPr>
          <w:cantSplit/>
        </w:trPr>
        <w:tc>
          <w:tcPr>
            <w:tcW w:w="1555" w:type="dxa"/>
            <w:shd w:val="clear" w:color="auto" w:fill="FFFFFF" w:themeFill="background1"/>
            <w:noWrap/>
            <w:vAlign w:val="center"/>
            <w:hideMark/>
          </w:tcPr>
          <w:p w14:paraId="6D03070F" w14:textId="77777777" w:rsidR="00FF0F9B" w:rsidRPr="00EF1E43" w:rsidRDefault="00FF0F9B" w:rsidP="00374F41">
            <w:pPr>
              <w:jc w:val="center"/>
              <w:rPr>
                <w:sz w:val="24"/>
              </w:rPr>
            </w:pPr>
            <w:r w:rsidRPr="00EF1E43">
              <w:rPr>
                <w:sz w:val="24"/>
              </w:rPr>
              <w:lastRenderedPageBreak/>
              <w:t>71637</w:t>
            </w:r>
          </w:p>
        </w:tc>
        <w:tc>
          <w:tcPr>
            <w:tcW w:w="7371" w:type="dxa"/>
            <w:shd w:val="clear" w:color="auto" w:fill="FFFFFF" w:themeFill="background1"/>
            <w:vAlign w:val="center"/>
            <w:hideMark/>
          </w:tcPr>
          <w:p w14:paraId="2832BCF1" w14:textId="77777777" w:rsidR="00FF0F9B" w:rsidRPr="00EF1E43" w:rsidRDefault="00FF0F9B" w:rsidP="00374F41">
            <w:pPr>
              <w:rPr>
                <w:sz w:val="24"/>
              </w:rPr>
            </w:pPr>
            <w:r w:rsidRPr="00EF1E43">
              <w:rPr>
                <w:sz w:val="24"/>
              </w:rPr>
              <w:t>IARC Working Group (1997). Polychlorinated dibenzo-para-dioxins and polychlorinated dibenzofurans. IARC Monographs on the Evaluation of Carcinogenic Risks to Humans, Vol 69: 342-3. World Health Organization, International Agency for Research on Cancer. Lyon France.</w:t>
            </w:r>
          </w:p>
        </w:tc>
      </w:tr>
      <w:tr w:rsidR="00EF1E43" w:rsidRPr="00EF1E43" w14:paraId="74BAFD82" w14:textId="77777777" w:rsidTr="00CC61F1">
        <w:trPr>
          <w:cantSplit/>
        </w:trPr>
        <w:tc>
          <w:tcPr>
            <w:tcW w:w="1555" w:type="dxa"/>
            <w:shd w:val="clear" w:color="auto" w:fill="FFFFFF" w:themeFill="background1"/>
            <w:noWrap/>
            <w:vAlign w:val="center"/>
            <w:hideMark/>
          </w:tcPr>
          <w:p w14:paraId="06964302" w14:textId="77777777" w:rsidR="00FF0F9B" w:rsidRPr="00EF1E43" w:rsidRDefault="00FF0F9B" w:rsidP="00374F41">
            <w:pPr>
              <w:jc w:val="center"/>
              <w:rPr>
                <w:sz w:val="24"/>
              </w:rPr>
            </w:pPr>
            <w:r w:rsidRPr="00EF1E43">
              <w:rPr>
                <w:sz w:val="24"/>
              </w:rPr>
              <w:t>4725</w:t>
            </w:r>
          </w:p>
        </w:tc>
        <w:tc>
          <w:tcPr>
            <w:tcW w:w="7371" w:type="dxa"/>
            <w:shd w:val="clear" w:color="auto" w:fill="FFFFFF" w:themeFill="background1"/>
            <w:vAlign w:val="center"/>
            <w:hideMark/>
          </w:tcPr>
          <w:p w14:paraId="4D9553C1" w14:textId="77777777" w:rsidR="00FF0F9B" w:rsidRPr="00EF1E43" w:rsidRDefault="00FF0F9B" w:rsidP="00374F41">
            <w:pPr>
              <w:rPr>
                <w:sz w:val="24"/>
              </w:rPr>
            </w:pPr>
            <w:r w:rsidRPr="00EF1E43">
              <w:rPr>
                <w:sz w:val="24"/>
              </w:rPr>
              <w:t>Ihekwaba FN (1994). Breast cancer in men in black Africa: a report of 73 cases. J R Coll Surg Edinb, 39(6): 344-7.</w:t>
            </w:r>
          </w:p>
        </w:tc>
      </w:tr>
      <w:tr w:rsidR="00EF1E43" w:rsidRPr="00EF1E43" w14:paraId="3CF2990C" w14:textId="77777777" w:rsidTr="00CC61F1">
        <w:trPr>
          <w:cantSplit/>
        </w:trPr>
        <w:tc>
          <w:tcPr>
            <w:tcW w:w="1555" w:type="dxa"/>
            <w:shd w:val="clear" w:color="auto" w:fill="FFFFFF" w:themeFill="background1"/>
            <w:noWrap/>
            <w:vAlign w:val="center"/>
            <w:hideMark/>
          </w:tcPr>
          <w:p w14:paraId="449C61BB" w14:textId="77777777" w:rsidR="00FF0F9B" w:rsidRPr="00EF1E43" w:rsidRDefault="00FF0F9B" w:rsidP="00374F41">
            <w:pPr>
              <w:jc w:val="center"/>
              <w:rPr>
                <w:sz w:val="24"/>
              </w:rPr>
            </w:pPr>
            <w:r w:rsidRPr="00EF1E43">
              <w:rPr>
                <w:sz w:val="24"/>
              </w:rPr>
              <w:t>71641</w:t>
            </w:r>
          </w:p>
        </w:tc>
        <w:tc>
          <w:tcPr>
            <w:tcW w:w="7371" w:type="dxa"/>
            <w:shd w:val="clear" w:color="auto" w:fill="FFFFFF" w:themeFill="background1"/>
            <w:vAlign w:val="center"/>
            <w:hideMark/>
          </w:tcPr>
          <w:p w14:paraId="3E5E265D" w14:textId="77777777" w:rsidR="00FF0F9B" w:rsidRPr="00EF1E43" w:rsidRDefault="00FF0F9B" w:rsidP="00374F41">
            <w:pPr>
              <w:rPr>
                <w:sz w:val="24"/>
              </w:rPr>
            </w:pPr>
            <w:r w:rsidRPr="00EF1E43">
              <w:rPr>
                <w:sz w:val="24"/>
              </w:rPr>
              <w:t>Ijaz S, Verbeek J, Seidler A, et al (2013). Night-shift work and breast cancer--a systematic review and meta-analysis. Scand J Work Environ Health, 39(5): 431-47.</w:t>
            </w:r>
          </w:p>
        </w:tc>
      </w:tr>
      <w:tr w:rsidR="00EF1E43" w:rsidRPr="00EF1E43" w14:paraId="44E92594" w14:textId="77777777" w:rsidTr="00CC61F1">
        <w:trPr>
          <w:cantSplit/>
        </w:trPr>
        <w:tc>
          <w:tcPr>
            <w:tcW w:w="1555" w:type="dxa"/>
            <w:shd w:val="clear" w:color="auto" w:fill="FFFFFF" w:themeFill="background1"/>
            <w:noWrap/>
            <w:vAlign w:val="center"/>
            <w:hideMark/>
          </w:tcPr>
          <w:p w14:paraId="41E64457" w14:textId="77777777" w:rsidR="00FF0F9B" w:rsidRPr="00EF1E43" w:rsidRDefault="00FF0F9B" w:rsidP="00374F41">
            <w:pPr>
              <w:jc w:val="center"/>
              <w:rPr>
                <w:sz w:val="24"/>
              </w:rPr>
            </w:pPr>
            <w:r w:rsidRPr="00EF1E43">
              <w:rPr>
                <w:sz w:val="24"/>
              </w:rPr>
              <w:t>87303</w:t>
            </w:r>
          </w:p>
        </w:tc>
        <w:tc>
          <w:tcPr>
            <w:tcW w:w="7371" w:type="dxa"/>
            <w:shd w:val="clear" w:color="auto" w:fill="FFFFFF" w:themeFill="background1"/>
            <w:vAlign w:val="center"/>
            <w:hideMark/>
          </w:tcPr>
          <w:p w14:paraId="39D8956C" w14:textId="77777777" w:rsidR="00FF0F9B" w:rsidRPr="00EF1E43" w:rsidRDefault="00FF0F9B" w:rsidP="00374F41">
            <w:pPr>
              <w:rPr>
                <w:sz w:val="24"/>
              </w:rPr>
            </w:pPr>
            <w:r w:rsidRPr="00EF1E43">
              <w:rPr>
                <w:sz w:val="24"/>
              </w:rPr>
              <w:t>Ilic M, Vlajinac H, Marinkovic J (2015). Breastfeeding and risk of breast cancer: Case-control study. Women Health, 55(7): 778-94.</w:t>
            </w:r>
          </w:p>
        </w:tc>
      </w:tr>
      <w:tr w:rsidR="00EF1E43" w:rsidRPr="00EF1E43" w14:paraId="236019CF" w14:textId="77777777" w:rsidTr="00CC61F1">
        <w:trPr>
          <w:cantSplit/>
        </w:trPr>
        <w:tc>
          <w:tcPr>
            <w:tcW w:w="1555" w:type="dxa"/>
            <w:shd w:val="clear" w:color="auto" w:fill="FFFFFF" w:themeFill="background1"/>
            <w:noWrap/>
            <w:vAlign w:val="center"/>
            <w:hideMark/>
          </w:tcPr>
          <w:p w14:paraId="3F537456" w14:textId="77777777" w:rsidR="00FF0F9B" w:rsidRPr="00EF1E43" w:rsidRDefault="00FF0F9B" w:rsidP="00374F41">
            <w:pPr>
              <w:jc w:val="center"/>
              <w:rPr>
                <w:sz w:val="24"/>
              </w:rPr>
            </w:pPr>
            <w:r w:rsidRPr="00EF1E43">
              <w:rPr>
                <w:sz w:val="24"/>
              </w:rPr>
              <w:t>71800</w:t>
            </w:r>
          </w:p>
        </w:tc>
        <w:tc>
          <w:tcPr>
            <w:tcW w:w="7371" w:type="dxa"/>
            <w:shd w:val="clear" w:color="auto" w:fill="FFFFFF" w:themeFill="background1"/>
            <w:vAlign w:val="center"/>
            <w:hideMark/>
          </w:tcPr>
          <w:p w14:paraId="7FA2CB59" w14:textId="77777777" w:rsidR="00FF0F9B" w:rsidRPr="00EF1E43" w:rsidRDefault="00FF0F9B" w:rsidP="00374F41">
            <w:pPr>
              <w:rPr>
                <w:sz w:val="24"/>
              </w:rPr>
            </w:pPr>
            <w:r w:rsidRPr="00EF1E43">
              <w:rPr>
                <w:sz w:val="24"/>
              </w:rPr>
              <w:t>Impicciatore GG, Tiboni GM (2011). Ovulation inducing agents and cancer risk: review of literature. Curr Drug Saf, 6(4): 250-8.</w:t>
            </w:r>
          </w:p>
        </w:tc>
      </w:tr>
      <w:tr w:rsidR="00EF1E43" w:rsidRPr="00EF1E43" w14:paraId="7FC98AD4" w14:textId="77777777" w:rsidTr="00CC61F1">
        <w:trPr>
          <w:cantSplit/>
        </w:trPr>
        <w:tc>
          <w:tcPr>
            <w:tcW w:w="1555" w:type="dxa"/>
            <w:shd w:val="clear" w:color="auto" w:fill="FFFFFF" w:themeFill="background1"/>
            <w:noWrap/>
            <w:vAlign w:val="center"/>
            <w:hideMark/>
          </w:tcPr>
          <w:p w14:paraId="38CAD312" w14:textId="77777777" w:rsidR="00FF0F9B" w:rsidRPr="00EF1E43" w:rsidRDefault="00FF0F9B" w:rsidP="00374F41">
            <w:pPr>
              <w:jc w:val="center"/>
              <w:rPr>
                <w:sz w:val="24"/>
              </w:rPr>
            </w:pPr>
            <w:r w:rsidRPr="00EF1E43">
              <w:rPr>
                <w:sz w:val="24"/>
              </w:rPr>
              <w:t>71642</w:t>
            </w:r>
          </w:p>
        </w:tc>
        <w:tc>
          <w:tcPr>
            <w:tcW w:w="7371" w:type="dxa"/>
            <w:shd w:val="clear" w:color="auto" w:fill="FFFFFF" w:themeFill="background1"/>
            <w:vAlign w:val="center"/>
            <w:hideMark/>
          </w:tcPr>
          <w:p w14:paraId="58102E35" w14:textId="77777777" w:rsidR="00FF0F9B" w:rsidRPr="00EF1E43" w:rsidRDefault="00FF0F9B" w:rsidP="00374F41">
            <w:pPr>
              <w:rPr>
                <w:sz w:val="24"/>
              </w:rPr>
            </w:pPr>
            <w:r w:rsidRPr="00EF1E43">
              <w:rPr>
                <w:sz w:val="24"/>
              </w:rPr>
              <w:t>Independent UK Panel on Breast Cancer Screening (2012). The benefits and harms of breast cancer screening: an independent review. Lancet, 380(9855): 1778-86.</w:t>
            </w:r>
          </w:p>
        </w:tc>
      </w:tr>
      <w:tr w:rsidR="00EF1E43" w:rsidRPr="00EF1E43" w14:paraId="75803B80" w14:textId="77777777" w:rsidTr="00CC61F1">
        <w:trPr>
          <w:cantSplit/>
        </w:trPr>
        <w:tc>
          <w:tcPr>
            <w:tcW w:w="1555" w:type="dxa"/>
            <w:shd w:val="clear" w:color="auto" w:fill="FFFFFF" w:themeFill="background1"/>
            <w:noWrap/>
            <w:vAlign w:val="center"/>
            <w:hideMark/>
          </w:tcPr>
          <w:p w14:paraId="71DFF693" w14:textId="77777777" w:rsidR="00FF0F9B" w:rsidRPr="00EF1E43" w:rsidRDefault="00FF0F9B" w:rsidP="00374F41">
            <w:pPr>
              <w:jc w:val="center"/>
              <w:rPr>
                <w:sz w:val="24"/>
              </w:rPr>
            </w:pPr>
            <w:r w:rsidRPr="00EF1E43">
              <w:rPr>
                <w:sz w:val="24"/>
              </w:rPr>
              <w:t>35676</w:t>
            </w:r>
          </w:p>
        </w:tc>
        <w:tc>
          <w:tcPr>
            <w:tcW w:w="7371" w:type="dxa"/>
            <w:shd w:val="clear" w:color="auto" w:fill="FFFFFF" w:themeFill="background1"/>
            <w:vAlign w:val="center"/>
            <w:hideMark/>
          </w:tcPr>
          <w:p w14:paraId="38036681" w14:textId="77777777" w:rsidR="00FF0F9B" w:rsidRPr="00EF1E43" w:rsidRDefault="00FF0F9B" w:rsidP="00374F41">
            <w:pPr>
              <w:rPr>
                <w:sz w:val="24"/>
              </w:rPr>
            </w:pPr>
            <w:r w:rsidRPr="00EF1E43">
              <w:rPr>
                <w:sz w:val="24"/>
              </w:rPr>
              <w:t>Innes KE, Byers TE (2001). Smoking during pregnancy and breast cancer risk in very young women (United States). Cancer Causes Control, 12(2): 179-85.</w:t>
            </w:r>
          </w:p>
        </w:tc>
      </w:tr>
      <w:tr w:rsidR="00EF1E43" w:rsidRPr="00EF1E43" w14:paraId="14B7C79E" w14:textId="77777777" w:rsidTr="00CC61F1">
        <w:trPr>
          <w:cantSplit/>
        </w:trPr>
        <w:tc>
          <w:tcPr>
            <w:tcW w:w="1555" w:type="dxa"/>
            <w:shd w:val="clear" w:color="auto" w:fill="FFFFFF" w:themeFill="background1"/>
            <w:noWrap/>
            <w:vAlign w:val="center"/>
            <w:hideMark/>
          </w:tcPr>
          <w:p w14:paraId="53779921" w14:textId="77777777" w:rsidR="00FF0F9B" w:rsidRPr="00EF1E43" w:rsidRDefault="00FF0F9B" w:rsidP="00374F41">
            <w:pPr>
              <w:jc w:val="center"/>
              <w:rPr>
                <w:sz w:val="24"/>
              </w:rPr>
            </w:pPr>
            <w:r w:rsidRPr="00EF1E43">
              <w:rPr>
                <w:sz w:val="24"/>
              </w:rPr>
              <w:t>9207</w:t>
            </w:r>
          </w:p>
        </w:tc>
        <w:tc>
          <w:tcPr>
            <w:tcW w:w="7371" w:type="dxa"/>
            <w:shd w:val="clear" w:color="auto" w:fill="FFFFFF" w:themeFill="background1"/>
            <w:vAlign w:val="center"/>
            <w:hideMark/>
          </w:tcPr>
          <w:p w14:paraId="2E3A7C1A" w14:textId="77777777" w:rsidR="00FF0F9B" w:rsidRPr="00EF1E43" w:rsidRDefault="00FF0F9B" w:rsidP="00374F41">
            <w:pPr>
              <w:rPr>
                <w:sz w:val="24"/>
              </w:rPr>
            </w:pPr>
            <w:r w:rsidRPr="00EF1E43">
              <w:rPr>
                <w:sz w:val="24"/>
              </w:rPr>
              <w:t>Institute of Medicine (1993). Veterans and Agent Orange: Health Effects of Herbicides Used in Vietnam, Chapter 8: 78. National Academies Press - Washington, DC.</w:t>
            </w:r>
          </w:p>
        </w:tc>
      </w:tr>
      <w:tr w:rsidR="00EF1E43" w:rsidRPr="00EF1E43" w14:paraId="2C24E218" w14:textId="77777777" w:rsidTr="00CC61F1">
        <w:trPr>
          <w:cantSplit/>
        </w:trPr>
        <w:tc>
          <w:tcPr>
            <w:tcW w:w="1555" w:type="dxa"/>
            <w:shd w:val="clear" w:color="auto" w:fill="FFFFFF" w:themeFill="background1"/>
            <w:noWrap/>
            <w:vAlign w:val="center"/>
            <w:hideMark/>
          </w:tcPr>
          <w:p w14:paraId="6971A787" w14:textId="77777777" w:rsidR="00FF0F9B" w:rsidRPr="00EF1E43" w:rsidRDefault="00FF0F9B" w:rsidP="00374F41">
            <w:pPr>
              <w:jc w:val="center"/>
              <w:rPr>
                <w:sz w:val="24"/>
              </w:rPr>
            </w:pPr>
            <w:r w:rsidRPr="00EF1E43">
              <w:rPr>
                <w:sz w:val="24"/>
              </w:rPr>
              <w:t>71647</w:t>
            </w:r>
          </w:p>
        </w:tc>
        <w:tc>
          <w:tcPr>
            <w:tcW w:w="7371" w:type="dxa"/>
            <w:shd w:val="clear" w:color="auto" w:fill="FFFFFF" w:themeFill="background1"/>
            <w:vAlign w:val="center"/>
            <w:hideMark/>
          </w:tcPr>
          <w:p w14:paraId="4834C98C" w14:textId="77777777" w:rsidR="00FF0F9B" w:rsidRPr="00EF1E43" w:rsidRDefault="00FF0F9B" w:rsidP="00374F41">
            <w:pPr>
              <w:rPr>
                <w:sz w:val="24"/>
              </w:rPr>
            </w:pPr>
            <w:r w:rsidRPr="00EF1E43">
              <w:rPr>
                <w:sz w:val="24"/>
              </w:rPr>
              <w:t>Institute of Medicine (2013). Cancer. Veterans and Agent Orange: Update 2012, Chapter 8: 392. The National Academic Press, Washington DC.</w:t>
            </w:r>
          </w:p>
        </w:tc>
      </w:tr>
      <w:tr w:rsidR="00EF1E43" w:rsidRPr="00EF1E43" w14:paraId="40E56ACE" w14:textId="77777777" w:rsidTr="00CC61F1">
        <w:trPr>
          <w:cantSplit/>
        </w:trPr>
        <w:tc>
          <w:tcPr>
            <w:tcW w:w="1555" w:type="dxa"/>
            <w:shd w:val="clear" w:color="auto" w:fill="FFFFFF" w:themeFill="background1"/>
            <w:noWrap/>
            <w:vAlign w:val="center"/>
            <w:hideMark/>
          </w:tcPr>
          <w:p w14:paraId="1E026B38" w14:textId="77777777" w:rsidR="00FF0F9B" w:rsidRPr="00EF1E43" w:rsidRDefault="00FF0F9B" w:rsidP="00374F41">
            <w:pPr>
              <w:jc w:val="center"/>
              <w:rPr>
                <w:sz w:val="24"/>
              </w:rPr>
            </w:pPr>
            <w:r w:rsidRPr="00EF1E43">
              <w:rPr>
                <w:sz w:val="24"/>
              </w:rPr>
              <w:t>70865</w:t>
            </w:r>
          </w:p>
        </w:tc>
        <w:tc>
          <w:tcPr>
            <w:tcW w:w="7371" w:type="dxa"/>
            <w:shd w:val="clear" w:color="auto" w:fill="FFFFFF" w:themeFill="background1"/>
            <w:vAlign w:val="center"/>
            <w:hideMark/>
          </w:tcPr>
          <w:p w14:paraId="5DD7F52B" w14:textId="77777777" w:rsidR="00FF0F9B" w:rsidRPr="00EF1E43" w:rsidRDefault="00FF0F9B" w:rsidP="00374F41">
            <w:pPr>
              <w:rPr>
                <w:sz w:val="24"/>
              </w:rPr>
            </w:pPr>
            <w:r w:rsidRPr="00EF1E43">
              <w:rPr>
                <w:sz w:val="24"/>
              </w:rPr>
              <w:t>Institute of Medicine (2014). Veterans and Agent Orange (prepublication). Update 2012. National Academies Press - Washington, DC.</w:t>
            </w:r>
          </w:p>
        </w:tc>
      </w:tr>
      <w:tr w:rsidR="00EF1E43" w:rsidRPr="00EF1E43" w14:paraId="0360CC07" w14:textId="77777777" w:rsidTr="00CC61F1">
        <w:trPr>
          <w:cantSplit/>
        </w:trPr>
        <w:tc>
          <w:tcPr>
            <w:tcW w:w="1555" w:type="dxa"/>
            <w:shd w:val="clear" w:color="auto" w:fill="FFFFFF" w:themeFill="background1"/>
            <w:noWrap/>
            <w:vAlign w:val="center"/>
            <w:hideMark/>
          </w:tcPr>
          <w:p w14:paraId="3C3F482A" w14:textId="77777777" w:rsidR="00FF0F9B" w:rsidRPr="00EF1E43" w:rsidRDefault="00FF0F9B" w:rsidP="00374F41">
            <w:pPr>
              <w:jc w:val="center"/>
              <w:rPr>
                <w:sz w:val="24"/>
              </w:rPr>
            </w:pPr>
            <w:r w:rsidRPr="00EF1E43">
              <w:rPr>
                <w:sz w:val="24"/>
              </w:rPr>
              <w:t>80754</w:t>
            </w:r>
          </w:p>
        </w:tc>
        <w:tc>
          <w:tcPr>
            <w:tcW w:w="7371" w:type="dxa"/>
            <w:shd w:val="clear" w:color="auto" w:fill="FFFFFF" w:themeFill="background1"/>
            <w:vAlign w:val="center"/>
            <w:hideMark/>
          </w:tcPr>
          <w:p w14:paraId="62C0393D" w14:textId="77777777" w:rsidR="00FF0F9B" w:rsidRPr="00EF1E43" w:rsidRDefault="00FF0F9B" w:rsidP="00374F41">
            <w:pPr>
              <w:rPr>
                <w:sz w:val="24"/>
              </w:rPr>
            </w:pPr>
            <w:r w:rsidRPr="00EF1E43">
              <w:rPr>
                <w:sz w:val="24"/>
              </w:rPr>
              <w:t>International Atomic Energy Agency (IAEA) (Undated). Glossary. Retrieved 9 February 2017, from https://www.iaea.org/ns/tutorials/regcontrol/intro/glossaryd.htm</w:t>
            </w:r>
          </w:p>
        </w:tc>
      </w:tr>
      <w:tr w:rsidR="00EF1E43" w:rsidRPr="00EF1E43" w14:paraId="49795E53" w14:textId="77777777" w:rsidTr="00CC61F1">
        <w:trPr>
          <w:cantSplit/>
        </w:trPr>
        <w:tc>
          <w:tcPr>
            <w:tcW w:w="1555" w:type="dxa"/>
            <w:shd w:val="clear" w:color="auto" w:fill="FFFFFF" w:themeFill="background1"/>
            <w:noWrap/>
            <w:vAlign w:val="center"/>
            <w:hideMark/>
          </w:tcPr>
          <w:p w14:paraId="337FED7A" w14:textId="77777777" w:rsidR="00FF0F9B" w:rsidRPr="00EF1E43" w:rsidRDefault="00FF0F9B" w:rsidP="00374F41">
            <w:pPr>
              <w:jc w:val="center"/>
              <w:rPr>
                <w:sz w:val="24"/>
              </w:rPr>
            </w:pPr>
            <w:r w:rsidRPr="00EF1E43">
              <w:rPr>
                <w:sz w:val="24"/>
              </w:rPr>
              <w:t>80752</w:t>
            </w:r>
          </w:p>
        </w:tc>
        <w:tc>
          <w:tcPr>
            <w:tcW w:w="7371" w:type="dxa"/>
            <w:shd w:val="clear" w:color="auto" w:fill="FFFFFF" w:themeFill="background1"/>
            <w:vAlign w:val="center"/>
            <w:hideMark/>
          </w:tcPr>
          <w:p w14:paraId="4DC63F5B" w14:textId="77777777" w:rsidR="00FF0F9B" w:rsidRPr="00EF1E43" w:rsidRDefault="00FF0F9B" w:rsidP="00374F41">
            <w:pPr>
              <w:rPr>
                <w:sz w:val="24"/>
              </w:rPr>
            </w:pPr>
            <w:r w:rsidRPr="00EF1E43">
              <w:rPr>
                <w:sz w:val="24"/>
              </w:rPr>
              <w:t>International Commission on Radiological Protection (ICRP) (2007). Extract from The 2007 recommendations of the International Commission on Radiological Protection. Annals of the ICRP, ICRP Publication 103, Elsevier.</w:t>
            </w:r>
          </w:p>
        </w:tc>
      </w:tr>
      <w:tr w:rsidR="00EF1E43" w:rsidRPr="00EF1E43" w14:paraId="25C736D6" w14:textId="77777777" w:rsidTr="00CC61F1">
        <w:trPr>
          <w:cantSplit/>
        </w:trPr>
        <w:tc>
          <w:tcPr>
            <w:tcW w:w="1555" w:type="dxa"/>
            <w:shd w:val="clear" w:color="auto" w:fill="FFFFFF" w:themeFill="background1"/>
            <w:noWrap/>
            <w:vAlign w:val="center"/>
            <w:hideMark/>
          </w:tcPr>
          <w:p w14:paraId="50246EF1" w14:textId="77777777" w:rsidR="00FF0F9B" w:rsidRPr="00EF1E43" w:rsidRDefault="00FF0F9B" w:rsidP="00374F41">
            <w:pPr>
              <w:jc w:val="center"/>
              <w:rPr>
                <w:sz w:val="24"/>
              </w:rPr>
            </w:pPr>
            <w:r w:rsidRPr="00EF1E43">
              <w:rPr>
                <w:sz w:val="24"/>
              </w:rPr>
              <w:t>80753</w:t>
            </w:r>
          </w:p>
        </w:tc>
        <w:tc>
          <w:tcPr>
            <w:tcW w:w="7371" w:type="dxa"/>
            <w:shd w:val="clear" w:color="auto" w:fill="FFFFFF" w:themeFill="background1"/>
            <w:vAlign w:val="center"/>
            <w:hideMark/>
          </w:tcPr>
          <w:p w14:paraId="20C0F6C2" w14:textId="77777777" w:rsidR="00FF0F9B" w:rsidRPr="00EF1E43" w:rsidRDefault="00FF0F9B" w:rsidP="00374F41">
            <w:pPr>
              <w:rPr>
                <w:sz w:val="24"/>
              </w:rPr>
            </w:pPr>
            <w:r w:rsidRPr="00EF1E43">
              <w:rPr>
                <w:sz w:val="24"/>
              </w:rPr>
              <w:t>International Commission on Radiological Protection (ICRP) (2012). ICRP Statement on Tissue Reactions and Early and Late Effects of Radiation in Normal Tissues and Organs - Threshold Doses for Tissue Reactions in a Radiation Protection Context. Annals of the ICRP, ICRP Publication 118, Elsevier.</w:t>
            </w:r>
          </w:p>
        </w:tc>
      </w:tr>
      <w:tr w:rsidR="00EF1E43" w:rsidRPr="00EF1E43" w14:paraId="78628276" w14:textId="77777777" w:rsidTr="00CC61F1">
        <w:trPr>
          <w:cantSplit/>
        </w:trPr>
        <w:tc>
          <w:tcPr>
            <w:tcW w:w="1555" w:type="dxa"/>
            <w:shd w:val="clear" w:color="auto" w:fill="FFFFFF" w:themeFill="background1"/>
            <w:noWrap/>
            <w:vAlign w:val="center"/>
            <w:hideMark/>
          </w:tcPr>
          <w:p w14:paraId="668F78B8" w14:textId="77777777" w:rsidR="00FF0F9B" w:rsidRPr="00EF1E43" w:rsidRDefault="00FF0F9B" w:rsidP="00374F41">
            <w:pPr>
              <w:jc w:val="center"/>
              <w:rPr>
                <w:sz w:val="24"/>
              </w:rPr>
            </w:pPr>
            <w:r w:rsidRPr="00EF1E43">
              <w:rPr>
                <w:sz w:val="24"/>
              </w:rPr>
              <w:t>80727</w:t>
            </w:r>
          </w:p>
        </w:tc>
        <w:tc>
          <w:tcPr>
            <w:tcW w:w="7371" w:type="dxa"/>
            <w:shd w:val="clear" w:color="auto" w:fill="FFFFFF" w:themeFill="background1"/>
            <w:vAlign w:val="center"/>
            <w:hideMark/>
          </w:tcPr>
          <w:p w14:paraId="291727E7" w14:textId="77777777" w:rsidR="00FF0F9B" w:rsidRPr="00EF1E43" w:rsidRDefault="00FF0F9B" w:rsidP="00374F41">
            <w:pPr>
              <w:rPr>
                <w:sz w:val="24"/>
              </w:rPr>
            </w:pPr>
            <w:r w:rsidRPr="00EF1E43">
              <w:rPr>
                <w:sz w:val="24"/>
              </w:rPr>
              <w:t>International Commission on Radiation Units and Measures (2011). 3. Radiation exposure from internally deposited radionuclides. J ICRU, 11(2 Report 86): 33-8.</w:t>
            </w:r>
          </w:p>
        </w:tc>
      </w:tr>
      <w:tr w:rsidR="00EF1E43" w:rsidRPr="00EF1E43" w14:paraId="6FAFD1F1" w14:textId="77777777" w:rsidTr="00CC61F1">
        <w:trPr>
          <w:cantSplit/>
        </w:trPr>
        <w:tc>
          <w:tcPr>
            <w:tcW w:w="1555" w:type="dxa"/>
            <w:shd w:val="clear" w:color="auto" w:fill="FFFFFF" w:themeFill="background1"/>
            <w:noWrap/>
            <w:vAlign w:val="center"/>
            <w:hideMark/>
          </w:tcPr>
          <w:p w14:paraId="7633D5E3" w14:textId="77777777" w:rsidR="00FF0F9B" w:rsidRPr="00EF1E43" w:rsidRDefault="00FF0F9B" w:rsidP="00374F41">
            <w:pPr>
              <w:jc w:val="center"/>
              <w:rPr>
                <w:sz w:val="24"/>
              </w:rPr>
            </w:pPr>
            <w:r w:rsidRPr="00EF1E43">
              <w:rPr>
                <w:sz w:val="24"/>
              </w:rPr>
              <w:t>87304</w:t>
            </w:r>
          </w:p>
        </w:tc>
        <w:tc>
          <w:tcPr>
            <w:tcW w:w="7371" w:type="dxa"/>
            <w:shd w:val="clear" w:color="auto" w:fill="FFFFFF" w:themeFill="background1"/>
            <w:vAlign w:val="center"/>
            <w:hideMark/>
          </w:tcPr>
          <w:p w14:paraId="3DA14A65" w14:textId="77777777" w:rsidR="00FF0F9B" w:rsidRPr="00EF1E43" w:rsidRDefault="00FF0F9B" w:rsidP="00374F41">
            <w:pPr>
              <w:rPr>
                <w:sz w:val="24"/>
              </w:rPr>
            </w:pPr>
            <w:r w:rsidRPr="00EF1E43">
              <w:rPr>
                <w:sz w:val="24"/>
              </w:rPr>
              <w:t>Islami F, Liu Y, Jemal A, et al (2015). Breastfeeding and breast cancer risk by receptor status--a systematic review and meta-analysis. Ann Oncol, 26(12): 2398-407.</w:t>
            </w:r>
          </w:p>
        </w:tc>
      </w:tr>
      <w:tr w:rsidR="00EF1E43" w:rsidRPr="00EF1E43" w14:paraId="0A7FF1F0" w14:textId="77777777" w:rsidTr="00CC61F1">
        <w:trPr>
          <w:cantSplit/>
        </w:trPr>
        <w:tc>
          <w:tcPr>
            <w:tcW w:w="1555" w:type="dxa"/>
            <w:shd w:val="clear" w:color="auto" w:fill="FFFFFF" w:themeFill="background1"/>
            <w:noWrap/>
            <w:vAlign w:val="center"/>
            <w:hideMark/>
          </w:tcPr>
          <w:p w14:paraId="4715EECE" w14:textId="77777777" w:rsidR="00FF0F9B" w:rsidRPr="00EF1E43" w:rsidRDefault="00FF0F9B" w:rsidP="00374F41">
            <w:pPr>
              <w:jc w:val="center"/>
              <w:rPr>
                <w:sz w:val="24"/>
              </w:rPr>
            </w:pPr>
            <w:r w:rsidRPr="00EF1E43">
              <w:rPr>
                <w:sz w:val="24"/>
              </w:rPr>
              <w:lastRenderedPageBreak/>
              <w:t>5109</w:t>
            </w:r>
          </w:p>
        </w:tc>
        <w:tc>
          <w:tcPr>
            <w:tcW w:w="7371" w:type="dxa"/>
            <w:shd w:val="clear" w:color="auto" w:fill="FFFFFF" w:themeFill="background1"/>
            <w:vAlign w:val="center"/>
            <w:hideMark/>
          </w:tcPr>
          <w:p w14:paraId="2F77302D" w14:textId="77777777" w:rsidR="00FF0F9B" w:rsidRPr="00EF1E43" w:rsidRDefault="00FF0F9B" w:rsidP="00374F41">
            <w:pPr>
              <w:rPr>
                <w:sz w:val="24"/>
              </w:rPr>
            </w:pPr>
            <w:r w:rsidRPr="00EF1E43">
              <w:rPr>
                <w:sz w:val="24"/>
              </w:rPr>
              <w:t>Itsuzo Shigematsu I, Akiba S, Maruyama T (1986). Cancer in atomic bomb survivors. GANN Monograph on Cancer Research, Vol 32: 1-8, 9-28. Japan Scientific Societies Press, Tokyo; Plenum Press, New York.</w:t>
            </w:r>
          </w:p>
        </w:tc>
      </w:tr>
      <w:tr w:rsidR="00EF1E43" w:rsidRPr="00EF1E43" w14:paraId="3D19D851" w14:textId="77777777" w:rsidTr="00CC61F1">
        <w:trPr>
          <w:cantSplit/>
        </w:trPr>
        <w:tc>
          <w:tcPr>
            <w:tcW w:w="1555" w:type="dxa"/>
            <w:shd w:val="clear" w:color="auto" w:fill="FFFFFF" w:themeFill="background1"/>
            <w:noWrap/>
            <w:vAlign w:val="center"/>
            <w:hideMark/>
          </w:tcPr>
          <w:p w14:paraId="69713184" w14:textId="77777777" w:rsidR="00FF0F9B" w:rsidRPr="00EF1E43" w:rsidRDefault="00FF0F9B" w:rsidP="00374F41">
            <w:pPr>
              <w:jc w:val="center"/>
              <w:rPr>
                <w:sz w:val="24"/>
              </w:rPr>
            </w:pPr>
            <w:r w:rsidRPr="00EF1E43">
              <w:rPr>
                <w:sz w:val="24"/>
              </w:rPr>
              <w:t>11472</w:t>
            </w:r>
          </w:p>
        </w:tc>
        <w:tc>
          <w:tcPr>
            <w:tcW w:w="7371" w:type="dxa"/>
            <w:shd w:val="clear" w:color="auto" w:fill="FFFFFF" w:themeFill="background1"/>
            <w:vAlign w:val="center"/>
            <w:hideMark/>
          </w:tcPr>
          <w:p w14:paraId="36859109" w14:textId="77777777" w:rsidR="00FF0F9B" w:rsidRPr="00EF1E43" w:rsidRDefault="00FF0F9B" w:rsidP="00374F41">
            <w:pPr>
              <w:rPr>
                <w:sz w:val="24"/>
              </w:rPr>
            </w:pPr>
            <w:r w:rsidRPr="00EF1E43">
              <w:rPr>
                <w:sz w:val="24"/>
              </w:rPr>
              <w:t>Jareid M, Thalabard JC, Aarflot M, et al (2018). Levonorgestrel-releasing intrauterine system use is associated with a decreased risk of ovarian and endometrial cancer, without increased risk of breast cancer. Results from the NOWAC Study. Gynecol Oncol, 149(1): 127-32.</w:t>
            </w:r>
          </w:p>
        </w:tc>
      </w:tr>
      <w:tr w:rsidR="00EF1E43" w:rsidRPr="00EF1E43" w14:paraId="6ED7E70F" w14:textId="77777777" w:rsidTr="00CC61F1">
        <w:trPr>
          <w:cantSplit/>
        </w:trPr>
        <w:tc>
          <w:tcPr>
            <w:tcW w:w="1555" w:type="dxa"/>
            <w:shd w:val="clear" w:color="auto" w:fill="FFFFFF" w:themeFill="background1"/>
            <w:noWrap/>
            <w:vAlign w:val="center"/>
            <w:hideMark/>
          </w:tcPr>
          <w:p w14:paraId="238C714C" w14:textId="77777777" w:rsidR="00FF0F9B" w:rsidRPr="00EF1E43" w:rsidRDefault="00FF0F9B" w:rsidP="00374F41">
            <w:pPr>
              <w:jc w:val="center"/>
              <w:rPr>
                <w:sz w:val="24"/>
              </w:rPr>
            </w:pPr>
            <w:r w:rsidRPr="00EF1E43">
              <w:rPr>
                <w:sz w:val="24"/>
              </w:rPr>
              <w:t>35680</w:t>
            </w:r>
          </w:p>
        </w:tc>
        <w:tc>
          <w:tcPr>
            <w:tcW w:w="7371" w:type="dxa"/>
            <w:shd w:val="clear" w:color="auto" w:fill="FFFFFF" w:themeFill="background1"/>
            <w:vAlign w:val="center"/>
            <w:hideMark/>
          </w:tcPr>
          <w:p w14:paraId="5DE32A3A" w14:textId="77777777" w:rsidR="00FF0F9B" w:rsidRPr="00EF1E43" w:rsidRDefault="00FF0F9B" w:rsidP="00374F41">
            <w:pPr>
              <w:rPr>
                <w:sz w:val="24"/>
              </w:rPr>
            </w:pPr>
            <w:r w:rsidRPr="00EF1E43">
              <w:rPr>
                <w:sz w:val="24"/>
              </w:rPr>
              <w:t>Jeffreys M, Warren R, Gunnell D, et al (2004). Life course breast cancer risk factors and adult breast density (United Kingdom). Cancer Causes Control, 15(9): 947-55.</w:t>
            </w:r>
          </w:p>
        </w:tc>
      </w:tr>
      <w:tr w:rsidR="00EF1E43" w:rsidRPr="00EF1E43" w14:paraId="67917ADC" w14:textId="77777777" w:rsidTr="00CC61F1">
        <w:trPr>
          <w:cantSplit/>
        </w:trPr>
        <w:tc>
          <w:tcPr>
            <w:tcW w:w="1555" w:type="dxa"/>
            <w:shd w:val="clear" w:color="auto" w:fill="FFFFFF" w:themeFill="background1"/>
            <w:noWrap/>
            <w:vAlign w:val="center"/>
            <w:hideMark/>
          </w:tcPr>
          <w:p w14:paraId="6BC80B2E" w14:textId="77777777" w:rsidR="00FF0F9B" w:rsidRPr="00EF1E43" w:rsidRDefault="00FF0F9B" w:rsidP="00374F41">
            <w:pPr>
              <w:jc w:val="center"/>
              <w:rPr>
                <w:sz w:val="24"/>
              </w:rPr>
            </w:pPr>
            <w:r w:rsidRPr="00EF1E43">
              <w:rPr>
                <w:sz w:val="24"/>
              </w:rPr>
              <w:t>71643</w:t>
            </w:r>
          </w:p>
        </w:tc>
        <w:tc>
          <w:tcPr>
            <w:tcW w:w="7371" w:type="dxa"/>
            <w:shd w:val="clear" w:color="auto" w:fill="FFFFFF" w:themeFill="background1"/>
            <w:vAlign w:val="center"/>
            <w:hideMark/>
          </w:tcPr>
          <w:p w14:paraId="7461D0BB" w14:textId="77777777" w:rsidR="00FF0F9B" w:rsidRPr="00EF1E43" w:rsidRDefault="00FF0F9B" w:rsidP="00374F41">
            <w:pPr>
              <w:rPr>
                <w:sz w:val="24"/>
              </w:rPr>
            </w:pPr>
            <w:r w:rsidRPr="00EF1E43">
              <w:rPr>
                <w:sz w:val="24"/>
              </w:rPr>
              <w:t>Jia Y, Lu Y, Wu K, et al (2013). Does night work increase the risk of breast cancer? A systematic review and meta-analysis of epidemiological studies. Cancer Epidemiol, 37: 197-206.</w:t>
            </w:r>
          </w:p>
        </w:tc>
      </w:tr>
      <w:tr w:rsidR="00EF1E43" w:rsidRPr="00EF1E43" w14:paraId="39EDE25E" w14:textId="77777777" w:rsidTr="00CC61F1">
        <w:trPr>
          <w:cantSplit/>
        </w:trPr>
        <w:tc>
          <w:tcPr>
            <w:tcW w:w="1555" w:type="dxa"/>
            <w:shd w:val="clear" w:color="auto" w:fill="FFFFFF" w:themeFill="background1"/>
            <w:noWrap/>
            <w:vAlign w:val="center"/>
            <w:hideMark/>
          </w:tcPr>
          <w:p w14:paraId="53233D89" w14:textId="77777777" w:rsidR="00FF0F9B" w:rsidRPr="00EF1E43" w:rsidRDefault="00FF0F9B" w:rsidP="00374F41">
            <w:pPr>
              <w:jc w:val="center"/>
              <w:rPr>
                <w:sz w:val="24"/>
              </w:rPr>
            </w:pPr>
            <w:r w:rsidRPr="00EF1E43">
              <w:rPr>
                <w:sz w:val="24"/>
              </w:rPr>
              <w:t>71644</w:t>
            </w:r>
          </w:p>
        </w:tc>
        <w:tc>
          <w:tcPr>
            <w:tcW w:w="7371" w:type="dxa"/>
            <w:shd w:val="clear" w:color="auto" w:fill="FFFFFF" w:themeFill="background1"/>
            <w:vAlign w:val="center"/>
            <w:hideMark/>
          </w:tcPr>
          <w:p w14:paraId="09FC9507" w14:textId="77777777" w:rsidR="00FF0F9B" w:rsidRPr="00EF1E43" w:rsidRDefault="00FF0F9B" w:rsidP="00374F41">
            <w:pPr>
              <w:rPr>
                <w:sz w:val="24"/>
              </w:rPr>
            </w:pPr>
            <w:r w:rsidRPr="00EF1E43">
              <w:rPr>
                <w:sz w:val="24"/>
              </w:rPr>
              <w:t>Jiang W, Wu Y, Jiang X (2013). Coffee and caffeine intake and breast cancer risk: An updated dose-response meta-analysis of 37 published studies. Gynecol Oncol, 129: 620-9.</w:t>
            </w:r>
          </w:p>
        </w:tc>
      </w:tr>
      <w:tr w:rsidR="00EF1E43" w:rsidRPr="00EF1E43" w14:paraId="3E1B2C6C" w14:textId="77777777" w:rsidTr="00CC61F1">
        <w:trPr>
          <w:cantSplit/>
        </w:trPr>
        <w:tc>
          <w:tcPr>
            <w:tcW w:w="1555" w:type="dxa"/>
            <w:shd w:val="clear" w:color="auto" w:fill="FFFFFF" w:themeFill="background1"/>
            <w:noWrap/>
            <w:vAlign w:val="center"/>
            <w:hideMark/>
          </w:tcPr>
          <w:p w14:paraId="76120C28" w14:textId="77777777" w:rsidR="00FF0F9B" w:rsidRPr="00EF1E43" w:rsidRDefault="00FF0F9B" w:rsidP="00374F41">
            <w:pPr>
              <w:jc w:val="center"/>
              <w:rPr>
                <w:sz w:val="24"/>
              </w:rPr>
            </w:pPr>
            <w:r w:rsidRPr="00EF1E43">
              <w:rPr>
                <w:sz w:val="24"/>
              </w:rPr>
              <w:t>36994</w:t>
            </w:r>
          </w:p>
        </w:tc>
        <w:tc>
          <w:tcPr>
            <w:tcW w:w="7371" w:type="dxa"/>
            <w:shd w:val="clear" w:color="auto" w:fill="FFFFFF" w:themeFill="background1"/>
            <w:vAlign w:val="center"/>
            <w:hideMark/>
          </w:tcPr>
          <w:p w14:paraId="2D695CD5" w14:textId="77777777" w:rsidR="00FF0F9B" w:rsidRPr="00EF1E43" w:rsidRDefault="00FF0F9B" w:rsidP="00374F41">
            <w:pPr>
              <w:rPr>
                <w:sz w:val="24"/>
              </w:rPr>
            </w:pPr>
            <w:r w:rsidRPr="00EF1E43">
              <w:rPr>
                <w:sz w:val="24"/>
              </w:rPr>
              <w:t>John EM, Horn-Ross PL, Koo J (2003). Lifetime physical activity and breast cancer risk in a multiethnic population: the San Francisco Bay area breast cancer study. Cancer Epidemiology, Biomarkers &amp; Prevention, 12: 1143-52.</w:t>
            </w:r>
          </w:p>
        </w:tc>
      </w:tr>
      <w:tr w:rsidR="00EF1E43" w:rsidRPr="00EF1E43" w14:paraId="293CE4B8" w14:textId="77777777" w:rsidTr="00CC61F1">
        <w:trPr>
          <w:cantSplit/>
        </w:trPr>
        <w:tc>
          <w:tcPr>
            <w:tcW w:w="1555" w:type="dxa"/>
            <w:shd w:val="clear" w:color="auto" w:fill="FFFFFF" w:themeFill="background1"/>
            <w:noWrap/>
            <w:vAlign w:val="center"/>
            <w:hideMark/>
          </w:tcPr>
          <w:p w14:paraId="33840B4B" w14:textId="77777777" w:rsidR="00FF0F9B" w:rsidRPr="00EF1E43" w:rsidRDefault="00FF0F9B" w:rsidP="00374F41">
            <w:pPr>
              <w:jc w:val="center"/>
              <w:rPr>
                <w:sz w:val="24"/>
              </w:rPr>
            </w:pPr>
            <w:r w:rsidRPr="00EF1E43">
              <w:rPr>
                <w:sz w:val="24"/>
              </w:rPr>
              <w:t>59459</w:t>
            </w:r>
          </w:p>
        </w:tc>
        <w:tc>
          <w:tcPr>
            <w:tcW w:w="7371" w:type="dxa"/>
            <w:shd w:val="clear" w:color="auto" w:fill="FFFFFF" w:themeFill="background1"/>
            <w:vAlign w:val="center"/>
            <w:hideMark/>
          </w:tcPr>
          <w:p w14:paraId="6BB210D6" w14:textId="77777777" w:rsidR="00FF0F9B" w:rsidRPr="00EF1E43" w:rsidRDefault="00FF0F9B" w:rsidP="00374F41">
            <w:pPr>
              <w:rPr>
                <w:sz w:val="24"/>
              </w:rPr>
            </w:pPr>
            <w:r w:rsidRPr="00EF1E43">
              <w:rPr>
                <w:sz w:val="24"/>
              </w:rPr>
              <w:t>John EM, Phipps AI, Knight JA, et al (2007). Medical radiation exposure and breast cancer risk: findings from the Breast Cancer Family Registry. Int J Cancer, 121: 386-94.</w:t>
            </w:r>
          </w:p>
        </w:tc>
      </w:tr>
      <w:tr w:rsidR="00EF1E43" w:rsidRPr="00EF1E43" w14:paraId="41604CD4" w14:textId="77777777" w:rsidTr="00CC61F1">
        <w:trPr>
          <w:cantSplit/>
        </w:trPr>
        <w:tc>
          <w:tcPr>
            <w:tcW w:w="1555" w:type="dxa"/>
            <w:shd w:val="clear" w:color="auto" w:fill="FFFFFF" w:themeFill="background1"/>
            <w:noWrap/>
            <w:vAlign w:val="center"/>
            <w:hideMark/>
          </w:tcPr>
          <w:p w14:paraId="201F2DCE" w14:textId="77777777" w:rsidR="00FF0F9B" w:rsidRPr="00EF1E43" w:rsidRDefault="00FF0F9B" w:rsidP="00374F41">
            <w:pPr>
              <w:jc w:val="center"/>
              <w:rPr>
                <w:sz w:val="24"/>
              </w:rPr>
            </w:pPr>
            <w:r w:rsidRPr="00EF1E43">
              <w:rPr>
                <w:sz w:val="24"/>
              </w:rPr>
              <w:t>35678</w:t>
            </w:r>
          </w:p>
        </w:tc>
        <w:tc>
          <w:tcPr>
            <w:tcW w:w="7371" w:type="dxa"/>
            <w:shd w:val="clear" w:color="auto" w:fill="FFFFFF" w:themeFill="background1"/>
            <w:vAlign w:val="center"/>
            <w:hideMark/>
          </w:tcPr>
          <w:p w14:paraId="672CEBD6" w14:textId="77777777" w:rsidR="00FF0F9B" w:rsidRPr="00EF1E43" w:rsidRDefault="00FF0F9B" w:rsidP="00374F41">
            <w:pPr>
              <w:rPr>
                <w:sz w:val="24"/>
              </w:rPr>
            </w:pPr>
            <w:r w:rsidRPr="00EF1E43">
              <w:rPr>
                <w:sz w:val="24"/>
              </w:rPr>
              <w:t>Johnson KC, Hu J, Mao Y (2000). Passive and active smoking and breast cancer risk in Canada, 1994-97. Cancer Causes Control, 11: 211-21.</w:t>
            </w:r>
          </w:p>
        </w:tc>
      </w:tr>
      <w:tr w:rsidR="00EF1E43" w:rsidRPr="00EF1E43" w14:paraId="2F137E98" w14:textId="77777777" w:rsidTr="00CC61F1">
        <w:trPr>
          <w:cantSplit/>
        </w:trPr>
        <w:tc>
          <w:tcPr>
            <w:tcW w:w="1555" w:type="dxa"/>
            <w:shd w:val="clear" w:color="auto" w:fill="FFFFFF" w:themeFill="background1"/>
            <w:noWrap/>
            <w:vAlign w:val="center"/>
            <w:hideMark/>
          </w:tcPr>
          <w:p w14:paraId="267043EC" w14:textId="77777777" w:rsidR="00FF0F9B" w:rsidRPr="00EF1E43" w:rsidRDefault="00FF0F9B" w:rsidP="00374F41">
            <w:pPr>
              <w:jc w:val="center"/>
              <w:rPr>
                <w:sz w:val="24"/>
              </w:rPr>
            </w:pPr>
            <w:r w:rsidRPr="00EF1E43">
              <w:rPr>
                <w:sz w:val="24"/>
              </w:rPr>
              <w:t>71648</w:t>
            </w:r>
          </w:p>
        </w:tc>
        <w:tc>
          <w:tcPr>
            <w:tcW w:w="7371" w:type="dxa"/>
            <w:shd w:val="clear" w:color="auto" w:fill="FFFFFF" w:themeFill="background1"/>
            <w:vAlign w:val="center"/>
            <w:hideMark/>
          </w:tcPr>
          <w:p w14:paraId="3BEA8595" w14:textId="77777777" w:rsidR="00FF0F9B" w:rsidRPr="00EF1E43" w:rsidRDefault="00FF0F9B" w:rsidP="00374F41">
            <w:pPr>
              <w:rPr>
                <w:sz w:val="24"/>
              </w:rPr>
            </w:pPr>
            <w:r w:rsidRPr="00EF1E43">
              <w:rPr>
                <w:sz w:val="24"/>
              </w:rPr>
              <w:t>Johnson KC, Miller AB, Collishaw NE, et al (2011). Active smoking and secondhand smoke increase breast cancer risk: the report of the Canadian Expert Panel on Tobacco Smoke and Breast Cancer Risk (2009). Tob Control, 20(1): e2.</w:t>
            </w:r>
          </w:p>
        </w:tc>
      </w:tr>
      <w:tr w:rsidR="00EF1E43" w:rsidRPr="00EF1E43" w14:paraId="32AAE56E" w14:textId="77777777" w:rsidTr="00CC61F1">
        <w:trPr>
          <w:cantSplit/>
        </w:trPr>
        <w:tc>
          <w:tcPr>
            <w:tcW w:w="1555" w:type="dxa"/>
            <w:shd w:val="clear" w:color="auto" w:fill="FFFFFF" w:themeFill="background1"/>
            <w:noWrap/>
            <w:vAlign w:val="center"/>
            <w:hideMark/>
          </w:tcPr>
          <w:p w14:paraId="19EC626A" w14:textId="77777777" w:rsidR="00FF0F9B" w:rsidRPr="00EF1E43" w:rsidRDefault="00FF0F9B" w:rsidP="00374F41">
            <w:pPr>
              <w:jc w:val="center"/>
              <w:rPr>
                <w:sz w:val="24"/>
              </w:rPr>
            </w:pPr>
            <w:r w:rsidRPr="00EF1E43">
              <w:rPr>
                <w:sz w:val="24"/>
              </w:rPr>
              <w:t>36915</w:t>
            </w:r>
          </w:p>
        </w:tc>
        <w:tc>
          <w:tcPr>
            <w:tcW w:w="7371" w:type="dxa"/>
            <w:shd w:val="clear" w:color="auto" w:fill="FFFFFF" w:themeFill="background1"/>
            <w:vAlign w:val="center"/>
            <w:hideMark/>
          </w:tcPr>
          <w:p w14:paraId="1C884424" w14:textId="77777777" w:rsidR="00FF0F9B" w:rsidRPr="00EF1E43" w:rsidRDefault="00FF0F9B" w:rsidP="00374F41">
            <w:pPr>
              <w:rPr>
                <w:sz w:val="24"/>
              </w:rPr>
            </w:pPr>
            <w:r w:rsidRPr="00EF1E43">
              <w:rPr>
                <w:sz w:val="24"/>
              </w:rPr>
              <w:t>Johnson KC, Pan S, Mao Y, et al (2002). Risk factors for male breast cancer in Canada, 1994-1998. Eur J Cancer Prev, 11: 253-63.</w:t>
            </w:r>
          </w:p>
        </w:tc>
      </w:tr>
      <w:tr w:rsidR="00EF1E43" w:rsidRPr="00EF1E43" w14:paraId="4B542DB1" w14:textId="77777777" w:rsidTr="00CC61F1">
        <w:trPr>
          <w:cantSplit/>
        </w:trPr>
        <w:tc>
          <w:tcPr>
            <w:tcW w:w="1555" w:type="dxa"/>
            <w:shd w:val="clear" w:color="auto" w:fill="FFFFFF" w:themeFill="background1"/>
            <w:noWrap/>
            <w:vAlign w:val="center"/>
            <w:hideMark/>
          </w:tcPr>
          <w:p w14:paraId="61308A52" w14:textId="77777777" w:rsidR="00FF0F9B" w:rsidRPr="00EF1E43" w:rsidRDefault="00FF0F9B" w:rsidP="00374F41">
            <w:pPr>
              <w:jc w:val="center"/>
              <w:rPr>
                <w:sz w:val="24"/>
              </w:rPr>
            </w:pPr>
            <w:r w:rsidRPr="00EF1E43">
              <w:rPr>
                <w:sz w:val="24"/>
              </w:rPr>
              <w:t>36976</w:t>
            </w:r>
          </w:p>
        </w:tc>
        <w:tc>
          <w:tcPr>
            <w:tcW w:w="7371" w:type="dxa"/>
            <w:shd w:val="clear" w:color="auto" w:fill="FFFFFF" w:themeFill="background1"/>
            <w:vAlign w:val="center"/>
            <w:hideMark/>
          </w:tcPr>
          <w:p w14:paraId="1E375212" w14:textId="77777777" w:rsidR="00FF0F9B" w:rsidRPr="00EF1E43" w:rsidRDefault="00FF0F9B" w:rsidP="00374F41">
            <w:pPr>
              <w:rPr>
                <w:sz w:val="24"/>
              </w:rPr>
            </w:pPr>
            <w:r w:rsidRPr="00EF1E43">
              <w:rPr>
                <w:sz w:val="24"/>
              </w:rPr>
              <w:t>Johnson KC, Pan S, Mao Y, et al (2002). Risk factors for male breast cancer in Canada, 1994-1998. European Journal of Cancer Prevention, 11: 253-63.</w:t>
            </w:r>
          </w:p>
        </w:tc>
      </w:tr>
      <w:tr w:rsidR="00EF1E43" w:rsidRPr="00EF1E43" w14:paraId="7163958A" w14:textId="77777777" w:rsidTr="00CC61F1">
        <w:trPr>
          <w:cantSplit/>
        </w:trPr>
        <w:tc>
          <w:tcPr>
            <w:tcW w:w="1555" w:type="dxa"/>
            <w:shd w:val="clear" w:color="auto" w:fill="FFFFFF" w:themeFill="background1"/>
            <w:noWrap/>
            <w:vAlign w:val="center"/>
            <w:hideMark/>
          </w:tcPr>
          <w:p w14:paraId="7769BF22" w14:textId="77777777" w:rsidR="00FF0F9B" w:rsidRPr="00EF1E43" w:rsidRDefault="00FF0F9B" w:rsidP="00374F41">
            <w:pPr>
              <w:jc w:val="center"/>
              <w:rPr>
                <w:sz w:val="24"/>
              </w:rPr>
            </w:pPr>
            <w:r w:rsidRPr="00EF1E43">
              <w:rPr>
                <w:sz w:val="24"/>
              </w:rPr>
              <w:t>87305</w:t>
            </w:r>
          </w:p>
        </w:tc>
        <w:tc>
          <w:tcPr>
            <w:tcW w:w="7371" w:type="dxa"/>
            <w:shd w:val="clear" w:color="auto" w:fill="FFFFFF" w:themeFill="background1"/>
            <w:vAlign w:val="center"/>
            <w:hideMark/>
          </w:tcPr>
          <w:p w14:paraId="2ED66168" w14:textId="77777777" w:rsidR="00FF0F9B" w:rsidRPr="00EF1E43" w:rsidRDefault="00FF0F9B" w:rsidP="00374F41">
            <w:pPr>
              <w:rPr>
                <w:sz w:val="24"/>
              </w:rPr>
            </w:pPr>
            <w:r w:rsidRPr="00EF1E43">
              <w:rPr>
                <w:sz w:val="24"/>
              </w:rPr>
              <w:t>Jordan SJ, Wilson LF, Nagle CM, et al (2015). Cancers in Australia in 2010 attributable to total breastfeeding durations of 12 months or less by parous women. Aust N Z J Public Health, 39(5): 418-21.</w:t>
            </w:r>
          </w:p>
        </w:tc>
      </w:tr>
      <w:tr w:rsidR="00EF1E43" w:rsidRPr="00EF1E43" w14:paraId="2F3E13FF" w14:textId="77777777" w:rsidTr="00CC61F1">
        <w:trPr>
          <w:cantSplit/>
        </w:trPr>
        <w:tc>
          <w:tcPr>
            <w:tcW w:w="1555" w:type="dxa"/>
            <w:shd w:val="clear" w:color="auto" w:fill="FFFFFF" w:themeFill="background1"/>
            <w:noWrap/>
            <w:vAlign w:val="center"/>
            <w:hideMark/>
          </w:tcPr>
          <w:p w14:paraId="146CC945" w14:textId="77777777" w:rsidR="00FF0F9B" w:rsidRPr="00EF1E43" w:rsidRDefault="00FF0F9B" w:rsidP="00374F41">
            <w:pPr>
              <w:jc w:val="center"/>
              <w:rPr>
                <w:sz w:val="24"/>
              </w:rPr>
            </w:pPr>
            <w:r w:rsidRPr="00EF1E43">
              <w:rPr>
                <w:sz w:val="24"/>
              </w:rPr>
              <w:t>38295</w:t>
            </w:r>
          </w:p>
        </w:tc>
        <w:tc>
          <w:tcPr>
            <w:tcW w:w="7371" w:type="dxa"/>
            <w:shd w:val="clear" w:color="auto" w:fill="FFFFFF" w:themeFill="background1"/>
            <w:vAlign w:val="center"/>
            <w:hideMark/>
          </w:tcPr>
          <w:p w14:paraId="2C72128A" w14:textId="77777777" w:rsidR="00FF0F9B" w:rsidRPr="00EF1E43" w:rsidRDefault="00FF0F9B" w:rsidP="00374F41">
            <w:pPr>
              <w:rPr>
                <w:sz w:val="24"/>
              </w:rPr>
            </w:pPr>
            <w:r w:rsidRPr="00EF1E43">
              <w:rPr>
                <w:sz w:val="24"/>
              </w:rPr>
              <w:t>Joseph A, Mokbel K (2004). Male Breast Cancer. Int J Fertil, 49(5): 198-9.</w:t>
            </w:r>
          </w:p>
        </w:tc>
      </w:tr>
      <w:tr w:rsidR="00EF1E43" w:rsidRPr="00EF1E43" w14:paraId="15B592F1" w14:textId="77777777" w:rsidTr="00CC61F1">
        <w:trPr>
          <w:cantSplit/>
        </w:trPr>
        <w:tc>
          <w:tcPr>
            <w:tcW w:w="1555" w:type="dxa"/>
            <w:shd w:val="clear" w:color="auto" w:fill="FFFFFF" w:themeFill="background1"/>
            <w:noWrap/>
            <w:vAlign w:val="center"/>
            <w:hideMark/>
          </w:tcPr>
          <w:p w14:paraId="7B91EBA2" w14:textId="77777777" w:rsidR="00FF0F9B" w:rsidRPr="00EF1E43" w:rsidRDefault="00FF0F9B" w:rsidP="00374F41">
            <w:pPr>
              <w:jc w:val="center"/>
              <w:rPr>
                <w:sz w:val="24"/>
              </w:rPr>
            </w:pPr>
            <w:r w:rsidRPr="00EF1E43">
              <w:rPr>
                <w:sz w:val="24"/>
              </w:rPr>
              <w:t>71645</w:t>
            </w:r>
          </w:p>
        </w:tc>
        <w:tc>
          <w:tcPr>
            <w:tcW w:w="7371" w:type="dxa"/>
            <w:shd w:val="clear" w:color="auto" w:fill="FFFFFF" w:themeFill="background1"/>
            <w:vAlign w:val="center"/>
            <w:hideMark/>
          </w:tcPr>
          <w:p w14:paraId="2809A96D" w14:textId="77777777" w:rsidR="00FF0F9B" w:rsidRPr="00EF1E43" w:rsidRDefault="00FF0F9B" w:rsidP="00374F41">
            <w:pPr>
              <w:rPr>
                <w:sz w:val="24"/>
              </w:rPr>
            </w:pPr>
            <w:r w:rsidRPr="00EF1E43">
              <w:rPr>
                <w:sz w:val="24"/>
              </w:rPr>
              <w:t>Joshi D, Buehring C (2012). Are viruses associated with human breast cancer? Scrutinizing the modular evidence. Breast Cancer Res Treat, 135: 1-15.</w:t>
            </w:r>
          </w:p>
        </w:tc>
      </w:tr>
      <w:tr w:rsidR="00EF1E43" w:rsidRPr="00EF1E43" w14:paraId="750A5DCE" w14:textId="77777777" w:rsidTr="00CC61F1">
        <w:trPr>
          <w:cantSplit/>
        </w:trPr>
        <w:tc>
          <w:tcPr>
            <w:tcW w:w="1555" w:type="dxa"/>
            <w:shd w:val="clear" w:color="auto" w:fill="FFFFFF" w:themeFill="background1"/>
            <w:noWrap/>
            <w:vAlign w:val="center"/>
            <w:hideMark/>
          </w:tcPr>
          <w:p w14:paraId="71D2E0F1" w14:textId="77777777" w:rsidR="00FF0F9B" w:rsidRPr="00EF1E43" w:rsidRDefault="00FF0F9B" w:rsidP="00374F41">
            <w:pPr>
              <w:jc w:val="center"/>
              <w:rPr>
                <w:sz w:val="24"/>
              </w:rPr>
            </w:pPr>
            <w:r w:rsidRPr="00EF1E43">
              <w:rPr>
                <w:sz w:val="24"/>
              </w:rPr>
              <w:t>36929</w:t>
            </w:r>
          </w:p>
        </w:tc>
        <w:tc>
          <w:tcPr>
            <w:tcW w:w="7371" w:type="dxa"/>
            <w:shd w:val="clear" w:color="auto" w:fill="FFFFFF" w:themeFill="background1"/>
            <w:vAlign w:val="center"/>
            <w:hideMark/>
          </w:tcPr>
          <w:p w14:paraId="420C8300" w14:textId="77777777" w:rsidR="00FF0F9B" w:rsidRPr="00EF1E43" w:rsidRDefault="00FF0F9B" w:rsidP="00374F41">
            <w:pPr>
              <w:rPr>
                <w:sz w:val="24"/>
              </w:rPr>
            </w:pPr>
            <w:r w:rsidRPr="00EF1E43">
              <w:rPr>
                <w:sz w:val="24"/>
              </w:rPr>
              <w:t>Kaaks R, van Noord PAH, Tonkellar ID, et al (1998). Breast-cancer incidence in relation to height, weight and body-fat distribution in the Dutch "Dom" cohort. Int J Cancer, 76: 647-51.</w:t>
            </w:r>
          </w:p>
        </w:tc>
      </w:tr>
      <w:tr w:rsidR="00EF1E43" w:rsidRPr="00EF1E43" w14:paraId="1706D44D" w14:textId="77777777" w:rsidTr="00CC61F1">
        <w:trPr>
          <w:cantSplit/>
        </w:trPr>
        <w:tc>
          <w:tcPr>
            <w:tcW w:w="1555" w:type="dxa"/>
            <w:shd w:val="clear" w:color="auto" w:fill="FFFFFF" w:themeFill="background1"/>
            <w:noWrap/>
            <w:vAlign w:val="center"/>
            <w:hideMark/>
          </w:tcPr>
          <w:p w14:paraId="29BD9AA1" w14:textId="77777777" w:rsidR="00FF0F9B" w:rsidRPr="00EF1E43" w:rsidRDefault="00FF0F9B" w:rsidP="00374F41">
            <w:pPr>
              <w:jc w:val="center"/>
              <w:rPr>
                <w:sz w:val="24"/>
              </w:rPr>
            </w:pPr>
            <w:r w:rsidRPr="00EF1E43">
              <w:rPr>
                <w:sz w:val="24"/>
              </w:rPr>
              <w:lastRenderedPageBreak/>
              <w:t>35601</w:t>
            </w:r>
          </w:p>
        </w:tc>
        <w:tc>
          <w:tcPr>
            <w:tcW w:w="7371" w:type="dxa"/>
            <w:shd w:val="clear" w:color="auto" w:fill="FFFFFF" w:themeFill="background1"/>
            <w:vAlign w:val="center"/>
            <w:hideMark/>
          </w:tcPr>
          <w:p w14:paraId="69E1D074" w14:textId="77777777" w:rsidR="00FF0F9B" w:rsidRPr="00EF1E43" w:rsidRDefault="00FF0F9B" w:rsidP="00374F41">
            <w:pPr>
              <w:rPr>
                <w:sz w:val="24"/>
              </w:rPr>
            </w:pPr>
            <w:r w:rsidRPr="00EF1E43">
              <w:rPr>
                <w:sz w:val="24"/>
              </w:rPr>
              <w:t>Kabat GC, O'Leary ES, Schoenfeld ER, et al (2003). Electric blanket use and breast cancer and Long Island. Epidemiology, 14(5): 51420.</w:t>
            </w:r>
          </w:p>
        </w:tc>
      </w:tr>
      <w:tr w:rsidR="00EF1E43" w:rsidRPr="00EF1E43" w14:paraId="6AA31602" w14:textId="77777777" w:rsidTr="00CC61F1">
        <w:trPr>
          <w:cantSplit/>
        </w:trPr>
        <w:tc>
          <w:tcPr>
            <w:tcW w:w="1555" w:type="dxa"/>
            <w:shd w:val="clear" w:color="auto" w:fill="FFFFFF" w:themeFill="background1"/>
            <w:noWrap/>
            <w:vAlign w:val="center"/>
            <w:hideMark/>
          </w:tcPr>
          <w:p w14:paraId="7C0B3F7F" w14:textId="77777777" w:rsidR="00FF0F9B" w:rsidRPr="00EF1E43" w:rsidRDefault="00FF0F9B" w:rsidP="00374F41">
            <w:pPr>
              <w:jc w:val="center"/>
              <w:rPr>
                <w:sz w:val="24"/>
              </w:rPr>
            </w:pPr>
            <w:r w:rsidRPr="00EF1E43">
              <w:rPr>
                <w:sz w:val="24"/>
              </w:rPr>
              <w:t>71646</w:t>
            </w:r>
          </w:p>
        </w:tc>
        <w:tc>
          <w:tcPr>
            <w:tcW w:w="7371" w:type="dxa"/>
            <w:shd w:val="clear" w:color="auto" w:fill="FFFFFF" w:themeFill="background1"/>
            <w:vAlign w:val="center"/>
            <w:hideMark/>
          </w:tcPr>
          <w:p w14:paraId="568FEDD0" w14:textId="77777777" w:rsidR="00FF0F9B" w:rsidRPr="00EF1E43" w:rsidRDefault="00FF0F9B" w:rsidP="00374F41">
            <w:pPr>
              <w:rPr>
                <w:sz w:val="24"/>
              </w:rPr>
            </w:pPr>
            <w:r w:rsidRPr="00EF1E43">
              <w:rPr>
                <w:sz w:val="24"/>
              </w:rPr>
              <w:t>Kamdar BB, Tergas AI, Bateen FJ, et al (2013). Night-shift work and risk of breast cancer: a systematic review and meta-analysis. Breast Cancer Res Treat, 138: 291-301.</w:t>
            </w:r>
          </w:p>
        </w:tc>
      </w:tr>
      <w:tr w:rsidR="00EF1E43" w:rsidRPr="00EF1E43" w14:paraId="4C9F34E7" w14:textId="77777777" w:rsidTr="00CC61F1">
        <w:trPr>
          <w:cantSplit/>
        </w:trPr>
        <w:tc>
          <w:tcPr>
            <w:tcW w:w="1555" w:type="dxa"/>
            <w:shd w:val="clear" w:color="auto" w:fill="FFFFFF" w:themeFill="background1"/>
            <w:noWrap/>
            <w:vAlign w:val="center"/>
            <w:hideMark/>
          </w:tcPr>
          <w:p w14:paraId="0D903594" w14:textId="77777777" w:rsidR="00FF0F9B" w:rsidRPr="00EF1E43" w:rsidRDefault="00FF0F9B" w:rsidP="00374F41">
            <w:pPr>
              <w:jc w:val="center"/>
              <w:rPr>
                <w:sz w:val="24"/>
              </w:rPr>
            </w:pPr>
            <w:r w:rsidRPr="00EF1E43">
              <w:rPr>
                <w:sz w:val="24"/>
              </w:rPr>
              <w:t>50306</w:t>
            </w:r>
          </w:p>
        </w:tc>
        <w:tc>
          <w:tcPr>
            <w:tcW w:w="7371" w:type="dxa"/>
            <w:shd w:val="clear" w:color="auto" w:fill="FFFFFF" w:themeFill="background1"/>
            <w:vAlign w:val="center"/>
            <w:hideMark/>
          </w:tcPr>
          <w:p w14:paraId="706422FD" w14:textId="77777777" w:rsidR="00FF0F9B" w:rsidRPr="00EF1E43" w:rsidRDefault="00FF0F9B" w:rsidP="00374F41">
            <w:pPr>
              <w:rPr>
                <w:sz w:val="24"/>
              </w:rPr>
            </w:pPr>
            <w:r w:rsidRPr="00EF1E43">
              <w:rPr>
                <w:sz w:val="24"/>
              </w:rPr>
              <w:t>Kang D, Davis LK, Hunt P, et al (2008). Cancer incidence among male Massachusetts firefighters, 1987-2003. Am J Ind Med, 51(5): 329-35.</w:t>
            </w:r>
          </w:p>
        </w:tc>
      </w:tr>
      <w:tr w:rsidR="00EF1E43" w:rsidRPr="00EF1E43" w14:paraId="24E39F02" w14:textId="77777777" w:rsidTr="00CC61F1">
        <w:trPr>
          <w:cantSplit/>
        </w:trPr>
        <w:tc>
          <w:tcPr>
            <w:tcW w:w="1555" w:type="dxa"/>
            <w:shd w:val="clear" w:color="auto" w:fill="FFFFFF" w:themeFill="background1"/>
            <w:noWrap/>
            <w:vAlign w:val="center"/>
            <w:hideMark/>
          </w:tcPr>
          <w:p w14:paraId="12BD5877" w14:textId="77777777" w:rsidR="00FF0F9B" w:rsidRPr="00EF1E43" w:rsidRDefault="00FF0F9B" w:rsidP="00374F41">
            <w:pPr>
              <w:jc w:val="center"/>
              <w:rPr>
                <w:sz w:val="24"/>
              </w:rPr>
            </w:pPr>
            <w:r w:rsidRPr="00EF1E43">
              <w:rPr>
                <w:sz w:val="24"/>
              </w:rPr>
              <w:t>9224</w:t>
            </w:r>
          </w:p>
        </w:tc>
        <w:tc>
          <w:tcPr>
            <w:tcW w:w="7371" w:type="dxa"/>
            <w:shd w:val="clear" w:color="auto" w:fill="FFFFFF" w:themeFill="background1"/>
            <w:vAlign w:val="center"/>
            <w:hideMark/>
          </w:tcPr>
          <w:p w14:paraId="04F778D8" w14:textId="77777777" w:rsidR="00FF0F9B" w:rsidRPr="00EF1E43" w:rsidRDefault="00FF0F9B" w:rsidP="00374F41">
            <w:pPr>
              <w:rPr>
                <w:sz w:val="24"/>
              </w:rPr>
            </w:pPr>
            <w:r w:rsidRPr="00EF1E43">
              <w:rPr>
                <w:sz w:val="24"/>
              </w:rPr>
              <w:t>Katsouyanni K, Trichopoulou A, Stuver S, et al (1994). Ethanol and breast cancer: an association that may be both confounded and causal. Int J Cancer, 58: 356-61.</w:t>
            </w:r>
          </w:p>
        </w:tc>
      </w:tr>
      <w:tr w:rsidR="00EF1E43" w:rsidRPr="00EF1E43" w14:paraId="7454DFB8" w14:textId="77777777" w:rsidTr="00CC61F1">
        <w:trPr>
          <w:cantSplit/>
        </w:trPr>
        <w:tc>
          <w:tcPr>
            <w:tcW w:w="1555" w:type="dxa"/>
            <w:shd w:val="clear" w:color="auto" w:fill="FFFFFF" w:themeFill="background1"/>
            <w:noWrap/>
            <w:vAlign w:val="center"/>
            <w:hideMark/>
          </w:tcPr>
          <w:p w14:paraId="4B57CD78" w14:textId="77777777" w:rsidR="00FF0F9B" w:rsidRPr="00EF1E43" w:rsidRDefault="00FF0F9B" w:rsidP="00374F41">
            <w:pPr>
              <w:jc w:val="center"/>
              <w:rPr>
                <w:sz w:val="24"/>
              </w:rPr>
            </w:pPr>
            <w:r w:rsidRPr="00EF1E43">
              <w:rPr>
                <w:sz w:val="24"/>
              </w:rPr>
              <w:t>18928</w:t>
            </w:r>
          </w:p>
        </w:tc>
        <w:tc>
          <w:tcPr>
            <w:tcW w:w="7371" w:type="dxa"/>
            <w:shd w:val="clear" w:color="auto" w:fill="FFFFFF" w:themeFill="background1"/>
            <w:vAlign w:val="center"/>
            <w:hideMark/>
          </w:tcPr>
          <w:p w14:paraId="027241D9" w14:textId="77777777" w:rsidR="00FF0F9B" w:rsidRPr="00EF1E43" w:rsidRDefault="00FF0F9B" w:rsidP="00374F41">
            <w:pPr>
              <w:rPr>
                <w:sz w:val="24"/>
              </w:rPr>
            </w:pPr>
            <w:r w:rsidRPr="00EF1E43">
              <w:rPr>
                <w:sz w:val="24"/>
              </w:rPr>
              <w:t>Kearsley J, Kaldor J, Smart R, et al (2000). The Report of the RMA Subcommittee on Ionising Radiation Dose. Department of Veterans Affairs, Canberra.</w:t>
            </w:r>
          </w:p>
        </w:tc>
      </w:tr>
      <w:tr w:rsidR="00EF1E43" w:rsidRPr="00EF1E43" w14:paraId="347A22B3" w14:textId="77777777" w:rsidTr="00CC61F1">
        <w:trPr>
          <w:cantSplit/>
        </w:trPr>
        <w:tc>
          <w:tcPr>
            <w:tcW w:w="1555" w:type="dxa"/>
            <w:shd w:val="clear" w:color="auto" w:fill="FFFFFF" w:themeFill="background1"/>
            <w:noWrap/>
            <w:vAlign w:val="center"/>
            <w:hideMark/>
          </w:tcPr>
          <w:p w14:paraId="77179765" w14:textId="77777777" w:rsidR="00FF0F9B" w:rsidRPr="00EF1E43" w:rsidRDefault="00FF0F9B" w:rsidP="00374F41">
            <w:pPr>
              <w:jc w:val="center"/>
              <w:rPr>
                <w:sz w:val="24"/>
              </w:rPr>
            </w:pPr>
            <w:r w:rsidRPr="00EF1E43">
              <w:rPr>
                <w:sz w:val="24"/>
              </w:rPr>
              <w:t>9225</w:t>
            </w:r>
          </w:p>
        </w:tc>
        <w:tc>
          <w:tcPr>
            <w:tcW w:w="7371" w:type="dxa"/>
            <w:shd w:val="clear" w:color="auto" w:fill="FFFFFF" w:themeFill="background1"/>
            <w:vAlign w:val="center"/>
            <w:hideMark/>
          </w:tcPr>
          <w:p w14:paraId="5F17F0B4" w14:textId="77777777" w:rsidR="00FF0F9B" w:rsidRPr="00EF1E43" w:rsidRDefault="00FF0F9B" w:rsidP="00374F41">
            <w:pPr>
              <w:rPr>
                <w:sz w:val="24"/>
              </w:rPr>
            </w:pPr>
            <w:r w:rsidRPr="00EF1E43">
              <w:rPr>
                <w:sz w:val="24"/>
              </w:rPr>
              <w:t>Kelsey JL, Gammon MD, John EM (1993). Reproductive and hormonal risk factors: Reproductive factors and breast cancer. Epidemiologic Reviews, 15(1): 36-47.</w:t>
            </w:r>
          </w:p>
        </w:tc>
      </w:tr>
      <w:tr w:rsidR="00EF1E43" w:rsidRPr="00EF1E43" w14:paraId="05E9F8EB" w14:textId="77777777" w:rsidTr="00CC61F1">
        <w:trPr>
          <w:cantSplit/>
        </w:trPr>
        <w:tc>
          <w:tcPr>
            <w:tcW w:w="1555" w:type="dxa"/>
            <w:shd w:val="clear" w:color="auto" w:fill="FFFFFF" w:themeFill="background1"/>
            <w:noWrap/>
            <w:vAlign w:val="center"/>
            <w:hideMark/>
          </w:tcPr>
          <w:p w14:paraId="4C9209CA" w14:textId="77777777" w:rsidR="00FF0F9B" w:rsidRPr="00EF1E43" w:rsidRDefault="00FF0F9B" w:rsidP="00374F41">
            <w:pPr>
              <w:jc w:val="center"/>
              <w:rPr>
                <w:sz w:val="24"/>
              </w:rPr>
            </w:pPr>
            <w:r w:rsidRPr="00EF1E43">
              <w:rPr>
                <w:sz w:val="24"/>
              </w:rPr>
              <w:t>35596</w:t>
            </w:r>
          </w:p>
        </w:tc>
        <w:tc>
          <w:tcPr>
            <w:tcW w:w="7371" w:type="dxa"/>
            <w:shd w:val="clear" w:color="auto" w:fill="FFFFFF" w:themeFill="background1"/>
            <w:vAlign w:val="center"/>
            <w:hideMark/>
          </w:tcPr>
          <w:p w14:paraId="198E5F47" w14:textId="77777777" w:rsidR="00FF0F9B" w:rsidRPr="00EF1E43" w:rsidRDefault="00FF0F9B" w:rsidP="00374F41">
            <w:pPr>
              <w:rPr>
                <w:sz w:val="24"/>
              </w:rPr>
            </w:pPr>
            <w:r w:rsidRPr="00EF1E43">
              <w:rPr>
                <w:sz w:val="24"/>
              </w:rPr>
              <w:t>Kenney LB, Yasui Y, Inskip PD, et al (2004). Breast cancer after childhood cancer: a report from the childhood cancer survivor study. Annals of Internal Medicine, 141(8): 590-7.</w:t>
            </w:r>
          </w:p>
        </w:tc>
      </w:tr>
      <w:tr w:rsidR="00EF1E43" w:rsidRPr="00EF1E43" w14:paraId="0E0F8A08" w14:textId="77777777" w:rsidTr="00CC61F1">
        <w:trPr>
          <w:cantSplit/>
        </w:trPr>
        <w:tc>
          <w:tcPr>
            <w:tcW w:w="1555" w:type="dxa"/>
            <w:shd w:val="clear" w:color="auto" w:fill="FFFFFF" w:themeFill="background1"/>
            <w:noWrap/>
            <w:vAlign w:val="center"/>
          </w:tcPr>
          <w:p w14:paraId="7BFF05D7" w14:textId="77777777" w:rsidR="00FF0F9B" w:rsidRPr="00EF1E43" w:rsidRDefault="00FF0F9B" w:rsidP="00374F41">
            <w:pPr>
              <w:jc w:val="center"/>
              <w:rPr>
                <w:sz w:val="24"/>
              </w:rPr>
            </w:pPr>
            <w:r w:rsidRPr="00EF1E43">
              <w:rPr>
                <w:sz w:val="24"/>
              </w:rPr>
              <w:t>36908</w:t>
            </w:r>
          </w:p>
        </w:tc>
        <w:tc>
          <w:tcPr>
            <w:tcW w:w="7371" w:type="dxa"/>
            <w:shd w:val="clear" w:color="auto" w:fill="FFFFFF" w:themeFill="background1"/>
            <w:vAlign w:val="center"/>
          </w:tcPr>
          <w:p w14:paraId="01900B56" w14:textId="77777777" w:rsidR="00FF0F9B" w:rsidRPr="00EF1E43" w:rsidRDefault="00FF0F9B" w:rsidP="00374F41">
            <w:pPr>
              <w:rPr>
                <w:sz w:val="24"/>
              </w:rPr>
            </w:pPr>
            <w:r w:rsidRPr="00EF1E43">
              <w:rPr>
                <w:sz w:val="24"/>
              </w:rPr>
              <w:t>Key TJ, Appleby PN, Reeves GK, et al (2003). Body mass index, serum sex hormones, and breast cancer risk in postmenopausal women. J Natl Cancer Inst, 95(16): 1218-26.</w:t>
            </w:r>
          </w:p>
        </w:tc>
      </w:tr>
      <w:tr w:rsidR="00EF1E43" w:rsidRPr="00EF1E43" w14:paraId="4F5344B6" w14:textId="77777777" w:rsidTr="00CC61F1">
        <w:trPr>
          <w:cantSplit/>
        </w:trPr>
        <w:tc>
          <w:tcPr>
            <w:tcW w:w="1555" w:type="dxa"/>
            <w:shd w:val="clear" w:color="auto" w:fill="FFFFFF" w:themeFill="background1"/>
            <w:noWrap/>
            <w:vAlign w:val="center"/>
            <w:hideMark/>
          </w:tcPr>
          <w:p w14:paraId="052F19B2" w14:textId="77777777" w:rsidR="00FF0F9B" w:rsidRPr="00EF1E43" w:rsidRDefault="00FF0F9B" w:rsidP="00374F41">
            <w:pPr>
              <w:jc w:val="center"/>
              <w:rPr>
                <w:sz w:val="24"/>
              </w:rPr>
            </w:pPr>
            <w:r w:rsidRPr="00EF1E43">
              <w:rPr>
                <w:sz w:val="24"/>
              </w:rPr>
              <w:t>4726</w:t>
            </w:r>
          </w:p>
        </w:tc>
        <w:tc>
          <w:tcPr>
            <w:tcW w:w="7371" w:type="dxa"/>
            <w:shd w:val="clear" w:color="auto" w:fill="FFFFFF" w:themeFill="background1"/>
            <w:vAlign w:val="center"/>
            <w:hideMark/>
          </w:tcPr>
          <w:p w14:paraId="7AF976E6" w14:textId="77777777" w:rsidR="00FF0F9B" w:rsidRPr="00EF1E43" w:rsidRDefault="00FF0F9B" w:rsidP="00374F41">
            <w:pPr>
              <w:rPr>
                <w:sz w:val="24"/>
              </w:rPr>
            </w:pPr>
            <w:r w:rsidRPr="00EF1E43">
              <w:rPr>
                <w:sz w:val="24"/>
              </w:rPr>
              <w:t>Key T, Reeves G (1994). Organochlorines in the environment and breast-cancer. BMJ, 308: 1520-1.</w:t>
            </w:r>
          </w:p>
        </w:tc>
      </w:tr>
      <w:tr w:rsidR="00EF1E43" w:rsidRPr="00EF1E43" w14:paraId="4D856734" w14:textId="77777777" w:rsidTr="00CC61F1">
        <w:trPr>
          <w:cantSplit/>
        </w:trPr>
        <w:tc>
          <w:tcPr>
            <w:tcW w:w="1555" w:type="dxa"/>
            <w:shd w:val="clear" w:color="auto" w:fill="FFFFFF" w:themeFill="background1"/>
            <w:noWrap/>
            <w:vAlign w:val="center"/>
            <w:hideMark/>
          </w:tcPr>
          <w:p w14:paraId="487FD29B" w14:textId="77777777" w:rsidR="00FF0F9B" w:rsidRPr="00EF1E43" w:rsidRDefault="00FF0F9B" w:rsidP="00374F41">
            <w:pPr>
              <w:jc w:val="center"/>
              <w:rPr>
                <w:sz w:val="24"/>
              </w:rPr>
            </w:pPr>
            <w:r w:rsidRPr="00EF1E43">
              <w:rPr>
                <w:sz w:val="24"/>
              </w:rPr>
              <w:t>71506</w:t>
            </w:r>
          </w:p>
        </w:tc>
        <w:tc>
          <w:tcPr>
            <w:tcW w:w="7371" w:type="dxa"/>
            <w:shd w:val="clear" w:color="auto" w:fill="FFFFFF" w:themeFill="background1"/>
            <w:vAlign w:val="center"/>
            <w:hideMark/>
          </w:tcPr>
          <w:p w14:paraId="6ABF7200" w14:textId="77777777" w:rsidR="00FF0F9B" w:rsidRPr="00EF1E43" w:rsidRDefault="00FF0F9B" w:rsidP="00374F41">
            <w:pPr>
              <w:rPr>
                <w:sz w:val="24"/>
              </w:rPr>
            </w:pPr>
            <w:r w:rsidRPr="00EF1E43">
              <w:rPr>
                <w:sz w:val="24"/>
              </w:rPr>
              <w:t>Key TJ (2011). Fruit and vegetables and cancer risk. Br J Cancer, 104(1): 6-11.</w:t>
            </w:r>
          </w:p>
        </w:tc>
      </w:tr>
      <w:tr w:rsidR="00EF1E43" w:rsidRPr="00EF1E43" w14:paraId="09B06682" w14:textId="77777777" w:rsidTr="00CC61F1">
        <w:trPr>
          <w:cantSplit/>
        </w:trPr>
        <w:tc>
          <w:tcPr>
            <w:tcW w:w="1555" w:type="dxa"/>
            <w:shd w:val="clear" w:color="auto" w:fill="FFFFFF" w:themeFill="background1"/>
            <w:noWrap/>
            <w:vAlign w:val="center"/>
          </w:tcPr>
          <w:p w14:paraId="11D523BD" w14:textId="77777777" w:rsidR="00FF0F9B" w:rsidRPr="00EF1E43" w:rsidRDefault="00FF0F9B" w:rsidP="00374F41">
            <w:pPr>
              <w:jc w:val="center"/>
              <w:rPr>
                <w:sz w:val="24"/>
              </w:rPr>
            </w:pPr>
            <w:r w:rsidRPr="00EF1E43">
              <w:rPr>
                <w:sz w:val="24"/>
              </w:rPr>
              <w:t>35611</w:t>
            </w:r>
          </w:p>
        </w:tc>
        <w:tc>
          <w:tcPr>
            <w:tcW w:w="7371" w:type="dxa"/>
            <w:shd w:val="clear" w:color="auto" w:fill="FFFFFF" w:themeFill="background1"/>
            <w:vAlign w:val="center"/>
          </w:tcPr>
          <w:p w14:paraId="38C8C814" w14:textId="77777777" w:rsidR="00FF0F9B" w:rsidRPr="00EF1E43" w:rsidRDefault="00FF0F9B" w:rsidP="00374F41">
            <w:pPr>
              <w:rPr>
                <w:sz w:val="24"/>
              </w:rPr>
            </w:pPr>
            <w:r w:rsidRPr="00EF1E43">
              <w:rPr>
                <w:sz w:val="24"/>
              </w:rPr>
              <w:t>Kheifets LI, Matkin CC (1999). Industrialization, electromagnetic fields and breast cancer risk. Environ Health Perspect, 107(Suppl 1): 145-54.</w:t>
            </w:r>
          </w:p>
        </w:tc>
      </w:tr>
      <w:tr w:rsidR="00EF1E43" w:rsidRPr="00EF1E43" w14:paraId="05EAA126" w14:textId="77777777" w:rsidTr="00CC61F1">
        <w:trPr>
          <w:cantSplit/>
        </w:trPr>
        <w:tc>
          <w:tcPr>
            <w:tcW w:w="1555" w:type="dxa"/>
            <w:shd w:val="clear" w:color="auto" w:fill="FFFFFF" w:themeFill="background1"/>
            <w:noWrap/>
            <w:vAlign w:val="center"/>
            <w:hideMark/>
          </w:tcPr>
          <w:p w14:paraId="4F594864" w14:textId="77777777" w:rsidR="00FF0F9B" w:rsidRPr="00EF1E43" w:rsidRDefault="00FF0F9B" w:rsidP="00374F41">
            <w:pPr>
              <w:jc w:val="center"/>
              <w:rPr>
                <w:sz w:val="24"/>
              </w:rPr>
            </w:pPr>
            <w:r w:rsidRPr="00EF1E43">
              <w:rPr>
                <w:sz w:val="24"/>
              </w:rPr>
              <w:t>35936</w:t>
            </w:r>
          </w:p>
        </w:tc>
        <w:tc>
          <w:tcPr>
            <w:tcW w:w="7371" w:type="dxa"/>
            <w:shd w:val="clear" w:color="auto" w:fill="FFFFFF" w:themeFill="background1"/>
            <w:vAlign w:val="center"/>
            <w:hideMark/>
          </w:tcPr>
          <w:p w14:paraId="2F3B02E4" w14:textId="77777777" w:rsidR="00FF0F9B" w:rsidRPr="00EF1E43" w:rsidRDefault="00FF0F9B" w:rsidP="00374F41">
            <w:pPr>
              <w:rPr>
                <w:sz w:val="24"/>
              </w:rPr>
            </w:pPr>
            <w:r w:rsidRPr="00EF1E43">
              <w:rPr>
                <w:sz w:val="24"/>
              </w:rPr>
              <w:t>Khuder SA, Mutgi AB, Nugent S (2001). Smoking and Breast Cancer: A Meta-Analysis. Reviews on Environmental Health, 16(4): 253-61.</w:t>
            </w:r>
          </w:p>
        </w:tc>
      </w:tr>
      <w:tr w:rsidR="00EF1E43" w:rsidRPr="00EF1E43" w14:paraId="70361D0C" w14:textId="77777777" w:rsidTr="00CC61F1">
        <w:trPr>
          <w:cantSplit/>
        </w:trPr>
        <w:tc>
          <w:tcPr>
            <w:tcW w:w="1555" w:type="dxa"/>
            <w:shd w:val="clear" w:color="auto" w:fill="FFFFFF" w:themeFill="background1"/>
            <w:noWrap/>
            <w:vAlign w:val="center"/>
            <w:hideMark/>
          </w:tcPr>
          <w:p w14:paraId="1534EAC0" w14:textId="77777777" w:rsidR="00FF0F9B" w:rsidRPr="00EF1E43" w:rsidRDefault="00FF0F9B" w:rsidP="00374F41">
            <w:pPr>
              <w:jc w:val="center"/>
              <w:rPr>
                <w:sz w:val="24"/>
              </w:rPr>
            </w:pPr>
            <w:r w:rsidRPr="00EF1E43">
              <w:rPr>
                <w:sz w:val="24"/>
              </w:rPr>
              <w:t>35683</w:t>
            </w:r>
          </w:p>
        </w:tc>
        <w:tc>
          <w:tcPr>
            <w:tcW w:w="7371" w:type="dxa"/>
            <w:shd w:val="clear" w:color="auto" w:fill="FFFFFF" w:themeFill="background1"/>
            <w:vAlign w:val="center"/>
            <w:hideMark/>
          </w:tcPr>
          <w:p w14:paraId="2A1E8737" w14:textId="77777777" w:rsidR="00FF0F9B" w:rsidRPr="00EF1E43" w:rsidRDefault="00FF0F9B" w:rsidP="00374F41">
            <w:pPr>
              <w:rPr>
                <w:sz w:val="24"/>
              </w:rPr>
            </w:pPr>
            <w:r w:rsidRPr="00EF1E43">
              <w:rPr>
                <w:sz w:val="24"/>
              </w:rPr>
              <w:t>Khuder SA, Simon VJ (2001). Is there an association between passive smoking and breast cancer? European Journal of Epidemiology, 16: 1117-21.</w:t>
            </w:r>
          </w:p>
        </w:tc>
      </w:tr>
      <w:tr w:rsidR="00EF1E43" w:rsidRPr="00EF1E43" w14:paraId="5F94B9F5" w14:textId="77777777" w:rsidTr="00CC61F1">
        <w:trPr>
          <w:cantSplit/>
        </w:trPr>
        <w:tc>
          <w:tcPr>
            <w:tcW w:w="1555" w:type="dxa"/>
            <w:shd w:val="clear" w:color="auto" w:fill="FFFFFF" w:themeFill="background1"/>
            <w:noWrap/>
            <w:vAlign w:val="center"/>
            <w:hideMark/>
          </w:tcPr>
          <w:p w14:paraId="67054DEB" w14:textId="77777777" w:rsidR="00FF0F9B" w:rsidRPr="00EF1E43" w:rsidRDefault="00FF0F9B" w:rsidP="00374F41">
            <w:pPr>
              <w:jc w:val="center"/>
              <w:rPr>
                <w:sz w:val="24"/>
              </w:rPr>
            </w:pPr>
            <w:r w:rsidRPr="00EF1E43">
              <w:rPr>
                <w:sz w:val="24"/>
              </w:rPr>
              <w:t>45746</w:t>
            </w:r>
          </w:p>
        </w:tc>
        <w:tc>
          <w:tcPr>
            <w:tcW w:w="7371" w:type="dxa"/>
            <w:shd w:val="clear" w:color="auto" w:fill="FFFFFF" w:themeFill="background1"/>
            <w:vAlign w:val="center"/>
            <w:hideMark/>
          </w:tcPr>
          <w:p w14:paraId="518B1440" w14:textId="77777777" w:rsidR="00FF0F9B" w:rsidRPr="00EF1E43" w:rsidRDefault="00FF0F9B" w:rsidP="00374F41">
            <w:pPr>
              <w:rPr>
                <w:sz w:val="24"/>
              </w:rPr>
            </w:pPr>
            <w:r w:rsidRPr="00EF1E43">
              <w:rPr>
                <w:sz w:val="24"/>
              </w:rPr>
              <w:t>Kimbrough RD (2007). [Comment] To the Editor. Environ Res, 103(1): 145-6. Comment on ID: 45705.</w:t>
            </w:r>
          </w:p>
        </w:tc>
      </w:tr>
      <w:tr w:rsidR="00EF1E43" w:rsidRPr="00EF1E43" w14:paraId="0DE41A3C" w14:textId="77777777" w:rsidTr="00CC61F1">
        <w:trPr>
          <w:cantSplit/>
        </w:trPr>
        <w:tc>
          <w:tcPr>
            <w:tcW w:w="1555" w:type="dxa"/>
            <w:shd w:val="clear" w:color="auto" w:fill="FFFFFF" w:themeFill="background1"/>
            <w:noWrap/>
            <w:vAlign w:val="center"/>
            <w:hideMark/>
          </w:tcPr>
          <w:p w14:paraId="67AEDC9E" w14:textId="77777777" w:rsidR="00FF0F9B" w:rsidRPr="00EF1E43" w:rsidRDefault="00FF0F9B" w:rsidP="00374F41">
            <w:pPr>
              <w:jc w:val="center"/>
              <w:rPr>
                <w:sz w:val="24"/>
              </w:rPr>
            </w:pPr>
            <w:r w:rsidRPr="00EF1E43">
              <w:rPr>
                <w:sz w:val="24"/>
              </w:rPr>
              <w:t>71650</w:t>
            </w:r>
          </w:p>
        </w:tc>
        <w:tc>
          <w:tcPr>
            <w:tcW w:w="7371" w:type="dxa"/>
            <w:shd w:val="clear" w:color="auto" w:fill="FFFFFF" w:themeFill="background1"/>
            <w:vAlign w:val="center"/>
            <w:hideMark/>
          </w:tcPr>
          <w:p w14:paraId="3A5299D4" w14:textId="77777777" w:rsidR="00FF0F9B" w:rsidRPr="00EF1E43" w:rsidRDefault="00FF0F9B" w:rsidP="00374F41">
            <w:pPr>
              <w:rPr>
                <w:sz w:val="24"/>
              </w:rPr>
            </w:pPr>
            <w:r w:rsidRPr="00EF1E43">
              <w:rPr>
                <w:sz w:val="24"/>
              </w:rPr>
              <w:t>Klassen AC, Smith KC (2011). The enduring and evolving relationship between social class and breast cancer burden: A review of the literature. Cancer Epidemiology, 35: 217-34.</w:t>
            </w:r>
          </w:p>
        </w:tc>
      </w:tr>
      <w:tr w:rsidR="00EF1E43" w:rsidRPr="00EF1E43" w14:paraId="7DB33188" w14:textId="77777777" w:rsidTr="00CC61F1">
        <w:trPr>
          <w:cantSplit/>
        </w:trPr>
        <w:tc>
          <w:tcPr>
            <w:tcW w:w="1555" w:type="dxa"/>
            <w:shd w:val="clear" w:color="auto" w:fill="FFFFFF" w:themeFill="background1"/>
            <w:noWrap/>
            <w:vAlign w:val="center"/>
            <w:hideMark/>
          </w:tcPr>
          <w:p w14:paraId="02CF1677" w14:textId="77777777" w:rsidR="00FF0F9B" w:rsidRPr="00EF1E43" w:rsidRDefault="00FF0F9B" w:rsidP="00374F41">
            <w:pPr>
              <w:jc w:val="center"/>
              <w:rPr>
                <w:sz w:val="24"/>
              </w:rPr>
            </w:pPr>
            <w:r w:rsidRPr="00EF1E43">
              <w:rPr>
                <w:sz w:val="24"/>
              </w:rPr>
              <w:t>35607</w:t>
            </w:r>
          </w:p>
        </w:tc>
        <w:tc>
          <w:tcPr>
            <w:tcW w:w="7371" w:type="dxa"/>
            <w:shd w:val="clear" w:color="auto" w:fill="FFFFFF" w:themeFill="background1"/>
            <w:vAlign w:val="center"/>
            <w:hideMark/>
          </w:tcPr>
          <w:p w14:paraId="5D9D7C37" w14:textId="77777777" w:rsidR="00FF0F9B" w:rsidRPr="00EF1E43" w:rsidRDefault="00FF0F9B" w:rsidP="00374F41">
            <w:pPr>
              <w:rPr>
                <w:sz w:val="24"/>
              </w:rPr>
            </w:pPr>
            <w:r w:rsidRPr="00EF1E43">
              <w:rPr>
                <w:sz w:val="24"/>
              </w:rPr>
              <w:t>Kliukiene J, Tynes T, Martinsen JI, et al (1999). Incidence of breast cancer in a Norwegian cohort of women with potential workplace exposure to 50Hz magnetic fields. Am J Ind Med, 36: 147-154.</w:t>
            </w:r>
          </w:p>
        </w:tc>
      </w:tr>
      <w:tr w:rsidR="00EF1E43" w:rsidRPr="00EF1E43" w14:paraId="36BD503E" w14:textId="77777777" w:rsidTr="00CC61F1">
        <w:trPr>
          <w:cantSplit/>
        </w:trPr>
        <w:tc>
          <w:tcPr>
            <w:tcW w:w="1555" w:type="dxa"/>
            <w:shd w:val="clear" w:color="auto" w:fill="FFFFFF" w:themeFill="background1"/>
            <w:noWrap/>
            <w:vAlign w:val="center"/>
            <w:hideMark/>
          </w:tcPr>
          <w:p w14:paraId="5E80204C" w14:textId="77777777" w:rsidR="00FF0F9B" w:rsidRPr="00EF1E43" w:rsidRDefault="00FF0F9B" w:rsidP="00374F41">
            <w:pPr>
              <w:jc w:val="center"/>
              <w:rPr>
                <w:sz w:val="24"/>
              </w:rPr>
            </w:pPr>
            <w:r w:rsidRPr="00EF1E43">
              <w:rPr>
                <w:sz w:val="24"/>
              </w:rPr>
              <w:t>35608</w:t>
            </w:r>
          </w:p>
        </w:tc>
        <w:tc>
          <w:tcPr>
            <w:tcW w:w="7371" w:type="dxa"/>
            <w:shd w:val="clear" w:color="auto" w:fill="FFFFFF" w:themeFill="background1"/>
            <w:vAlign w:val="center"/>
            <w:hideMark/>
          </w:tcPr>
          <w:p w14:paraId="7463E10B" w14:textId="77777777" w:rsidR="00FF0F9B" w:rsidRPr="00EF1E43" w:rsidRDefault="00FF0F9B" w:rsidP="00374F41">
            <w:pPr>
              <w:rPr>
                <w:sz w:val="24"/>
              </w:rPr>
            </w:pPr>
            <w:r w:rsidRPr="00EF1E43">
              <w:rPr>
                <w:sz w:val="24"/>
              </w:rPr>
              <w:t>Kliukiene J, Tynes T, Andersen A (2003). Follow-up of radio and telegraph operators with exposure to electromagnetic fields and risk of breast cancer. Eur J Cancer Prev, 12: 301-7.</w:t>
            </w:r>
          </w:p>
        </w:tc>
      </w:tr>
      <w:tr w:rsidR="00EF1E43" w:rsidRPr="00EF1E43" w14:paraId="1E8A9414" w14:textId="77777777" w:rsidTr="00CC61F1">
        <w:trPr>
          <w:cantSplit/>
        </w:trPr>
        <w:tc>
          <w:tcPr>
            <w:tcW w:w="1555" w:type="dxa"/>
            <w:shd w:val="clear" w:color="auto" w:fill="FFFFFF" w:themeFill="background1"/>
            <w:noWrap/>
            <w:vAlign w:val="center"/>
            <w:hideMark/>
          </w:tcPr>
          <w:p w14:paraId="17BC2E12" w14:textId="77777777" w:rsidR="00FF0F9B" w:rsidRPr="00EF1E43" w:rsidRDefault="00FF0F9B" w:rsidP="00374F41">
            <w:pPr>
              <w:jc w:val="center"/>
              <w:rPr>
                <w:sz w:val="24"/>
              </w:rPr>
            </w:pPr>
            <w:r w:rsidRPr="00EF1E43">
              <w:rPr>
                <w:sz w:val="24"/>
              </w:rPr>
              <w:lastRenderedPageBreak/>
              <w:t>3731</w:t>
            </w:r>
          </w:p>
        </w:tc>
        <w:tc>
          <w:tcPr>
            <w:tcW w:w="7371" w:type="dxa"/>
            <w:shd w:val="clear" w:color="auto" w:fill="FFFFFF" w:themeFill="background1"/>
            <w:vAlign w:val="center"/>
            <w:hideMark/>
          </w:tcPr>
          <w:p w14:paraId="29403052" w14:textId="77777777" w:rsidR="00FF0F9B" w:rsidRPr="00EF1E43" w:rsidRDefault="00FF0F9B" w:rsidP="00374F41">
            <w:pPr>
              <w:rPr>
                <w:sz w:val="24"/>
              </w:rPr>
            </w:pPr>
            <w:r w:rsidRPr="00EF1E43">
              <w:rPr>
                <w:sz w:val="24"/>
              </w:rPr>
              <w:t>Knox EG (1977). Foods and diseases. Br J Prev Soc Med, 31(2): 71-9.</w:t>
            </w:r>
          </w:p>
        </w:tc>
      </w:tr>
      <w:tr w:rsidR="00EF1E43" w:rsidRPr="00EF1E43" w14:paraId="7FB4C6F5" w14:textId="77777777" w:rsidTr="00CC61F1">
        <w:trPr>
          <w:cantSplit/>
        </w:trPr>
        <w:tc>
          <w:tcPr>
            <w:tcW w:w="1555" w:type="dxa"/>
            <w:shd w:val="clear" w:color="auto" w:fill="FFFFFF" w:themeFill="background1"/>
            <w:noWrap/>
            <w:vAlign w:val="center"/>
            <w:hideMark/>
          </w:tcPr>
          <w:p w14:paraId="455F9862" w14:textId="77777777" w:rsidR="00FF0F9B" w:rsidRPr="00EF1E43" w:rsidRDefault="00FF0F9B" w:rsidP="00374F41">
            <w:pPr>
              <w:jc w:val="center"/>
              <w:rPr>
                <w:sz w:val="24"/>
              </w:rPr>
            </w:pPr>
            <w:r w:rsidRPr="00EF1E43">
              <w:rPr>
                <w:sz w:val="24"/>
              </w:rPr>
              <w:t>71651</w:t>
            </w:r>
          </w:p>
        </w:tc>
        <w:tc>
          <w:tcPr>
            <w:tcW w:w="7371" w:type="dxa"/>
            <w:shd w:val="clear" w:color="auto" w:fill="FFFFFF" w:themeFill="background1"/>
            <w:vAlign w:val="center"/>
            <w:hideMark/>
          </w:tcPr>
          <w:p w14:paraId="7F65CEA0" w14:textId="77777777" w:rsidR="00FF0F9B" w:rsidRPr="00EF1E43" w:rsidRDefault="00FF0F9B" w:rsidP="00374F41">
            <w:pPr>
              <w:rPr>
                <w:sz w:val="24"/>
              </w:rPr>
            </w:pPr>
            <w:r w:rsidRPr="00EF1E43">
              <w:rPr>
                <w:sz w:val="24"/>
              </w:rPr>
              <w:t>Kobayashi S, Sugiura H, Ando Y, et al (2012). Reproductive history and breast cancer risk. Breast Cancer, 19: 302-8.</w:t>
            </w:r>
          </w:p>
        </w:tc>
      </w:tr>
      <w:tr w:rsidR="00EF1E43" w:rsidRPr="00EF1E43" w14:paraId="7CFF778B" w14:textId="77777777" w:rsidTr="00CC61F1">
        <w:trPr>
          <w:cantSplit/>
        </w:trPr>
        <w:tc>
          <w:tcPr>
            <w:tcW w:w="1555" w:type="dxa"/>
            <w:shd w:val="clear" w:color="auto" w:fill="FFFFFF" w:themeFill="background1"/>
            <w:noWrap/>
            <w:vAlign w:val="center"/>
            <w:hideMark/>
          </w:tcPr>
          <w:p w14:paraId="5541A881" w14:textId="77777777" w:rsidR="00FF0F9B" w:rsidRPr="00EF1E43" w:rsidRDefault="00FF0F9B" w:rsidP="00374F41">
            <w:pPr>
              <w:jc w:val="center"/>
              <w:rPr>
                <w:sz w:val="24"/>
              </w:rPr>
            </w:pPr>
            <w:r w:rsidRPr="00EF1E43">
              <w:rPr>
                <w:sz w:val="24"/>
              </w:rPr>
              <w:t>71652</w:t>
            </w:r>
          </w:p>
        </w:tc>
        <w:tc>
          <w:tcPr>
            <w:tcW w:w="7371" w:type="dxa"/>
            <w:shd w:val="clear" w:color="auto" w:fill="FFFFFF" w:themeFill="background1"/>
            <w:vAlign w:val="center"/>
            <w:hideMark/>
          </w:tcPr>
          <w:p w14:paraId="52EA2E4F" w14:textId="77777777" w:rsidR="00FF0F9B" w:rsidRPr="00EF1E43" w:rsidRDefault="00FF0F9B" w:rsidP="00374F41">
            <w:pPr>
              <w:rPr>
                <w:sz w:val="24"/>
              </w:rPr>
            </w:pPr>
            <w:r w:rsidRPr="00EF1E43">
              <w:rPr>
                <w:sz w:val="24"/>
              </w:rPr>
              <w:t>Kotsopoulos J, Narod SA (2012). Androgens and breast cancer. Steroids, 77: 1-9.</w:t>
            </w:r>
          </w:p>
        </w:tc>
      </w:tr>
      <w:tr w:rsidR="00EF1E43" w:rsidRPr="00EF1E43" w14:paraId="37B20A45" w14:textId="77777777" w:rsidTr="00CC61F1">
        <w:trPr>
          <w:cantSplit/>
        </w:trPr>
        <w:tc>
          <w:tcPr>
            <w:tcW w:w="1555" w:type="dxa"/>
            <w:shd w:val="clear" w:color="auto" w:fill="FFFFFF" w:themeFill="background1"/>
            <w:noWrap/>
            <w:vAlign w:val="center"/>
            <w:hideMark/>
          </w:tcPr>
          <w:p w14:paraId="6F9A1072" w14:textId="77777777" w:rsidR="00FF0F9B" w:rsidRPr="00EF1E43" w:rsidRDefault="00FF0F9B" w:rsidP="00374F41">
            <w:pPr>
              <w:jc w:val="center"/>
              <w:rPr>
                <w:sz w:val="24"/>
              </w:rPr>
            </w:pPr>
            <w:r w:rsidRPr="00EF1E43">
              <w:rPr>
                <w:sz w:val="24"/>
              </w:rPr>
              <w:t>38263</w:t>
            </w:r>
          </w:p>
        </w:tc>
        <w:tc>
          <w:tcPr>
            <w:tcW w:w="7371" w:type="dxa"/>
            <w:shd w:val="clear" w:color="auto" w:fill="FFFFFF" w:themeFill="background1"/>
            <w:vAlign w:val="center"/>
            <w:hideMark/>
          </w:tcPr>
          <w:p w14:paraId="0475D67C" w14:textId="77777777" w:rsidR="00FF0F9B" w:rsidRPr="00EF1E43" w:rsidRDefault="00FF0F9B" w:rsidP="00374F41">
            <w:pPr>
              <w:rPr>
                <w:sz w:val="24"/>
              </w:rPr>
            </w:pPr>
            <w:r w:rsidRPr="00EF1E43">
              <w:rPr>
                <w:sz w:val="24"/>
              </w:rPr>
              <w:t>Krause W (2004). Male breast cancer - an andrological disease: risk factors and diagnosis. Andrologia, 36: 346-354.</w:t>
            </w:r>
          </w:p>
        </w:tc>
      </w:tr>
      <w:tr w:rsidR="00EF1E43" w:rsidRPr="00EF1E43" w14:paraId="4F19B65B" w14:textId="77777777" w:rsidTr="00CC61F1">
        <w:trPr>
          <w:cantSplit/>
        </w:trPr>
        <w:tc>
          <w:tcPr>
            <w:tcW w:w="1555" w:type="dxa"/>
            <w:shd w:val="clear" w:color="auto" w:fill="FFFFFF" w:themeFill="background1"/>
            <w:noWrap/>
            <w:vAlign w:val="center"/>
            <w:hideMark/>
          </w:tcPr>
          <w:p w14:paraId="4440CDE3" w14:textId="77777777" w:rsidR="00FF0F9B" w:rsidRPr="00EF1E43" w:rsidRDefault="00FF0F9B" w:rsidP="00374F41">
            <w:pPr>
              <w:jc w:val="center"/>
              <w:rPr>
                <w:sz w:val="24"/>
              </w:rPr>
            </w:pPr>
            <w:r w:rsidRPr="00EF1E43">
              <w:rPr>
                <w:sz w:val="24"/>
              </w:rPr>
              <w:t>4724</w:t>
            </w:r>
          </w:p>
        </w:tc>
        <w:tc>
          <w:tcPr>
            <w:tcW w:w="7371" w:type="dxa"/>
            <w:shd w:val="clear" w:color="auto" w:fill="FFFFFF" w:themeFill="background1"/>
            <w:vAlign w:val="center"/>
            <w:hideMark/>
          </w:tcPr>
          <w:p w14:paraId="0527489F" w14:textId="77777777" w:rsidR="00FF0F9B" w:rsidRPr="00EF1E43" w:rsidRDefault="00FF0F9B" w:rsidP="00374F41">
            <w:pPr>
              <w:rPr>
                <w:sz w:val="24"/>
              </w:rPr>
            </w:pPr>
            <w:r w:rsidRPr="00EF1E43">
              <w:rPr>
                <w:sz w:val="24"/>
              </w:rPr>
              <w:t>Krieger N, Wolff MS, Hiatt RA, et al (1994). Breast cancer and serum organochlorines: a prospective study among white, black, and Asian women. J  Natl Cancer Inst, 86(8): 589-99.</w:t>
            </w:r>
          </w:p>
        </w:tc>
      </w:tr>
      <w:tr w:rsidR="00EF1E43" w:rsidRPr="00EF1E43" w14:paraId="772E130D" w14:textId="77777777" w:rsidTr="00CC61F1">
        <w:trPr>
          <w:cantSplit/>
        </w:trPr>
        <w:tc>
          <w:tcPr>
            <w:tcW w:w="1555" w:type="dxa"/>
            <w:shd w:val="clear" w:color="auto" w:fill="FFFFFF" w:themeFill="background1"/>
            <w:noWrap/>
            <w:vAlign w:val="center"/>
            <w:hideMark/>
          </w:tcPr>
          <w:p w14:paraId="28759C8C" w14:textId="77777777" w:rsidR="00FF0F9B" w:rsidRPr="00EF1E43" w:rsidRDefault="00FF0F9B" w:rsidP="00374F41">
            <w:pPr>
              <w:jc w:val="center"/>
              <w:rPr>
                <w:sz w:val="24"/>
              </w:rPr>
            </w:pPr>
            <w:r w:rsidRPr="00EF1E43">
              <w:rPr>
                <w:sz w:val="24"/>
              </w:rPr>
              <w:t>35561</w:t>
            </w:r>
          </w:p>
        </w:tc>
        <w:tc>
          <w:tcPr>
            <w:tcW w:w="7371" w:type="dxa"/>
            <w:shd w:val="clear" w:color="auto" w:fill="FFFFFF" w:themeFill="background1"/>
            <w:vAlign w:val="center"/>
            <w:hideMark/>
          </w:tcPr>
          <w:p w14:paraId="43037862" w14:textId="77777777" w:rsidR="00FF0F9B" w:rsidRPr="00EF1E43" w:rsidRDefault="00FF0F9B" w:rsidP="00374F41">
            <w:pPr>
              <w:rPr>
                <w:sz w:val="24"/>
              </w:rPr>
            </w:pPr>
            <w:r w:rsidRPr="00EF1E43">
              <w:rPr>
                <w:sz w:val="24"/>
              </w:rPr>
              <w:t>Kropp S, Becher H, Nieters A, et al (2001). Low-to-Moderate alcohol consumption and breast cancer risk by age 50 years among women in Germany. Am J  Epidemiol, 154(7): 624-34.</w:t>
            </w:r>
          </w:p>
        </w:tc>
      </w:tr>
      <w:tr w:rsidR="00EF1E43" w:rsidRPr="00EF1E43" w14:paraId="1720C39F" w14:textId="77777777" w:rsidTr="00CC61F1">
        <w:trPr>
          <w:cantSplit/>
        </w:trPr>
        <w:tc>
          <w:tcPr>
            <w:tcW w:w="1555" w:type="dxa"/>
            <w:shd w:val="clear" w:color="auto" w:fill="FFFFFF" w:themeFill="background1"/>
            <w:noWrap/>
            <w:vAlign w:val="center"/>
            <w:hideMark/>
          </w:tcPr>
          <w:p w14:paraId="3D9DD68E" w14:textId="77777777" w:rsidR="00FF0F9B" w:rsidRPr="00EF1E43" w:rsidRDefault="00FF0F9B" w:rsidP="00374F41">
            <w:pPr>
              <w:jc w:val="center"/>
              <w:rPr>
                <w:sz w:val="24"/>
              </w:rPr>
            </w:pPr>
            <w:r w:rsidRPr="00EF1E43">
              <w:rPr>
                <w:sz w:val="24"/>
              </w:rPr>
              <w:t>35681</w:t>
            </w:r>
          </w:p>
        </w:tc>
        <w:tc>
          <w:tcPr>
            <w:tcW w:w="7371" w:type="dxa"/>
            <w:shd w:val="clear" w:color="auto" w:fill="FFFFFF" w:themeFill="background1"/>
            <w:vAlign w:val="center"/>
            <w:hideMark/>
          </w:tcPr>
          <w:p w14:paraId="6B3CD0BD" w14:textId="77777777" w:rsidR="00FF0F9B" w:rsidRPr="00EF1E43" w:rsidRDefault="00FF0F9B" w:rsidP="00374F41">
            <w:pPr>
              <w:rPr>
                <w:sz w:val="24"/>
              </w:rPr>
            </w:pPr>
            <w:r w:rsidRPr="00EF1E43">
              <w:rPr>
                <w:sz w:val="24"/>
              </w:rPr>
              <w:t>Kropp S, Chang-Claude J (2002). Active and passive smoking and risk of breast cancer by age 50 years among German women. Am J  Epidemiol, 156: 616-26.</w:t>
            </w:r>
          </w:p>
        </w:tc>
      </w:tr>
      <w:tr w:rsidR="00EF1E43" w:rsidRPr="00EF1E43" w14:paraId="50738125" w14:textId="77777777" w:rsidTr="00CC61F1">
        <w:trPr>
          <w:cantSplit/>
        </w:trPr>
        <w:tc>
          <w:tcPr>
            <w:tcW w:w="1555" w:type="dxa"/>
            <w:shd w:val="clear" w:color="auto" w:fill="FFFFFF" w:themeFill="background1"/>
            <w:noWrap/>
            <w:vAlign w:val="center"/>
            <w:hideMark/>
          </w:tcPr>
          <w:p w14:paraId="5EFD6009" w14:textId="77777777" w:rsidR="00FF0F9B" w:rsidRPr="00EF1E43" w:rsidRDefault="00FF0F9B" w:rsidP="00374F41">
            <w:pPr>
              <w:jc w:val="center"/>
              <w:rPr>
                <w:sz w:val="24"/>
              </w:rPr>
            </w:pPr>
            <w:r w:rsidRPr="00EF1E43">
              <w:rPr>
                <w:sz w:val="24"/>
              </w:rPr>
              <w:t>37174</w:t>
            </w:r>
          </w:p>
        </w:tc>
        <w:tc>
          <w:tcPr>
            <w:tcW w:w="7371" w:type="dxa"/>
            <w:shd w:val="clear" w:color="auto" w:fill="FFFFFF" w:themeFill="background1"/>
            <w:vAlign w:val="center"/>
            <w:hideMark/>
          </w:tcPr>
          <w:p w14:paraId="395A18BB" w14:textId="77777777" w:rsidR="00FF0F9B" w:rsidRPr="00EF1E43" w:rsidRDefault="00FF0F9B" w:rsidP="00374F41">
            <w:pPr>
              <w:rPr>
                <w:sz w:val="24"/>
              </w:rPr>
            </w:pPr>
            <w:r w:rsidRPr="00EF1E43">
              <w:rPr>
                <w:sz w:val="24"/>
              </w:rPr>
              <w:t>Kruk J, Aboul-Enein HY (2003). Occupational physical activity and the risk of breast cancer. Cancer Detection &amp; Prevention, 27: 187-92.</w:t>
            </w:r>
          </w:p>
        </w:tc>
      </w:tr>
      <w:tr w:rsidR="00EF1E43" w:rsidRPr="00EF1E43" w14:paraId="332D454F" w14:textId="77777777" w:rsidTr="00CC61F1">
        <w:trPr>
          <w:cantSplit/>
        </w:trPr>
        <w:tc>
          <w:tcPr>
            <w:tcW w:w="1555" w:type="dxa"/>
            <w:shd w:val="clear" w:color="auto" w:fill="FFFFFF" w:themeFill="background1"/>
            <w:noWrap/>
            <w:vAlign w:val="center"/>
            <w:hideMark/>
          </w:tcPr>
          <w:p w14:paraId="7A2E3FA8" w14:textId="77777777" w:rsidR="00FF0F9B" w:rsidRPr="00EF1E43" w:rsidRDefault="00FF0F9B" w:rsidP="00374F41">
            <w:pPr>
              <w:jc w:val="center"/>
              <w:rPr>
                <w:sz w:val="24"/>
              </w:rPr>
            </w:pPr>
            <w:r w:rsidRPr="00EF1E43">
              <w:rPr>
                <w:sz w:val="24"/>
              </w:rPr>
              <w:t>71539</w:t>
            </w:r>
          </w:p>
        </w:tc>
        <w:tc>
          <w:tcPr>
            <w:tcW w:w="7371" w:type="dxa"/>
            <w:shd w:val="clear" w:color="auto" w:fill="FFFFFF" w:themeFill="background1"/>
            <w:vAlign w:val="center"/>
            <w:hideMark/>
          </w:tcPr>
          <w:p w14:paraId="5B4CFA5A" w14:textId="77777777" w:rsidR="00FF0F9B" w:rsidRPr="00EF1E43" w:rsidRDefault="00FF0F9B" w:rsidP="00374F41">
            <w:pPr>
              <w:rPr>
                <w:sz w:val="24"/>
              </w:rPr>
            </w:pPr>
            <w:r w:rsidRPr="00EF1E43">
              <w:rPr>
                <w:sz w:val="24"/>
              </w:rPr>
              <w:t>Kruk J, Czerniak U (2013). Physical activity and its relation to cancer risk: updating the evidence. Asian Pac J Cancer Prev, 14(7): 3993-4003.</w:t>
            </w:r>
          </w:p>
        </w:tc>
      </w:tr>
      <w:tr w:rsidR="00EF1E43" w:rsidRPr="00EF1E43" w14:paraId="651D5C36" w14:textId="77777777" w:rsidTr="00CC61F1">
        <w:trPr>
          <w:cantSplit/>
        </w:trPr>
        <w:tc>
          <w:tcPr>
            <w:tcW w:w="1555" w:type="dxa"/>
            <w:shd w:val="clear" w:color="auto" w:fill="FFFFFF" w:themeFill="background1"/>
            <w:noWrap/>
            <w:vAlign w:val="center"/>
            <w:hideMark/>
          </w:tcPr>
          <w:p w14:paraId="6AC8AFC7" w14:textId="77777777" w:rsidR="00FF0F9B" w:rsidRPr="00EF1E43" w:rsidRDefault="00FF0F9B" w:rsidP="00374F41">
            <w:pPr>
              <w:jc w:val="center"/>
              <w:rPr>
                <w:sz w:val="24"/>
              </w:rPr>
            </w:pPr>
            <w:r w:rsidRPr="00EF1E43">
              <w:rPr>
                <w:sz w:val="24"/>
              </w:rPr>
              <w:t>9226</w:t>
            </w:r>
          </w:p>
        </w:tc>
        <w:tc>
          <w:tcPr>
            <w:tcW w:w="7371" w:type="dxa"/>
            <w:shd w:val="clear" w:color="auto" w:fill="FFFFFF" w:themeFill="background1"/>
            <w:vAlign w:val="center"/>
            <w:hideMark/>
          </w:tcPr>
          <w:p w14:paraId="300C5B75" w14:textId="77777777" w:rsidR="00FF0F9B" w:rsidRPr="00EF1E43" w:rsidRDefault="00FF0F9B" w:rsidP="00374F41">
            <w:pPr>
              <w:rPr>
                <w:sz w:val="24"/>
              </w:rPr>
            </w:pPr>
            <w:r w:rsidRPr="00EF1E43">
              <w:rPr>
                <w:sz w:val="24"/>
              </w:rPr>
              <w:t>Kumar NB, Lyman GH, Allen K, et al (1995). Timing of weight gain and breast cancer risk. Cancer, 76: 243-9.</w:t>
            </w:r>
          </w:p>
        </w:tc>
      </w:tr>
      <w:tr w:rsidR="00EF1E43" w:rsidRPr="00EF1E43" w14:paraId="39C4D924" w14:textId="77777777" w:rsidTr="00CC61F1">
        <w:trPr>
          <w:cantSplit/>
        </w:trPr>
        <w:tc>
          <w:tcPr>
            <w:tcW w:w="1555" w:type="dxa"/>
            <w:shd w:val="clear" w:color="auto" w:fill="FFFFFF" w:themeFill="background1"/>
            <w:noWrap/>
            <w:vAlign w:val="center"/>
            <w:hideMark/>
          </w:tcPr>
          <w:p w14:paraId="3267731D" w14:textId="77777777" w:rsidR="00FF0F9B" w:rsidRPr="00EF1E43" w:rsidRDefault="00FF0F9B" w:rsidP="00374F41">
            <w:pPr>
              <w:jc w:val="center"/>
              <w:rPr>
                <w:sz w:val="24"/>
              </w:rPr>
            </w:pPr>
            <w:r w:rsidRPr="00EF1E43">
              <w:rPr>
                <w:sz w:val="24"/>
              </w:rPr>
              <w:t>35647</w:t>
            </w:r>
          </w:p>
        </w:tc>
        <w:tc>
          <w:tcPr>
            <w:tcW w:w="7371" w:type="dxa"/>
            <w:shd w:val="clear" w:color="auto" w:fill="FFFFFF" w:themeFill="background1"/>
            <w:vAlign w:val="center"/>
            <w:hideMark/>
          </w:tcPr>
          <w:p w14:paraId="45B7DDCD" w14:textId="77777777" w:rsidR="00FF0F9B" w:rsidRPr="00EF1E43" w:rsidRDefault="00FF0F9B" w:rsidP="00374F41">
            <w:pPr>
              <w:rPr>
                <w:sz w:val="24"/>
              </w:rPr>
            </w:pPr>
            <w:r w:rsidRPr="00EF1E43">
              <w:rPr>
                <w:sz w:val="24"/>
              </w:rPr>
              <w:t>Kumle M, Weiderpass E, Braaten T, et al (2002). Use of oral contraceptives and breast cancer risk: the Norwegian-Swedish Women's Lifestyle and Health Cohort Study. Cancer Epidemiology, Biomarkers &amp; Prevention, 11: 1375-81.</w:t>
            </w:r>
          </w:p>
        </w:tc>
      </w:tr>
      <w:tr w:rsidR="00EF1E43" w:rsidRPr="00EF1E43" w14:paraId="65A6EE48" w14:textId="77777777" w:rsidTr="00CC61F1">
        <w:trPr>
          <w:cantSplit/>
        </w:trPr>
        <w:tc>
          <w:tcPr>
            <w:tcW w:w="1555" w:type="dxa"/>
            <w:shd w:val="clear" w:color="auto" w:fill="FFFFFF" w:themeFill="background1"/>
            <w:noWrap/>
            <w:vAlign w:val="center"/>
            <w:hideMark/>
          </w:tcPr>
          <w:p w14:paraId="4FCB017C" w14:textId="77777777" w:rsidR="00FF0F9B" w:rsidRPr="00EF1E43" w:rsidRDefault="00FF0F9B" w:rsidP="00374F41">
            <w:pPr>
              <w:jc w:val="center"/>
              <w:rPr>
                <w:sz w:val="24"/>
              </w:rPr>
            </w:pPr>
            <w:r w:rsidRPr="00EF1E43">
              <w:rPr>
                <w:sz w:val="24"/>
              </w:rPr>
              <w:t>35653</w:t>
            </w:r>
          </w:p>
        </w:tc>
        <w:tc>
          <w:tcPr>
            <w:tcW w:w="7371" w:type="dxa"/>
            <w:shd w:val="clear" w:color="auto" w:fill="FFFFFF" w:themeFill="background1"/>
            <w:vAlign w:val="center"/>
            <w:hideMark/>
          </w:tcPr>
          <w:p w14:paraId="3A04CFDC" w14:textId="77777777" w:rsidR="00FF0F9B" w:rsidRPr="00EF1E43" w:rsidRDefault="00FF0F9B" w:rsidP="00374F41">
            <w:pPr>
              <w:rPr>
                <w:sz w:val="24"/>
              </w:rPr>
            </w:pPr>
            <w:r w:rsidRPr="00EF1E43">
              <w:rPr>
                <w:sz w:val="24"/>
              </w:rPr>
              <w:t>Kuper H, Ye W, Weiderpass E, et al (2000). Alcohol and breast cancer risk: the alcoholism paradox. British Journal of Cancer, 83(7): 949-51.</w:t>
            </w:r>
          </w:p>
        </w:tc>
      </w:tr>
      <w:tr w:rsidR="00EF1E43" w:rsidRPr="00EF1E43" w14:paraId="0173AE95" w14:textId="77777777" w:rsidTr="00CC61F1">
        <w:trPr>
          <w:cantSplit/>
        </w:trPr>
        <w:tc>
          <w:tcPr>
            <w:tcW w:w="1555" w:type="dxa"/>
            <w:shd w:val="clear" w:color="auto" w:fill="FFFFFF" w:themeFill="background1"/>
            <w:noWrap/>
            <w:vAlign w:val="center"/>
            <w:hideMark/>
          </w:tcPr>
          <w:p w14:paraId="5010254F" w14:textId="77777777" w:rsidR="00FF0F9B" w:rsidRPr="00EF1E43" w:rsidRDefault="00FF0F9B" w:rsidP="00374F41">
            <w:pPr>
              <w:jc w:val="center"/>
              <w:rPr>
                <w:sz w:val="24"/>
              </w:rPr>
            </w:pPr>
            <w:r w:rsidRPr="00EF1E43">
              <w:rPr>
                <w:sz w:val="24"/>
              </w:rPr>
              <w:t>80731</w:t>
            </w:r>
          </w:p>
        </w:tc>
        <w:tc>
          <w:tcPr>
            <w:tcW w:w="7371" w:type="dxa"/>
            <w:shd w:val="clear" w:color="auto" w:fill="FFFFFF" w:themeFill="background1"/>
            <w:vAlign w:val="center"/>
            <w:hideMark/>
          </w:tcPr>
          <w:p w14:paraId="167429C9" w14:textId="77777777" w:rsidR="00FF0F9B" w:rsidRPr="00EF1E43" w:rsidRDefault="00FF0F9B" w:rsidP="00374F41">
            <w:pPr>
              <w:rPr>
                <w:sz w:val="24"/>
              </w:rPr>
            </w:pPr>
            <w:r w:rsidRPr="00EF1E43">
              <w:rPr>
                <w:sz w:val="24"/>
              </w:rPr>
              <w:t>Kuznetsova IS, Labutina EV, Hunter N (2016). Radiation risks of leukemia, lymphoma and multiple myeloma incidence in the Mayak cohort: 1948-2004. PLoS One, 11(9): e0162710.</w:t>
            </w:r>
          </w:p>
        </w:tc>
      </w:tr>
      <w:tr w:rsidR="00EF1E43" w:rsidRPr="00EF1E43" w14:paraId="6DFECC6A" w14:textId="77777777" w:rsidTr="00CC61F1">
        <w:trPr>
          <w:cantSplit/>
        </w:trPr>
        <w:tc>
          <w:tcPr>
            <w:tcW w:w="1555" w:type="dxa"/>
            <w:shd w:val="clear" w:color="auto" w:fill="FFFFFF" w:themeFill="background1"/>
            <w:noWrap/>
            <w:vAlign w:val="center"/>
            <w:hideMark/>
          </w:tcPr>
          <w:p w14:paraId="4DFD4433" w14:textId="77777777" w:rsidR="00FF0F9B" w:rsidRPr="00EF1E43" w:rsidRDefault="00FF0F9B" w:rsidP="00374F41">
            <w:pPr>
              <w:jc w:val="center"/>
              <w:rPr>
                <w:sz w:val="24"/>
              </w:rPr>
            </w:pPr>
            <w:r w:rsidRPr="00EF1E43">
              <w:rPr>
                <w:sz w:val="24"/>
              </w:rPr>
              <w:t>87306</w:t>
            </w:r>
          </w:p>
        </w:tc>
        <w:tc>
          <w:tcPr>
            <w:tcW w:w="7371" w:type="dxa"/>
            <w:shd w:val="clear" w:color="auto" w:fill="FFFFFF" w:themeFill="background1"/>
            <w:vAlign w:val="center"/>
            <w:hideMark/>
          </w:tcPr>
          <w:p w14:paraId="082E299B" w14:textId="77777777" w:rsidR="00FF0F9B" w:rsidRPr="00EF1E43" w:rsidRDefault="00FF0F9B" w:rsidP="00374F41">
            <w:pPr>
              <w:rPr>
                <w:sz w:val="24"/>
              </w:rPr>
            </w:pPr>
            <w:r w:rsidRPr="00EF1E43">
              <w:rPr>
                <w:sz w:val="24"/>
              </w:rPr>
              <w:t>Kwan ML, Bernard PS, Kroenke CH, et al (2015). Breastfeeding, PAM50 tumor subtype, and breast cancer prognosis and survival. J Natl Cancer Inst, 107(7): djv087.</w:t>
            </w:r>
          </w:p>
        </w:tc>
      </w:tr>
      <w:tr w:rsidR="00EF1E43" w:rsidRPr="00EF1E43" w14:paraId="202BA02A" w14:textId="77777777" w:rsidTr="00CC61F1">
        <w:trPr>
          <w:cantSplit/>
        </w:trPr>
        <w:tc>
          <w:tcPr>
            <w:tcW w:w="1555" w:type="dxa"/>
            <w:shd w:val="clear" w:color="auto" w:fill="FFFFFF" w:themeFill="background1"/>
            <w:noWrap/>
            <w:vAlign w:val="center"/>
            <w:hideMark/>
          </w:tcPr>
          <w:p w14:paraId="62F4E5AF" w14:textId="77777777" w:rsidR="00FF0F9B" w:rsidRPr="00EF1E43" w:rsidRDefault="00FF0F9B" w:rsidP="00374F41">
            <w:pPr>
              <w:jc w:val="center"/>
              <w:rPr>
                <w:sz w:val="24"/>
              </w:rPr>
            </w:pPr>
            <w:r w:rsidRPr="00EF1E43">
              <w:rPr>
                <w:sz w:val="24"/>
              </w:rPr>
              <w:t>35619</w:t>
            </w:r>
          </w:p>
        </w:tc>
        <w:tc>
          <w:tcPr>
            <w:tcW w:w="7371" w:type="dxa"/>
            <w:shd w:val="clear" w:color="auto" w:fill="FFFFFF" w:themeFill="background1"/>
            <w:vAlign w:val="center"/>
            <w:hideMark/>
          </w:tcPr>
          <w:p w14:paraId="681C490F" w14:textId="77777777" w:rsidR="00FF0F9B" w:rsidRPr="00EF1E43" w:rsidRDefault="00FF0F9B" w:rsidP="00374F41">
            <w:pPr>
              <w:rPr>
                <w:sz w:val="24"/>
              </w:rPr>
            </w:pPr>
            <w:r w:rsidRPr="00EF1E43">
              <w:rPr>
                <w:sz w:val="24"/>
              </w:rPr>
              <w:t>La Vecchia C (2004). Estrogen and combined estrogen-progestogen therapy in the menopause and breast cancer. The Breast, 13: 515-8.</w:t>
            </w:r>
          </w:p>
        </w:tc>
      </w:tr>
      <w:tr w:rsidR="00EF1E43" w:rsidRPr="00EF1E43" w14:paraId="4C22F81D" w14:textId="77777777" w:rsidTr="00CC61F1">
        <w:trPr>
          <w:cantSplit/>
        </w:trPr>
        <w:tc>
          <w:tcPr>
            <w:tcW w:w="1555" w:type="dxa"/>
            <w:shd w:val="clear" w:color="auto" w:fill="FFFFFF" w:themeFill="background1"/>
            <w:noWrap/>
            <w:vAlign w:val="center"/>
            <w:hideMark/>
          </w:tcPr>
          <w:p w14:paraId="44AC2B52" w14:textId="77777777" w:rsidR="00FF0F9B" w:rsidRPr="00EF1E43" w:rsidRDefault="00FF0F9B" w:rsidP="00374F41">
            <w:pPr>
              <w:jc w:val="center"/>
              <w:rPr>
                <w:sz w:val="24"/>
              </w:rPr>
            </w:pPr>
            <w:r w:rsidRPr="00EF1E43">
              <w:rPr>
                <w:sz w:val="24"/>
              </w:rPr>
              <w:t>71544</w:t>
            </w:r>
          </w:p>
        </w:tc>
        <w:tc>
          <w:tcPr>
            <w:tcW w:w="7371" w:type="dxa"/>
            <w:shd w:val="clear" w:color="auto" w:fill="FFFFFF" w:themeFill="background1"/>
            <w:vAlign w:val="center"/>
            <w:hideMark/>
          </w:tcPr>
          <w:p w14:paraId="1C06CE3F" w14:textId="77777777" w:rsidR="00FF0F9B" w:rsidRPr="00EF1E43" w:rsidRDefault="00FF0F9B" w:rsidP="00374F41">
            <w:pPr>
              <w:rPr>
                <w:sz w:val="24"/>
              </w:rPr>
            </w:pPr>
            <w:r w:rsidRPr="00EF1E43">
              <w:rPr>
                <w:sz w:val="24"/>
              </w:rPr>
              <w:t>La Vecchia C, Giordano SH, Hortobagyi GN, et al (2011). Overweight, obesity, diabetes, and risk of breast cancer: interlocking pieces of the puzzle. The Oncologist, 16: 726-9.</w:t>
            </w:r>
          </w:p>
        </w:tc>
      </w:tr>
      <w:tr w:rsidR="00EF1E43" w:rsidRPr="00EF1E43" w14:paraId="7A2A6168" w14:textId="77777777" w:rsidTr="00CC61F1">
        <w:trPr>
          <w:cantSplit/>
        </w:trPr>
        <w:tc>
          <w:tcPr>
            <w:tcW w:w="1555" w:type="dxa"/>
            <w:shd w:val="clear" w:color="auto" w:fill="FFFFFF" w:themeFill="background1"/>
            <w:noWrap/>
            <w:vAlign w:val="center"/>
            <w:hideMark/>
          </w:tcPr>
          <w:p w14:paraId="74955755" w14:textId="77777777" w:rsidR="00FF0F9B" w:rsidRPr="00EF1E43" w:rsidRDefault="00FF0F9B" w:rsidP="00374F41">
            <w:pPr>
              <w:jc w:val="center"/>
              <w:rPr>
                <w:sz w:val="24"/>
              </w:rPr>
            </w:pPr>
            <w:r w:rsidRPr="00EF1E43">
              <w:rPr>
                <w:sz w:val="24"/>
              </w:rPr>
              <w:t>9227</w:t>
            </w:r>
          </w:p>
        </w:tc>
        <w:tc>
          <w:tcPr>
            <w:tcW w:w="7371" w:type="dxa"/>
            <w:shd w:val="clear" w:color="auto" w:fill="FFFFFF" w:themeFill="background1"/>
            <w:vAlign w:val="center"/>
            <w:hideMark/>
          </w:tcPr>
          <w:p w14:paraId="2044602D" w14:textId="77777777" w:rsidR="00FF0F9B" w:rsidRPr="00EF1E43" w:rsidRDefault="00FF0F9B" w:rsidP="00374F41">
            <w:pPr>
              <w:rPr>
                <w:sz w:val="24"/>
              </w:rPr>
            </w:pPr>
            <w:r w:rsidRPr="00EF1E43">
              <w:rPr>
                <w:sz w:val="24"/>
              </w:rPr>
              <w:t>La Vecchia C, Negri E, Franceschi S, et al (1995). Hormone replacement treatment and breast cancer risk: a cooperative Italian study. Br J Cancer, 72: 244-8.</w:t>
            </w:r>
          </w:p>
        </w:tc>
      </w:tr>
      <w:tr w:rsidR="00EF1E43" w:rsidRPr="00EF1E43" w14:paraId="4BDD96A3" w14:textId="77777777" w:rsidTr="00CC61F1">
        <w:trPr>
          <w:cantSplit/>
        </w:trPr>
        <w:tc>
          <w:tcPr>
            <w:tcW w:w="1555" w:type="dxa"/>
            <w:shd w:val="clear" w:color="auto" w:fill="FFFFFF" w:themeFill="background1"/>
            <w:noWrap/>
            <w:vAlign w:val="center"/>
            <w:hideMark/>
          </w:tcPr>
          <w:p w14:paraId="46E7C26D" w14:textId="77777777" w:rsidR="00FF0F9B" w:rsidRPr="00EF1E43" w:rsidRDefault="00FF0F9B" w:rsidP="00374F41">
            <w:pPr>
              <w:jc w:val="center"/>
              <w:rPr>
                <w:sz w:val="24"/>
              </w:rPr>
            </w:pPr>
            <w:r w:rsidRPr="00EF1E43">
              <w:rPr>
                <w:sz w:val="24"/>
              </w:rPr>
              <w:lastRenderedPageBreak/>
              <w:t>37102</w:t>
            </w:r>
          </w:p>
        </w:tc>
        <w:tc>
          <w:tcPr>
            <w:tcW w:w="7371" w:type="dxa"/>
            <w:shd w:val="clear" w:color="auto" w:fill="FFFFFF" w:themeFill="background1"/>
            <w:vAlign w:val="center"/>
            <w:hideMark/>
          </w:tcPr>
          <w:p w14:paraId="441A9BF3" w14:textId="77777777" w:rsidR="00FF0F9B" w:rsidRPr="00EF1E43" w:rsidRDefault="00FF0F9B" w:rsidP="00374F41">
            <w:pPr>
              <w:rPr>
                <w:sz w:val="24"/>
              </w:rPr>
            </w:pPr>
            <w:r w:rsidRPr="00EF1E43">
              <w:rPr>
                <w:sz w:val="24"/>
              </w:rPr>
              <w:t>La Vecchia C, Negri E, Franceschi S, et al (1997). Body mass index and post-menopausal breast cancer: an age-specific analysis. British Journal of Cancer, 75(3): 441-4.</w:t>
            </w:r>
          </w:p>
        </w:tc>
      </w:tr>
      <w:tr w:rsidR="00EF1E43" w:rsidRPr="00EF1E43" w14:paraId="312D44B8" w14:textId="77777777" w:rsidTr="00CC61F1">
        <w:trPr>
          <w:cantSplit/>
        </w:trPr>
        <w:tc>
          <w:tcPr>
            <w:tcW w:w="1555" w:type="dxa"/>
            <w:shd w:val="clear" w:color="auto" w:fill="FFFFFF" w:themeFill="background1"/>
            <w:noWrap/>
            <w:vAlign w:val="center"/>
            <w:hideMark/>
          </w:tcPr>
          <w:p w14:paraId="0EE8D17F" w14:textId="77777777" w:rsidR="00FF0F9B" w:rsidRPr="00EF1E43" w:rsidRDefault="00FF0F9B" w:rsidP="00374F41">
            <w:pPr>
              <w:jc w:val="center"/>
              <w:rPr>
                <w:sz w:val="24"/>
              </w:rPr>
            </w:pPr>
            <w:r w:rsidRPr="00EF1E43">
              <w:rPr>
                <w:sz w:val="24"/>
              </w:rPr>
              <w:t>35606</w:t>
            </w:r>
          </w:p>
        </w:tc>
        <w:tc>
          <w:tcPr>
            <w:tcW w:w="7371" w:type="dxa"/>
            <w:shd w:val="clear" w:color="auto" w:fill="FFFFFF" w:themeFill="background1"/>
            <w:vAlign w:val="center"/>
            <w:hideMark/>
          </w:tcPr>
          <w:p w14:paraId="14B9A64B" w14:textId="77777777" w:rsidR="00FF0F9B" w:rsidRPr="00EF1E43" w:rsidRDefault="00FF0F9B" w:rsidP="00374F41">
            <w:pPr>
              <w:rPr>
                <w:sz w:val="24"/>
              </w:rPr>
            </w:pPr>
            <w:r w:rsidRPr="00EF1E43">
              <w:rPr>
                <w:sz w:val="24"/>
              </w:rPr>
              <w:t>Labreche F, Goldberg MS, Valois MF, et al (2003). Occupational exposures to extremely low frequency magnetic fields and postmenopausal breast cancer. Am J Ind Med, 44: 643-52.</w:t>
            </w:r>
          </w:p>
        </w:tc>
      </w:tr>
      <w:tr w:rsidR="00EF1E43" w:rsidRPr="00EF1E43" w14:paraId="0B640D70" w14:textId="77777777" w:rsidTr="00CC61F1">
        <w:trPr>
          <w:cantSplit/>
        </w:trPr>
        <w:tc>
          <w:tcPr>
            <w:tcW w:w="1555" w:type="dxa"/>
            <w:shd w:val="clear" w:color="auto" w:fill="FFFFFF" w:themeFill="background1"/>
            <w:noWrap/>
            <w:vAlign w:val="center"/>
            <w:hideMark/>
          </w:tcPr>
          <w:p w14:paraId="30B20689" w14:textId="77777777" w:rsidR="00FF0F9B" w:rsidRPr="00EF1E43" w:rsidRDefault="00FF0F9B" w:rsidP="00374F41">
            <w:pPr>
              <w:jc w:val="center"/>
              <w:rPr>
                <w:sz w:val="24"/>
              </w:rPr>
            </w:pPr>
            <w:r w:rsidRPr="00EF1E43">
              <w:rPr>
                <w:sz w:val="24"/>
              </w:rPr>
              <w:t>80732</w:t>
            </w:r>
          </w:p>
        </w:tc>
        <w:tc>
          <w:tcPr>
            <w:tcW w:w="7371" w:type="dxa"/>
            <w:shd w:val="clear" w:color="auto" w:fill="FFFFFF" w:themeFill="background1"/>
            <w:vAlign w:val="center"/>
            <w:hideMark/>
          </w:tcPr>
          <w:p w14:paraId="38B17862" w14:textId="77777777" w:rsidR="00FF0F9B" w:rsidRPr="00EF1E43" w:rsidRDefault="00FF0F9B" w:rsidP="00374F41">
            <w:pPr>
              <w:rPr>
                <w:sz w:val="24"/>
              </w:rPr>
            </w:pPr>
            <w:r w:rsidRPr="00EF1E43">
              <w:rPr>
                <w:sz w:val="24"/>
              </w:rPr>
              <w:t>Labutina EV, Kuznetsova IS, Hunter N, et al (2013). Radiation risk of malignant neoplasms in organs of main deposition for plutonium in the cohort of Mayak workers with regard to histological types. Health Phys, 105(2): 165-76.</w:t>
            </w:r>
          </w:p>
        </w:tc>
      </w:tr>
      <w:tr w:rsidR="00EF1E43" w:rsidRPr="00EF1E43" w14:paraId="34CD84AB" w14:textId="77777777" w:rsidTr="00CC61F1">
        <w:trPr>
          <w:cantSplit/>
        </w:trPr>
        <w:tc>
          <w:tcPr>
            <w:tcW w:w="1555" w:type="dxa"/>
            <w:shd w:val="clear" w:color="auto" w:fill="FFFFFF" w:themeFill="background1"/>
            <w:noWrap/>
            <w:vAlign w:val="center"/>
            <w:hideMark/>
          </w:tcPr>
          <w:p w14:paraId="18644041" w14:textId="77777777" w:rsidR="00FF0F9B" w:rsidRPr="00EF1E43" w:rsidRDefault="00FF0F9B" w:rsidP="00374F41">
            <w:pPr>
              <w:jc w:val="center"/>
              <w:rPr>
                <w:sz w:val="24"/>
              </w:rPr>
            </w:pPr>
            <w:r w:rsidRPr="00EF1E43">
              <w:rPr>
                <w:sz w:val="24"/>
              </w:rPr>
              <w:t>36926</w:t>
            </w:r>
          </w:p>
        </w:tc>
        <w:tc>
          <w:tcPr>
            <w:tcW w:w="7371" w:type="dxa"/>
            <w:shd w:val="clear" w:color="auto" w:fill="FFFFFF" w:themeFill="background1"/>
            <w:vAlign w:val="center"/>
            <w:hideMark/>
          </w:tcPr>
          <w:p w14:paraId="5901CACA" w14:textId="77777777" w:rsidR="00FF0F9B" w:rsidRPr="00EF1E43" w:rsidRDefault="00FF0F9B" w:rsidP="00374F41">
            <w:pPr>
              <w:rPr>
                <w:sz w:val="24"/>
              </w:rPr>
            </w:pPr>
            <w:r w:rsidRPr="00EF1E43">
              <w:rPr>
                <w:sz w:val="24"/>
              </w:rPr>
              <w:t>Lahmann PH, Hoffmann K, Allen N, et al (2004). Body size and breast cancer risk: findings from the European prospective investigation into cancer and nutrition (epic). Int J Cancer, 111: 762-71.</w:t>
            </w:r>
          </w:p>
        </w:tc>
      </w:tr>
      <w:tr w:rsidR="00EF1E43" w:rsidRPr="00EF1E43" w14:paraId="30D6B30B" w14:textId="77777777" w:rsidTr="00CC61F1">
        <w:trPr>
          <w:cantSplit/>
        </w:trPr>
        <w:tc>
          <w:tcPr>
            <w:tcW w:w="1555" w:type="dxa"/>
            <w:shd w:val="clear" w:color="auto" w:fill="FFFFFF" w:themeFill="background1"/>
            <w:noWrap/>
            <w:vAlign w:val="center"/>
            <w:hideMark/>
          </w:tcPr>
          <w:p w14:paraId="4B67736E" w14:textId="77777777" w:rsidR="00FF0F9B" w:rsidRPr="00EF1E43" w:rsidRDefault="00FF0F9B" w:rsidP="00374F41">
            <w:pPr>
              <w:jc w:val="center"/>
              <w:rPr>
                <w:sz w:val="24"/>
              </w:rPr>
            </w:pPr>
            <w:r w:rsidRPr="00EF1E43">
              <w:rPr>
                <w:sz w:val="24"/>
              </w:rPr>
              <w:t>36925</w:t>
            </w:r>
          </w:p>
        </w:tc>
        <w:tc>
          <w:tcPr>
            <w:tcW w:w="7371" w:type="dxa"/>
            <w:shd w:val="clear" w:color="auto" w:fill="FFFFFF" w:themeFill="background1"/>
            <w:vAlign w:val="center"/>
            <w:hideMark/>
          </w:tcPr>
          <w:p w14:paraId="5AC41E99" w14:textId="77777777" w:rsidR="00FF0F9B" w:rsidRPr="00EF1E43" w:rsidRDefault="00FF0F9B" w:rsidP="00374F41">
            <w:pPr>
              <w:rPr>
                <w:sz w:val="24"/>
              </w:rPr>
            </w:pPr>
            <w:r w:rsidRPr="00EF1E43">
              <w:rPr>
                <w:sz w:val="24"/>
              </w:rPr>
              <w:t>Lahmann PH, Lissner L, Gullberg B, et al (2003). A prospective study of adiposity and postmenopausal breast cancer risk: the Malmo diet and cancer study. Int J Cancer, 103: 246-52.</w:t>
            </w:r>
          </w:p>
        </w:tc>
      </w:tr>
      <w:tr w:rsidR="00EF1E43" w:rsidRPr="00EF1E43" w14:paraId="793A7DEA" w14:textId="77777777" w:rsidTr="00CC61F1">
        <w:trPr>
          <w:cantSplit/>
        </w:trPr>
        <w:tc>
          <w:tcPr>
            <w:tcW w:w="1555" w:type="dxa"/>
            <w:shd w:val="clear" w:color="auto" w:fill="FFFFFF" w:themeFill="background1"/>
            <w:noWrap/>
            <w:vAlign w:val="center"/>
            <w:hideMark/>
          </w:tcPr>
          <w:p w14:paraId="379F7035" w14:textId="77777777" w:rsidR="00FF0F9B" w:rsidRPr="00EF1E43" w:rsidRDefault="00FF0F9B" w:rsidP="00374F41">
            <w:pPr>
              <w:jc w:val="center"/>
              <w:rPr>
                <w:sz w:val="24"/>
              </w:rPr>
            </w:pPr>
            <w:r w:rsidRPr="00EF1E43">
              <w:rPr>
                <w:sz w:val="24"/>
              </w:rPr>
              <w:t>9381</w:t>
            </w:r>
          </w:p>
        </w:tc>
        <w:tc>
          <w:tcPr>
            <w:tcW w:w="7371" w:type="dxa"/>
            <w:shd w:val="clear" w:color="auto" w:fill="FFFFFF" w:themeFill="background1"/>
            <w:vAlign w:val="center"/>
            <w:hideMark/>
          </w:tcPr>
          <w:p w14:paraId="7AA07878" w14:textId="77777777" w:rsidR="00FF0F9B" w:rsidRPr="00EF1E43" w:rsidRDefault="00FF0F9B" w:rsidP="00374F41">
            <w:pPr>
              <w:rPr>
                <w:sz w:val="24"/>
              </w:rPr>
            </w:pPr>
            <w:r w:rsidRPr="00EF1E43">
              <w:rPr>
                <w:sz w:val="24"/>
              </w:rPr>
              <w:t>Lambe M, Hsieh CC, Chan HW, et al (1996). Parity, age at first and last birth, and risk of breast cancer: A population-based study in Sweden. Breast Cancer Research and Treatment, 38: 305-11.</w:t>
            </w:r>
          </w:p>
        </w:tc>
      </w:tr>
      <w:tr w:rsidR="00EF1E43" w:rsidRPr="00EF1E43" w14:paraId="042B4D24" w14:textId="77777777" w:rsidTr="00CC61F1">
        <w:trPr>
          <w:cantSplit/>
        </w:trPr>
        <w:tc>
          <w:tcPr>
            <w:tcW w:w="1555" w:type="dxa"/>
            <w:shd w:val="clear" w:color="auto" w:fill="FFFFFF" w:themeFill="background1"/>
            <w:noWrap/>
            <w:vAlign w:val="center"/>
            <w:hideMark/>
          </w:tcPr>
          <w:p w14:paraId="53FD709E" w14:textId="77777777" w:rsidR="00FF0F9B" w:rsidRPr="00EF1E43" w:rsidRDefault="00FF0F9B" w:rsidP="00374F41">
            <w:pPr>
              <w:jc w:val="center"/>
              <w:rPr>
                <w:sz w:val="24"/>
              </w:rPr>
            </w:pPr>
            <w:r w:rsidRPr="00EF1E43">
              <w:rPr>
                <w:sz w:val="24"/>
              </w:rPr>
              <w:t>8196</w:t>
            </w:r>
          </w:p>
        </w:tc>
        <w:tc>
          <w:tcPr>
            <w:tcW w:w="7371" w:type="dxa"/>
            <w:shd w:val="clear" w:color="auto" w:fill="FFFFFF" w:themeFill="background1"/>
            <w:vAlign w:val="center"/>
            <w:hideMark/>
          </w:tcPr>
          <w:p w14:paraId="3CD64BEB" w14:textId="77777777" w:rsidR="00FF0F9B" w:rsidRPr="00EF1E43" w:rsidRDefault="00FF0F9B" w:rsidP="00374F41">
            <w:pPr>
              <w:rPr>
                <w:sz w:val="24"/>
              </w:rPr>
            </w:pPr>
            <w:r w:rsidRPr="00EF1E43">
              <w:rPr>
                <w:sz w:val="24"/>
              </w:rPr>
              <w:t>Lambe M, Hsieh CC, Trichopoulos D, et al (1994). Transient increase in the risk of breast cancer after giving birth. NEJM, 331(1): 5-9.</w:t>
            </w:r>
          </w:p>
        </w:tc>
      </w:tr>
      <w:tr w:rsidR="00EF1E43" w:rsidRPr="00EF1E43" w14:paraId="5EF92457" w14:textId="77777777" w:rsidTr="00CC61F1">
        <w:trPr>
          <w:cantSplit/>
        </w:trPr>
        <w:tc>
          <w:tcPr>
            <w:tcW w:w="1555" w:type="dxa"/>
            <w:shd w:val="clear" w:color="auto" w:fill="FFFFFF" w:themeFill="background1"/>
            <w:noWrap/>
            <w:vAlign w:val="center"/>
            <w:hideMark/>
          </w:tcPr>
          <w:p w14:paraId="0C3B1E98" w14:textId="77777777" w:rsidR="00FF0F9B" w:rsidRPr="00EF1E43" w:rsidRDefault="00FF0F9B" w:rsidP="00374F41">
            <w:pPr>
              <w:jc w:val="center"/>
              <w:rPr>
                <w:sz w:val="24"/>
              </w:rPr>
            </w:pPr>
            <w:r w:rsidRPr="00EF1E43">
              <w:rPr>
                <w:sz w:val="24"/>
              </w:rPr>
              <w:t>87307</w:t>
            </w:r>
          </w:p>
        </w:tc>
        <w:tc>
          <w:tcPr>
            <w:tcW w:w="7371" w:type="dxa"/>
            <w:shd w:val="clear" w:color="auto" w:fill="FFFFFF" w:themeFill="background1"/>
            <w:vAlign w:val="center"/>
            <w:hideMark/>
          </w:tcPr>
          <w:p w14:paraId="53116FC1" w14:textId="77777777" w:rsidR="00FF0F9B" w:rsidRPr="00EF1E43" w:rsidRDefault="00FF0F9B" w:rsidP="00374F41">
            <w:pPr>
              <w:rPr>
                <w:sz w:val="24"/>
              </w:rPr>
            </w:pPr>
            <w:r w:rsidRPr="00EF1E43">
              <w:rPr>
                <w:sz w:val="24"/>
              </w:rPr>
              <w:t>Lambertini M, Santoro L, Del Mastro L, et al (2016). Reproductive behaviors and risk of developing breast cancer according to tumor subtype: A systematic review and meta-analysis of epidemiological studies. Cancer Treat Rev, 49: 65-76.</w:t>
            </w:r>
          </w:p>
        </w:tc>
      </w:tr>
      <w:tr w:rsidR="00EF1E43" w:rsidRPr="00EF1E43" w14:paraId="42F4F730" w14:textId="77777777" w:rsidTr="00CC61F1">
        <w:trPr>
          <w:cantSplit/>
        </w:trPr>
        <w:tc>
          <w:tcPr>
            <w:tcW w:w="1555" w:type="dxa"/>
            <w:shd w:val="clear" w:color="auto" w:fill="FFFFFF" w:themeFill="background1"/>
            <w:noWrap/>
            <w:vAlign w:val="center"/>
            <w:hideMark/>
          </w:tcPr>
          <w:p w14:paraId="16F406A8" w14:textId="77777777" w:rsidR="00FF0F9B" w:rsidRPr="00EF1E43" w:rsidRDefault="00FF0F9B" w:rsidP="00374F41">
            <w:pPr>
              <w:jc w:val="center"/>
              <w:rPr>
                <w:sz w:val="24"/>
              </w:rPr>
            </w:pPr>
            <w:r w:rsidRPr="00EF1E43">
              <w:rPr>
                <w:sz w:val="24"/>
              </w:rPr>
              <w:t>71654</w:t>
            </w:r>
          </w:p>
        </w:tc>
        <w:tc>
          <w:tcPr>
            <w:tcW w:w="7371" w:type="dxa"/>
            <w:shd w:val="clear" w:color="auto" w:fill="FFFFFF" w:themeFill="background1"/>
            <w:vAlign w:val="center"/>
            <w:hideMark/>
          </w:tcPr>
          <w:p w14:paraId="2AB027D6" w14:textId="77777777" w:rsidR="00FF0F9B" w:rsidRPr="00EF1E43" w:rsidRDefault="00FF0F9B" w:rsidP="00374F41">
            <w:pPr>
              <w:rPr>
                <w:sz w:val="24"/>
              </w:rPr>
            </w:pPr>
            <w:r w:rsidRPr="00EF1E43">
              <w:rPr>
                <w:sz w:val="24"/>
              </w:rPr>
              <w:t>Lambrechts S, Decloedt J, Neven P (2011). Breast cancer prevention: lifestyle changes and chemoprevention. Acta Clinica Belgica, 66(4): 283-92.</w:t>
            </w:r>
          </w:p>
        </w:tc>
      </w:tr>
      <w:tr w:rsidR="00EF1E43" w:rsidRPr="00EF1E43" w14:paraId="5182CF8D" w14:textId="77777777" w:rsidTr="00CC61F1">
        <w:trPr>
          <w:cantSplit/>
        </w:trPr>
        <w:tc>
          <w:tcPr>
            <w:tcW w:w="1555" w:type="dxa"/>
            <w:shd w:val="clear" w:color="auto" w:fill="FFFFFF" w:themeFill="background1"/>
            <w:noWrap/>
            <w:vAlign w:val="center"/>
            <w:hideMark/>
          </w:tcPr>
          <w:p w14:paraId="4ABBB9FD" w14:textId="77777777" w:rsidR="00FF0F9B" w:rsidRPr="00EF1E43" w:rsidRDefault="00FF0F9B" w:rsidP="00374F41">
            <w:pPr>
              <w:jc w:val="center"/>
              <w:rPr>
                <w:sz w:val="24"/>
              </w:rPr>
            </w:pPr>
            <w:r w:rsidRPr="00EF1E43">
              <w:rPr>
                <w:sz w:val="24"/>
              </w:rPr>
              <w:t>9228</w:t>
            </w:r>
          </w:p>
        </w:tc>
        <w:tc>
          <w:tcPr>
            <w:tcW w:w="7371" w:type="dxa"/>
            <w:shd w:val="clear" w:color="auto" w:fill="FFFFFF" w:themeFill="background1"/>
            <w:vAlign w:val="center"/>
            <w:hideMark/>
          </w:tcPr>
          <w:p w14:paraId="1EDAF8AD" w14:textId="77777777" w:rsidR="00FF0F9B" w:rsidRPr="00EF1E43" w:rsidRDefault="00FF0F9B" w:rsidP="00374F41">
            <w:pPr>
              <w:rPr>
                <w:sz w:val="24"/>
              </w:rPr>
            </w:pPr>
            <w:r w:rsidRPr="00EF1E43">
              <w:rPr>
                <w:sz w:val="24"/>
              </w:rPr>
              <w:t>Lamm SH (1995). Silicone breast implants and long-term health effects: when are data adequate? J Clin Epidemiol, 48(4): 507-11.</w:t>
            </w:r>
          </w:p>
        </w:tc>
      </w:tr>
      <w:tr w:rsidR="00EF1E43" w:rsidRPr="00EF1E43" w14:paraId="5C8DCC14" w14:textId="77777777" w:rsidTr="00CC61F1">
        <w:trPr>
          <w:cantSplit/>
        </w:trPr>
        <w:tc>
          <w:tcPr>
            <w:tcW w:w="1555" w:type="dxa"/>
            <w:shd w:val="clear" w:color="auto" w:fill="FFFFFF" w:themeFill="background1"/>
            <w:noWrap/>
            <w:vAlign w:val="center"/>
            <w:hideMark/>
          </w:tcPr>
          <w:p w14:paraId="226131BC" w14:textId="77777777" w:rsidR="00FF0F9B" w:rsidRPr="00EF1E43" w:rsidRDefault="00FF0F9B" w:rsidP="00374F41">
            <w:pPr>
              <w:jc w:val="center"/>
              <w:rPr>
                <w:sz w:val="24"/>
              </w:rPr>
            </w:pPr>
            <w:r w:rsidRPr="00EF1E43">
              <w:rPr>
                <w:sz w:val="24"/>
              </w:rPr>
              <w:t>35570</w:t>
            </w:r>
          </w:p>
        </w:tc>
        <w:tc>
          <w:tcPr>
            <w:tcW w:w="7371" w:type="dxa"/>
            <w:shd w:val="clear" w:color="auto" w:fill="FFFFFF" w:themeFill="background1"/>
            <w:vAlign w:val="center"/>
            <w:hideMark/>
          </w:tcPr>
          <w:p w14:paraId="05BDC727" w14:textId="77777777" w:rsidR="00FF0F9B" w:rsidRPr="00EF1E43" w:rsidRDefault="00FF0F9B" w:rsidP="00374F41">
            <w:pPr>
              <w:rPr>
                <w:sz w:val="24"/>
              </w:rPr>
            </w:pPr>
            <w:r w:rsidRPr="00EF1E43">
              <w:rPr>
                <w:sz w:val="24"/>
              </w:rPr>
              <w:t>Land CE (1995). Studies of cancer and radiation dose among atomic bomb survivors. JAMA, 274(5): 402-7.</w:t>
            </w:r>
          </w:p>
        </w:tc>
      </w:tr>
      <w:tr w:rsidR="00EF1E43" w:rsidRPr="00EF1E43" w14:paraId="499A283C" w14:textId="77777777" w:rsidTr="00CC61F1">
        <w:trPr>
          <w:cantSplit/>
        </w:trPr>
        <w:tc>
          <w:tcPr>
            <w:tcW w:w="1555" w:type="dxa"/>
            <w:shd w:val="clear" w:color="auto" w:fill="FFFFFF" w:themeFill="background1"/>
            <w:noWrap/>
            <w:vAlign w:val="center"/>
            <w:hideMark/>
          </w:tcPr>
          <w:p w14:paraId="46DAFBD9" w14:textId="77777777" w:rsidR="00FF0F9B" w:rsidRPr="00EF1E43" w:rsidRDefault="00FF0F9B" w:rsidP="00374F41">
            <w:pPr>
              <w:jc w:val="center"/>
              <w:rPr>
                <w:sz w:val="24"/>
              </w:rPr>
            </w:pPr>
            <w:r w:rsidRPr="00EF1E43">
              <w:rPr>
                <w:sz w:val="24"/>
              </w:rPr>
              <w:t>4692</w:t>
            </w:r>
          </w:p>
        </w:tc>
        <w:tc>
          <w:tcPr>
            <w:tcW w:w="7371" w:type="dxa"/>
            <w:shd w:val="clear" w:color="auto" w:fill="FFFFFF" w:themeFill="background1"/>
            <w:vAlign w:val="center"/>
            <w:hideMark/>
          </w:tcPr>
          <w:p w14:paraId="59FC92D7" w14:textId="77777777" w:rsidR="00FF0F9B" w:rsidRPr="00EF1E43" w:rsidRDefault="00FF0F9B" w:rsidP="00374F41">
            <w:pPr>
              <w:rPr>
                <w:sz w:val="24"/>
              </w:rPr>
            </w:pPr>
            <w:r w:rsidRPr="00EF1E43">
              <w:rPr>
                <w:sz w:val="24"/>
              </w:rPr>
              <w:t>Land CE, Hayakawa N, Machado SG, et al (1994). A case-control interview study of breast cancer among Japanese A-bomb survivors. II. Interactions with radiation dose. Cancer Causes Control, 5: 167-76.</w:t>
            </w:r>
          </w:p>
        </w:tc>
      </w:tr>
      <w:tr w:rsidR="00EF1E43" w:rsidRPr="00EF1E43" w14:paraId="295E3895" w14:textId="77777777" w:rsidTr="00CC61F1">
        <w:trPr>
          <w:cantSplit/>
        </w:trPr>
        <w:tc>
          <w:tcPr>
            <w:tcW w:w="1555" w:type="dxa"/>
            <w:shd w:val="clear" w:color="auto" w:fill="FFFFFF" w:themeFill="background1"/>
            <w:noWrap/>
            <w:vAlign w:val="center"/>
            <w:hideMark/>
          </w:tcPr>
          <w:p w14:paraId="3A064F61" w14:textId="77777777" w:rsidR="00FF0F9B" w:rsidRPr="00EF1E43" w:rsidRDefault="00FF0F9B" w:rsidP="00374F41">
            <w:pPr>
              <w:jc w:val="center"/>
              <w:rPr>
                <w:sz w:val="24"/>
              </w:rPr>
            </w:pPr>
            <w:r w:rsidRPr="00EF1E43">
              <w:rPr>
                <w:sz w:val="24"/>
              </w:rPr>
              <w:t>4691</w:t>
            </w:r>
          </w:p>
        </w:tc>
        <w:tc>
          <w:tcPr>
            <w:tcW w:w="7371" w:type="dxa"/>
            <w:shd w:val="clear" w:color="auto" w:fill="FFFFFF" w:themeFill="background1"/>
            <w:vAlign w:val="center"/>
            <w:hideMark/>
          </w:tcPr>
          <w:p w14:paraId="1F1FFDF4" w14:textId="77777777" w:rsidR="00FF0F9B" w:rsidRPr="00EF1E43" w:rsidRDefault="00FF0F9B" w:rsidP="00374F41">
            <w:pPr>
              <w:rPr>
                <w:sz w:val="24"/>
              </w:rPr>
            </w:pPr>
            <w:r w:rsidRPr="00EF1E43">
              <w:rPr>
                <w:sz w:val="24"/>
              </w:rPr>
              <w:t>Land CE, Hayakawa N, Machado SG, et al (1994). A case-control interview study of breast cancer among Japanese A-bomb survivors. I. Main effects. Cancer Causes Control, 5: 157-5.</w:t>
            </w:r>
          </w:p>
        </w:tc>
      </w:tr>
      <w:tr w:rsidR="00EF1E43" w:rsidRPr="00EF1E43" w14:paraId="48997C36" w14:textId="77777777" w:rsidTr="00CC61F1">
        <w:trPr>
          <w:cantSplit/>
        </w:trPr>
        <w:tc>
          <w:tcPr>
            <w:tcW w:w="1555" w:type="dxa"/>
            <w:shd w:val="clear" w:color="auto" w:fill="FFFFFF" w:themeFill="background1"/>
            <w:noWrap/>
            <w:vAlign w:val="center"/>
            <w:hideMark/>
          </w:tcPr>
          <w:p w14:paraId="1EAD75C9" w14:textId="77777777" w:rsidR="00FF0F9B" w:rsidRPr="00EF1E43" w:rsidRDefault="00FF0F9B" w:rsidP="00374F41">
            <w:pPr>
              <w:jc w:val="center"/>
              <w:rPr>
                <w:sz w:val="24"/>
              </w:rPr>
            </w:pPr>
            <w:r w:rsidRPr="00EF1E43">
              <w:rPr>
                <w:sz w:val="24"/>
              </w:rPr>
              <w:t>35571</w:t>
            </w:r>
          </w:p>
        </w:tc>
        <w:tc>
          <w:tcPr>
            <w:tcW w:w="7371" w:type="dxa"/>
            <w:shd w:val="clear" w:color="auto" w:fill="FFFFFF" w:themeFill="background1"/>
            <w:vAlign w:val="center"/>
            <w:hideMark/>
          </w:tcPr>
          <w:p w14:paraId="7F8C68B2" w14:textId="77777777" w:rsidR="00FF0F9B" w:rsidRPr="00EF1E43" w:rsidRDefault="00FF0F9B" w:rsidP="00374F41">
            <w:pPr>
              <w:rPr>
                <w:sz w:val="24"/>
              </w:rPr>
            </w:pPr>
            <w:r w:rsidRPr="00EF1E43">
              <w:rPr>
                <w:sz w:val="24"/>
              </w:rPr>
              <w:t>Land Ce, Tokunaga M, Koyama K, et al (2003). Incidence of female breast cancer among atomic bomb survivors, Hiroshima &amp; Nagasaki, 1950-1990. Radiation Research, 160: 707-17.</w:t>
            </w:r>
          </w:p>
        </w:tc>
      </w:tr>
      <w:tr w:rsidR="00EF1E43" w:rsidRPr="00EF1E43" w14:paraId="10F111B3" w14:textId="77777777" w:rsidTr="00CC61F1">
        <w:trPr>
          <w:cantSplit/>
        </w:trPr>
        <w:tc>
          <w:tcPr>
            <w:tcW w:w="1555" w:type="dxa"/>
            <w:shd w:val="clear" w:color="auto" w:fill="FFFFFF" w:themeFill="background1"/>
            <w:noWrap/>
            <w:vAlign w:val="center"/>
            <w:hideMark/>
          </w:tcPr>
          <w:p w14:paraId="433EEDB9" w14:textId="77777777" w:rsidR="00FF0F9B" w:rsidRPr="00EF1E43" w:rsidRDefault="00FF0F9B" w:rsidP="00374F41">
            <w:pPr>
              <w:jc w:val="center"/>
              <w:rPr>
                <w:sz w:val="24"/>
              </w:rPr>
            </w:pPr>
            <w:r w:rsidRPr="00EF1E43">
              <w:rPr>
                <w:sz w:val="24"/>
              </w:rPr>
              <w:t>9230</w:t>
            </w:r>
          </w:p>
        </w:tc>
        <w:tc>
          <w:tcPr>
            <w:tcW w:w="7371" w:type="dxa"/>
            <w:shd w:val="clear" w:color="auto" w:fill="FFFFFF" w:themeFill="background1"/>
            <w:vAlign w:val="center"/>
            <w:hideMark/>
          </w:tcPr>
          <w:p w14:paraId="60329E55" w14:textId="77777777" w:rsidR="00FF0F9B" w:rsidRPr="00EF1E43" w:rsidRDefault="00FF0F9B" w:rsidP="00374F41">
            <w:pPr>
              <w:rPr>
                <w:sz w:val="24"/>
              </w:rPr>
            </w:pPr>
            <w:r w:rsidRPr="00EF1E43">
              <w:rPr>
                <w:sz w:val="24"/>
              </w:rPr>
              <w:t>Langlands AO (1995). Breast cancer following treatment for Hodgkin's disease. Australasian Radiology, 39: 207.</w:t>
            </w:r>
          </w:p>
        </w:tc>
      </w:tr>
      <w:tr w:rsidR="00EF1E43" w:rsidRPr="00EF1E43" w14:paraId="7771A3F7" w14:textId="77777777" w:rsidTr="00CC61F1">
        <w:trPr>
          <w:cantSplit/>
        </w:trPr>
        <w:tc>
          <w:tcPr>
            <w:tcW w:w="1555" w:type="dxa"/>
            <w:shd w:val="clear" w:color="auto" w:fill="FFFFFF" w:themeFill="background1"/>
            <w:noWrap/>
            <w:vAlign w:val="center"/>
            <w:hideMark/>
          </w:tcPr>
          <w:p w14:paraId="0B40CC4F" w14:textId="77777777" w:rsidR="00FF0F9B" w:rsidRPr="00EF1E43" w:rsidRDefault="00FF0F9B" w:rsidP="00374F41">
            <w:pPr>
              <w:jc w:val="center"/>
              <w:rPr>
                <w:sz w:val="24"/>
              </w:rPr>
            </w:pPr>
            <w:r w:rsidRPr="00EF1E43">
              <w:rPr>
                <w:sz w:val="24"/>
              </w:rPr>
              <w:t>71655</w:t>
            </w:r>
          </w:p>
        </w:tc>
        <w:tc>
          <w:tcPr>
            <w:tcW w:w="7371" w:type="dxa"/>
            <w:shd w:val="clear" w:color="auto" w:fill="FFFFFF" w:themeFill="background1"/>
            <w:vAlign w:val="center"/>
            <w:hideMark/>
          </w:tcPr>
          <w:p w14:paraId="4FEAA2BA" w14:textId="77777777" w:rsidR="00FF0F9B" w:rsidRPr="00EF1E43" w:rsidRDefault="00FF0F9B" w:rsidP="00374F41">
            <w:pPr>
              <w:rPr>
                <w:sz w:val="24"/>
              </w:rPr>
            </w:pPr>
            <w:r w:rsidRPr="00EF1E43">
              <w:rPr>
                <w:sz w:val="24"/>
              </w:rPr>
              <w:t>Larsson SC, Mantzoros CS, Wolk A (2007). Diabetes mellitus and risk of breast cancer: a meta-analysis. Int J Cancer, 121: 856-62.</w:t>
            </w:r>
          </w:p>
        </w:tc>
      </w:tr>
      <w:tr w:rsidR="00EF1E43" w:rsidRPr="00EF1E43" w14:paraId="2AFE4156" w14:textId="77777777" w:rsidTr="00CC61F1">
        <w:trPr>
          <w:cantSplit/>
        </w:trPr>
        <w:tc>
          <w:tcPr>
            <w:tcW w:w="1555" w:type="dxa"/>
            <w:shd w:val="clear" w:color="auto" w:fill="FFFFFF" w:themeFill="background1"/>
            <w:noWrap/>
            <w:vAlign w:val="center"/>
            <w:hideMark/>
          </w:tcPr>
          <w:p w14:paraId="5DAC383C" w14:textId="77777777" w:rsidR="00FF0F9B" w:rsidRPr="00EF1E43" w:rsidRDefault="00FF0F9B" w:rsidP="00374F41">
            <w:pPr>
              <w:jc w:val="center"/>
              <w:rPr>
                <w:sz w:val="24"/>
              </w:rPr>
            </w:pPr>
            <w:r w:rsidRPr="00EF1E43">
              <w:rPr>
                <w:sz w:val="24"/>
              </w:rPr>
              <w:lastRenderedPageBreak/>
              <w:t>35834</w:t>
            </w:r>
          </w:p>
        </w:tc>
        <w:tc>
          <w:tcPr>
            <w:tcW w:w="7371" w:type="dxa"/>
            <w:shd w:val="clear" w:color="auto" w:fill="FFFFFF" w:themeFill="background1"/>
            <w:vAlign w:val="center"/>
            <w:hideMark/>
          </w:tcPr>
          <w:p w14:paraId="32F6393A" w14:textId="77777777" w:rsidR="00FF0F9B" w:rsidRPr="00EF1E43" w:rsidRDefault="00FF0F9B" w:rsidP="00374F41">
            <w:pPr>
              <w:rPr>
                <w:sz w:val="24"/>
              </w:rPr>
            </w:pPr>
            <w:r w:rsidRPr="00EF1E43">
              <w:rPr>
                <w:sz w:val="24"/>
              </w:rPr>
              <w:t>Lash TL, Aschengrau A (1999). Active and passive cigarette smoking and the occurrence of breast cancer. American Journal of Epidemiology, 149(1): 5-12.</w:t>
            </w:r>
          </w:p>
        </w:tc>
      </w:tr>
      <w:tr w:rsidR="00EF1E43" w:rsidRPr="00EF1E43" w14:paraId="26C77701" w14:textId="77777777" w:rsidTr="00CC61F1">
        <w:trPr>
          <w:cantSplit/>
        </w:trPr>
        <w:tc>
          <w:tcPr>
            <w:tcW w:w="1555" w:type="dxa"/>
            <w:shd w:val="clear" w:color="auto" w:fill="FFFFFF" w:themeFill="background1"/>
            <w:noWrap/>
            <w:vAlign w:val="center"/>
            <w:hideMark/>
          </w:tcPr>
          <w:p w14:paraId="771D3CDB" w14:textId="77777777" w:rsidR="00FF0F9B" w:rsidRPr="00EF1E43" w:rsidRDefault="00FF0F9B" w:rsidP="00374F41">
            <w:pPr>
              <w:jc w:val="center"/>
              <w:rPr>
                <w:sz w:val="24"/>
              </w:rPr>
            </w:pPr>
            <w:r w:rsidRPr="00EF1E43">
              <w:rPr>
                <w:sz w:val="24"/>
              </w:rPr>
              <w:t>35674</w:t>
            </w:r>
          </w:p>
        </w:tc>
        <w:tc>
          <w:tcPr>
            <w:tcW w:w="7371" w:type="dxa"/>
            <w:shd w:val="clear" w:color="auto" w:fill="FFFFFF" w:themeFill="background1"/>
            <w:vAlign w:val="center"/>
            <w:hideMark/>
          </w:tcPr>
          <w:p w14:paraId="37B49BBD" w14:textId="77777777" w:rsidR="00FF0F9B" w:rsidRPr="00EF1E43" w:rsidRDefault="00FF0F9B" w:rsidP="00374F41">
            <w:pPr>
              <w:rPr>
                <w:sz w:val="24"/>
              </w:rPr>
            </w:pPr>
            <w:r w:rsidRPr="00EF1E43">
              <w:rPr>
                <w:sz w:val="24"/>
              </w:rPr>
              <w:t>Lash TL, Aschengrau A (2002). A null association between active or passive cigarette smoking and breast cancer risk. Breast Cancer Research and Treatment, 75: 181-4.</w:t>
            </w:r>
          </w:p>
        </w:tc>
      </w:tr>
      <w:tr w:rsidR="00EF1E43" w:rsidRPr="00EF1E43" w14:paraId="752BD8EE" w14:textId="77777777" w:rsidTr="00CC61F1">
        <w:trPr>
          <w:cantSplit/>
        </w:trPr>
        <w:tc>
          <w:tcPr>
            <w:tcW w:w="1555" w:type="dxa"/>
            <w:shd w:val="clear" w:color="auto" w:fill="FFFFFF" w:themeFill="background1"/>
            <w:noWrap/>
            <w:vAlign w:val="center"/>
            <w:hideMark/>
          </w:tcPr>
          <w:p w14:paraId="4D2D36EE" w14:textId="77777777" w:rsidR="00FF0F9B" w:rsidRPr="00EF1E43" w:rsidRDefault="00FF0F9B" w:rsidP="00374F41">
            <w:pPr>
              <w:jc w:val="center"/>
              <w:rPr>
                <w:sz w:val="24"/>
              </w:rPr>
            </w:pPr>
            <w:r w:rsidRPr="00EF1E43">
              <w:rPr>
                <w:sz w:val="24"/>
              </w:rPr>
              <w:t>71657</w:t>
            </w:r>
          </w:p>
        </w:tc>
        <w:tc>
          <w:tcPr>
            <w:tcW w:w="7371" w:type="dxa"/>
            <w:shd w:val="clear" w:color="auto" w:fill="FFFFFF" w:themeFill="background1"/>
            <w:vAlign w:val="center"/>
            <w:hideMark/>
          </w:tcPr>
          <w:p w14:paraId="5AA132EF" w14:textId="77777777" w:rsidR="00FF0F9B" w:rsidRPr="00EF1E43" w:rsidRDefault="00FF0F9B" w:rsidP="00374F41">
            <w:pPr>
              <w:rPr>
                <w:sz w:val="24"/>
              </w:rPr>
            </w:pPr>
            <w:r w:rsidRPr="00EF1E43">
              <w:rPr>
                <w:sz w:val="24"/>
              </w:rPr>
              <w:t>Latif N, Rana F, Guthrie T (2011). Breast cancer and HIV in the era of highly active antiretroviral therapy: two case reports and review of the literature. The Breast Journal, 17(1): 87-92.</w:t>
            </w:r>
          </w:p>
        </w:tc>
      </w:tr>
      <w:tr w:rsidR="00EF1E43" w:rsidRPr="00EF1E43" w14:paraId="5A4BEE59" w14:textId="77777777" w:rsidTr="00CC61F1">
        <w:trPr>
          <w:cantSplit/>
        </w:trPr>
        <w:tc>
          <w:tcPr>
            <w:tcW w:w="1555" w:type="dxa"/>
            <w:shd w:val="clear" w:color="auto" w:fill="FFFFFF" w:themeFill="background1"/>
            <w:noWrap/>
            <w:vAlign w:val="center"/>
            <w:hideMark/>
          </w:tcPr>
          <w:p w14:paraId="2E2E280F" w14:textId="77777777" w:rsidR="00FF0F9B" w:rsidRPr="00EF1E43" w:rsidRDefault="00FF0F9B" w:rsidP="00374F41">
            <w:pPr>
              <w:jc w:val="center"/>
              <w:rPr>
                <w:sz w:val="24"/>
              </w:rPr>
            </w:pPr>
            <w:r w:rsidRPr="00EF1E43">
              <w:rPr>
                <w:sz w:val="24"/>
              </w:rPr>
              <w:t>68035</w:t>
            </w:r>
          </w:p>
        </w:tc>
        <w:tc>
          <w:tcPr>
            <w:tcW w:w="7371" w:type="dxa"/>
            <w:shd w:val="clear" w:color="auto" w:fill="FFFFFF" w:themeFill="background1"/>
            <w:vAlign w:val="center"/>
            <w:hideMark/>
          </w:tcPr>
          <w:p w14:paraId="3BC39C32" w14:textId="77777777" w:rsidR="00FF0F9B" w:rsidRPr="00EF1E43" w:rsidRDefault="00FF0F9B" w:rsidP="00374F41">
            <w:pPr>
              <w:rPr>
                <w:sz w:val="24"/>
              </w:rPr>
            </w:pPr>
            <w:r w:rsidRPr="00EF1E43">
              <w:rPr>
                <w:sz w:val="24"/>
              </w:rPr>
              <w:t>Lauby-Secretan B, Loomis D, Grosse Y, et al (2013). Carcinogenicity of polychlorinated biphenyls and polybrominated biphenyls. Lancet, 14(4): 287-8.</w:t>
            </w:r>
          </w:p>
        </w:tc>
      </w:tr>
      <w:tr w:rsidR="00EF1E43" w:rsidRPr="00EF1E43" w14:paraId="1C768D06" w14:textId="77777777" w:rsidTr="00CC61F1">
        <w:trPr>
          <w:cantSplit/>
        </w:trPr>
        <w:tc>
          <w:tcPr>
            <w:tcW w:w="1555" w:type="dxa"/>
            <w:shd w:val="clear" w:color="auto" w:fill="FFFFFF" w:themeFill="background1"/>
            <w:noWrap/>
            <w:vAlign w:val="center"/>
            <w:hideMark/>
          </w:tcPr>
          <w:p w14:paraId="2E03B169" w14:textId="77777777" w:rsidR="00FF0F9B" w:rsidRPr="00EF1E43" w:rsidRDefault="00FF0F9B" w:rsidP="00374F41">
            <w:pPr>
              <w:jc w:val="center"/>
              <w:rPr>
                <w:sz w:val="24"/>
              </w:rPr>
            </w:pPr>
            <w:r w:rsidRPr="00EF1E43">
              <w:rPr>
                <w:sz w:val="24"/>
              </w:rPr>
              <w:t>71658</w:t>
            </w:r>
          </w:p>
        </w:tc>
        <w:tc>
          <w:tcPr>
            <w:tcW w:w="7371" w:type="dxa"/>
            <w:shd w:val="clear" w:color="auto" w:fill="FFFFFF" w:themeFill="background1"/>
            <w:vAlign w:val="center"/>
            <w:hideMark/>
          </w:tcPr>
          <w:p w14:paraId="5EB9E441" w14:textId="77777777" w:rsidR="00FF0F9B" w:rsidRPr="00EF1E43" w:rsidRDefault="00FF0F9B" w:rsidP="00374F41">
            <w:pPr>
              <w:rPr>
                <w:sz w:val="24"/>
              </w:rPr>
            </w:pPr>
            <w:r w:rsidRPr="00EF1E43">
              <w:rPr>
                <w:sz w:val="24"/>
              </w:rPr>
              <w:t>Lavigne E, Holowaty EJ, Pan SY, et al (2013). Breast cancer detection and survival among women with cosmetic breast implants: systemic review and meta-analysis of observational studies. BMJ, 346: f2399.</w:t>
            </w:r>
          </w:p>
        </w:tc>
      </w:tr>
      <w:tr w:rsidR="00EF1E43" w:rsidRPr="00EF1E43" w14:paraId="2E984FB5" w14:textId="77777777" w:rsidTr="00CC61F1">
        <w:trPr>
          <w:cantSplit/>
        </w:trPr>
        <w:tc>
          <w:tcPr>
            <w:tcW w:w="1555" w:type="dxa"/>
            <w:shd w:val="clear" w:color="auto" w:fill="FFFFFF" w:themeFill="background1"/>
            <w:noWrap/>
            <w:vAlign w:val="center"/>
            <w:hideMark/>
          </w:tcPr>
          <w:p w14:paraId="0B0CD8E1" w14:textId="77777777" w:rsidR="00FF0F9B" w:rsidRPr="00EF1E43" w:rsidRDefault="00FF0F9B" w:rsidP="00374F41">
            <w:pPr>
              <w:jc w:val="center"/>
              <w:rPr>
                <w:sz w:val="24"/>
              </w:rPr>
            </w:pPr>
            <w:r w:rsidRPr="00EF1E43">
              <w:rPr>
                <w:sz w:val="24"/>
              </w:rPr>
              <w:t>35573</w:t>
            </w:r>
          </w:p>
        </w:tc>
        <w:tc>
          <w:tcPr>
            <w:tcW w:w="7371" w:type="dxa"/>
            <w:shd w:val="clear" w:color="auto" w:fill="FFFFFF" w:themeFill="background1"/>
            <w:vAlign w:val="center"/>
            <w:hideMark/>
          </w:tcPr>
          <w:p w14:paraId="06E8DDF9" w14:textId="77777777" w:rsidR="00FF0F9B" w:rsidRPr="00EF1E43" w:rsidRDefault="00FF0F9B" w:rsidP="00374F41">
            <w:pPr>
              <w:rPr>
                <w:sz w:val="24"/>
              </w:rPr>
            </w:pPr>
            <w:r w:rsidRPr="00EF1E43">
              <w:rPr>
                <w:sz w:val="24"/>
              </w:rPr>
              <w:t>Law J, Faulkner K (2002). Concerning the relationship between benefit and radiation risk, and cancers detected and induced, in a breast screening programme. The British Journal of Radiology, 75: 678-84.</w:t>
            </w:r>
          </w:p>
        </w:tc>
      </w:tr>
      <w:tr w:rsidR="00EF1E43" w:rsidRPr="00EF1E43" w14:paraId="52460BC5" w14:textId="77777777" w:rsidTr="00CC61F1">
        <w:trPr>
          <w:cantSplit/>
        </w:trPr>
        <w:tc>
          <w:tcPr>
            <w:tcW w:w="1555" w:type="dxa"/>
            <w:shd w:val="clear" w:color="auto" w:fill="FFFFFF" w:themeFill="background1"/>
            <w:noWrap/>
            <w:vAlign w:val="center"/>
            <w:hideMark/>
          </w:tcPr>
          <w:p w14:paraId="243699B7" w14:textId="77777777" w:rsidR="00FF0F9B" w:rsidRPr="00EF1E43" w:rsidRDefault="00FF0F9B" w:rsidP="00374F41">
            <w:pPr>
              <w:jc w:val="center"/>
              <w:rPr>
                <w:sz w:val="24"/>
              </w:rPr>
            </w:pPr>
            <w:r w:rsidRPr="00EF1E43">
              <w:rPr>
                <w:sz w:val="24"/>
              </w:rPr>
              <w:t>35691</w:t>
            </w:r>
          </w:p>
        </w:tc>
        <w:tc>
          <w:tcPr>
            <w:tcW w:w="7371" w:type="dxa"/>
            <w:shd w:val="clear" w:color="auto" w:fill="FFFFFF" w:themeFill="background1"/>
            <w:vAlign w:val="center"/>
            <w:hideMark/>
          </w:tcPr>
          <w:p w14:paraId="5DB3B57B" w14:textId="77777777" w:rsidR="00FF0F9B" w:rsidRPr="00EF1E43" w:rsidRDefault="00FF0F9B" w:rsidP="00374F41">
            <w:pPr>
              <w:rPr>
                <w:sz w:val="24"/>
              </w:rPr>
            </w:pPr>
            <w:r w:rsidRPr="00EF1E43">
              <w:rPr>
                <w:sz w:val="24"/>
              </w:rPr>
              <w:t>Lawlor DA, Ebrahim S, Smith GD (2004). Smoking before the birth of a first child is not associated with increased risk of breast cancer: findings from the British Women's hearth and health Cohort Study and a meta-analysis. British Journal of Cancer, 91: 512-8.</w:t>
            </w:r>
          </w:p>
        </w:tc>
      </w:tr>
      <w:tr w:rsidR="00EF1E43" w:rsidRPr="00EF1E43" w14:paraId="2D5F814D" w14:textId="77777777" w:rsidTr="00CC61F1">
        <w:trPr>
          <w:cantSplit/>
        </w:trPr>
        <w:tc>
          <w:tcPr>
            <w:tcW w:w="1555" w:type="dxa"/>
            <w:shd w:val="clear" w:color="auto" w:fill="FFFFFF" w:themeFill="background1"/>
            <w:noWrap/>
            <w:vAlign w:val="center"/>
            <w:hideMark/>
          </w:tcPr>
          <w:p w14:paraId="643E6778" w14:textId="77777777" w:rsidR="00FF0F9B" w:rsidRPr="00EF1E43" w:rsidRDefault="00FF0F9B" w:rsidP="00374F41">
            <w:pPr>
              <w:jc w:val="center"/>
              <w:rPr>
                <w:sz w:val="24"/>
              </w:rPr>
            </w:pPr>
            <w:r w:rsidRPr="00EF1E43">
              <w:rPr>
                <w:sz w:val="24"/>
              </w:rPr>
              <w:t>9231</w:t>
            </w:r>
          </w:p>
        </w:tc>
        <w:tc>
          <w:tcPr>
            <w:tcW w:w="7371" w:type="dxa"/>
            <w:shd w:val="clear" w:color="auto" w:fill="FFFFFF" w:themeFill="background1"/>
            <w:vAlign w:val="center"/>
            <w:hideMark/>
          </w:tcPr>
          <w:p w14:paraId="49145DCE" w14:textId="77777777" w:rsidR="00FF0F9B" w:rsidRPr="00EF1E43" w:rsidRDefault="00FF0F9B" w:rsidP="00374F41">
            <w:pPr>
              <w:rPr>
                <w:sz w:val="24"/>
              </w:rPr>
            </w:pPr>
            <w:r w:rsidRPr="00EF1E43">
              <w:rPr>
                <w:sz w:val="24"/>
              </w:rPr>
              <w:t>Layde PM, Webster LA, Baughman AL, et al (1989). The independent associations of parity, age at first full term pregnancy, and duration of breast feeding with the risk of breast cancer. J Clin Epidemiol, 42(10): 963-73.</w:t>
            </w:r>
          </w:p>
        </w:tc>
      </w:tr>
      <w:tr w:rsidR="00EF1E43" w:rsidRPr="00EF1E43" w14:paraId="43735AF7" w14:textId="77777777" w:rsidTr="00CC61F1">
        <w:trPr>
          <w:cantSplit/>
        </w:trPr>
        <w:tc>
          <w:tcPr>
            <w:tcW w:w="1555" w:type="dxa"/>
            <w:shd w:val="clear" w:color="auto" w:fill="FFFFFF" w:themeFill="background1"/>
            <w:noWrap/>
            <w:vAlign w:val="center"/>
            <w:hideMark/>
          </w:tcPr>
          <w:p w14:paraId="43F03C2B" w14:textId="77777777" w:rsidR="00FF0F9B" w:rsidRPr="00EF1E43" w:rsidRDefault="00FF0F9B" w:rsidP="00374F41">
            <w:pPr>
              <w:jc w:val="center"/>
              <w:rPr>
                <w:sz w:val="24"/>
              </w:rPr>
            </w:pPr>
            <w:r w:rsidRPr="00EF1E43">
              <w:rPr>
                <w:sz w:val="24"/>
              </w:rPr>
              <w:t>81154</w:t>
            </w:r>
          </w:p>
        </w:tc>
        <w:tc>
          <w:tcPr>
            <w:tcW w:w="7371" w:type="dxa"/>
            <w:shd w:val="clear" w:color="auto" w:fill="FFFFFF" w:themeFill="background1"/>
            <w:vAlign w:val="center"/>
            <w:hideMark/>
          </w:tcPr>
          <w:p w14:paraId="72410540" w14:textId="77777777" w:rsidR="00FF0F9B" w:rsidRPr="00EF1E43" w:rsidRDefault="00FF0F9B" w:rsidP="00374F41">
            <w:pPr>
              <w:rPr>
                <w:sz w:val="24"/>
              </w:rPr>
            </w:pPr>
            <w:r w:rsidRPr="00EF1E43">
              <w:rPr>
                <w:sz w:val="24"/>
              </w:rPr>
              <w:t>Lee C, Kim KP, Bolch WE, et al (2015). NCICT: a computational solution to estimate organ doses for pediatric and adult patients undergoing CT scans. J Radiol Prot, 35(4): 891-909.</w:t>
            </w:r>
          </w:p>
        </w:tc>
      </w:tr>
      <w:tr w:rsidR="00EF1E43" w:rsidRPr="00EF1E43" w14:paraId="7542EB41" w14:textId="77777777" w:rsidTr="00CC61F1">
        <w:trPr>
          <w:cantSplit/>
        </w:trPr>
        <w:tc>
          <w:tcPr>
            <w:tcW w:w="1555" w:type="dxa"/>
            <w:shd w:val="clear" w:color="auto" w:fill="FFFFFF" w:themeFill="background1"/>
            <w:noWrap/>
            <w:vAlign w:val="center"/>
            <w:hideMark/>
          </w:tcPr>
          <w:p w14:paraId="3B75932B" w14:textId="77777777" w:rsidR="00FF0F9B" w:rsidRPr="00EF1E43" w:rsidRDefault="00FF0F9B" w:rsidP="00374F41">
            <w:pPr>
              <w:jc w:val="center"/>
              <w:rPr>
                <w:sz w:val="24"/>
              </w:rPr>
            </w:pPr>
            <w:r w:rsidRPr="00EF1E43">
              <w:rPr>
                <w:sz w:val="24"/>
              </w:rPr>
              <w:t>36978</w:t>
            </w:r>
          </w:p>
        </w:tc>
        <w:tc>
          <w:tcPr>
            <w:tcW w:w="7371" w:type="dxa"/>
            <w:shd w:val="clear" w:color="auto" w:fill="FFFFFF" w:themeFill="background1"/>
            <w:vAlign w:val="center"/>
            <w:hideMark/>
          </w:tcPr>
          <w:p w14:paraId="289B9F81" w14:textId="77777777" w:rsidR="00FF0F9B" w:rsidRPr="00EF1E43" w:rsidRDefault="00FF0F9B" w:rsidP="00374F41">
            <w:pPr>
              <w:rPr>
                <w:sz w:val="24"/>
              </w:rPr>
            </w:pPr>
            <w:r w:rsidRPr="00EF1E43">
              <w:rPr>
                <w:sz w:val="24"/>
              </w:rPr>
              <w:t>Lee IM (2003). Physical activity and cancer prevention data from epidemiologic studies. Medicine &amp; Science in Sports &amp; Exercise, 35(11): 1823-7.</w:t>
            </w:r>
          </w:p>
        </w:tc>
      </w:tr>
      <w:tr w:rsidR="00EF1E43" w:rsidRPr="00EF1E43" w14:paraId="7909A2AD" w14:textId="77777777" w:rsidTr="00CC61F1">
        <w:trPr>
          <w:cantSplit/>
        </w:trPr>
        <w:tc>
          <w:tcPr>
            <w:tcW w:w="1555" w:type="dxa"/>
            <w:shd w:val="clear" w:color="auto" w:fill="FFFFFF" w:themeFill="background1"/>
            <w:noWrap/>
            <w:vAlign w:val="center"/>
            <w:hideMark/>
          </w:tcPr>
          <w:p w14:paraId="23482330" w14:textId="77777777" w:rsidR="00FF0F9B" w:rsidRPr="00EF1E43" w:rsidRDefault="00FF0F9B" w:rsidP="00374F41">
            <w:pPr>
              <w:jc w:val="center"/>
              <w:rPr>
                <w:sz w:val="24"/>
              </w:rPr>
            </w:pPr>
            <w:r w:rsidRPr="00EF1E43">
              <w:rPr>
                <w:sz w:val="24"/>
              </w:rPr>
              <w:t>37121</w:t>
            </w:r>
          </w:p>
        </w:tc>
        <w:tc>
          <w:tcPr>
            <w:tcW w:w="7371" w:type="dxa"/>
            <w:shd w:val="clear" w:color="auto" w:fill="FFFFFF" w:themeFill="background1"/>
            <w:vAlign w:val="center"/>
            <w:hideMark/>
          </w:tcPr>
          <w:p w14:paraId="217AA49B" w14:textId="77777777" w:rsidR="00FF0F9B" w:rsidRPr="00EF1E43" w:rsidRDefault="00FF0F9B" w:rsidP="00374F41">
            <w:pPr>
              <w:rPr>
                <w:sz w:val="24"/>
              </w:rPr>
            </w:pPr>
            <w:r w:rsidRPr="00EF1E43">
              <w:rPr>
                <w:sz w:val="24"/>
              </w:rPr>
              <w:t>Lee IM, Cook NR, Rexrode KM, et al (2001). Lifetime physical activity and risk of breast cancer. Br J Cancer, 85(7): 962-5.</w:t>
            </w:r>
          </w:p>
        </w:tc>
      </w:tr>
      <w:tr w:rsidR="00EF1E43" w:rsidRPr="00EF1E43" w14:paraId="2D4D356A" w14:textId="77777777" w:rsidTr="00CC61F1">
        <w:trPr>
          <w:cantSplit/>
        </w:trPr>
        <w:tc>
          <w:tcPr>
            <w:tcW w:w="1555" w:type="dxa"/>
            <w:shd w:val="clear" w:color="auto" w:fill="FFFFFF" w:themeFill="background1"/>
            <w:noWrap/>
            <w:vAlign w:val="center"/>
            <w:hideMark/>
          </w:tcPr>
          <w:p w14:paraId="01B2B4EC" w14:textId="77777777" w:rsidR="00FF0F9B" w:rsidRPr="00EF1E43" w:rsidRDefault="00FF0F9B" w:rsidP="00374F41">
            <w:pPr>
              <w:jc w:val="center"/>
              <w:rPr>
                <w:sz w:val="24"/>
              </w:rPr>
            </w:pPr>
            <w:r w:rsidRPr="00EF1E43">
              <w:rPr>
                <w:sz w:val="24"/>
              </w:rPr>
              <w:t>37531</w:t>
            </w:r>
          </w:p>
        </w:tc>
        <w:tc>
          <w:tcPr>
            <w:tcW w:w="7371" w:type="dxa"/>
            <w:shd w:val="clear" w:color="auto" w:fill="FFFFFF" w:themeFill="background1"/>
            <w:vAlign w:val="center"/>
            <w:hideMark/>
          </w:tcPr>
          <w:p w14:paraId="3FD36EC4" w14:textId="77777777" w:rsidR="00FF0F9B" w:rsidRPr="00EF1E43" w:rsidRDefault="00FF0F9B" w:rsidP="00374F41">
            <w:pPr>
              <w:rPr>
                <w:sz w:val="24"/>
              </w:rPr>
            </w:pPr>
            <w:r w:rsidRPr="00EF1E43">
              <w:rPr>
                <w:sz w:val="24"/>
              </w:rPr>
              <w:t>Lee IM, Rexrode KM, Cook NR, et al (2001). Physical activity and breast cancer risk: the women's health study (United States). Cancer Causes Control, 12: 137-145.</w:t>
            </w:r>
          </w:p>
        </w:tc>
      </w:tr>
      <w:tr w:rsidR="00EF1E43" w:rsidRPr="00EF1E43" w14:paraId="26485C7C" w14:textId="77777777" w:rsidTr="00CC61F1">
        <w:trPr>
          <w:cantSplit/>
        </w:trPr>
        <w:tc>
          <w:tcPr>
            <w:tcW w:w="1555" w:type="dxa"/>
            <w:shd w:val="clear" w:color="auto" w:fill="FFFFFF" w:themeFill="background1"/>
            <w:noWrap/>
            <w:vAlign w:val="center"/>
            <w:hideMark/>
          </w:tcPr>
          <w:p w14:paraId="0606F6AF" w14:textId="77777777" w:rsidR="00FF0F9B" w:rsidRPr="00EF1E43" w:rsidRDefault="00FF0F9B" w:rsidP="00374F41">
            <w:pPr>
              <w:jc w:val="center"/>
              <w:rPr>
                <w:sz w:val="24"/>
              </w:rPr>
            </w:pPr>
            <w:r w:rsidRPr="00EF1E43">
              <w:rPr>
                <w:sz w:val="24"/>
              </w:rPr>
              <w:t>35734</w:t>
            </w:r>
          </w:p>
        </w:tc>
        <w:tc>
          <w:tcPr>
            <w:tcW w:w="7371" w:type="dxa"/>
            <w:shd w:val="clear" w:color="auto" w:fill="FFFFFF" w:themeFill="background1"/>
            <w:vAlign w:val="center"/>
            <w:hideMark/>
          </w:tcPr>
          <w:p w14:paraId="54323C83" w14:textId="77777777" w:rsidR="00FF0F9B" w:rsidRPr="00EF1E43" w:rsidRDefault="00FF0F9B" w:rsidP="00374F41">
            <w:pPr>
              <w:rPr>
                <w:sz w:val="24"/>
              </w:rPr>
            </w:pPr>
            <w:r w:rsidRPr="00EF1E43">
              <w:rPr>
                <w:sz w:val="24"/>
              </w:rPr>
              <w:t>Lee SY, Kim MT, Kim SW, et al (2003). Effect of lifetime lactation on breast cancer risk: a Korean women's cohort study. Int J Cancer, 105: 390-393.</w:t>
            </w:r>
          </w:p>
        </w:tc>
      </w:tr>
      <w:tr w:rsidR="00EF1E43" w:rsidRPr="00EF1E43" w14:paraId="33D299BA" w14:textId="77777777" w:rsidTr="00CC61F1">
        <w:trPr>
          <w:cantSplit/>
        </w:trPr>
        <w:tc>
          <w:tcPr>
            <w:tcW w:w="1555" w:type="dxa"/>
            <w:shd w:val="clear" w:color="auto" w:fill="FFFFFF" w:themeFill="background1"/>
            <w:noWrap/>
            <w:vAlign w:val="center"/>
            <w:hideMark/>
          </w:tcPr>
          <w:p w14:paraId="4110D44B" w14:textId="77777777" w:rsidR="00FF0F9B" w:rsidRPr="00EF1E43" w:rsidRDefault="00FF0F9B" w:rsidP="00374F41">
            <w:pPr>
              <w:jc w:val="center"/>
              <w:rPr>
                <w:sz w:val="24"/>
              </w:rPr>
            </w:pPr>
            <w:r w:rsidRPr="00EF1E43">
              <w:rPr>
                <w:sz w:val="24"/>
              </w:rPr>
              <w:t>71659</w:t>
            </w:r>
          </w:p>
        </w:tc>
        <w:tc>
          <w:tcPr>
            <w:tcW w:w="7371" w:type="dxa"/>
            <w:shd w:val="clear" w:color="auto" w:fill="FFFFFF" w:themeFill="background1"/>
            <w:vAlign w:val="center"/>
            <w:hideMark/>
          </w:tcPr>
          <w:p w14:paraId="3DAD1385" w14:textId="77777777" w:rsidR="00FF0F9B" w:rsidRPr="00EF1E43" w:rsidRDefault="00FF0F9B" w:rsidP="00374F41">
            <w:pPr>
              <w:rPr>
                <w:sz w:val="24"/>
              </w:rPr>
            </w:pPr>
            <w:r w:rsidRPr="00EF1E43">
              <w:rPr>
                <w:sz w:val="24"/>
              </w:rPr>
              <w:t>Lelievre SA, Weaver CM (2013). Global nutrition research: nutrition and breast cancer prevention as a model. Nutrition Reviews, 71(11): 742-52.</w:t>
            </w:r>
          </w:p>
        </w:tc>
      </w:tr>
      <w:tr w:rsidR="00EF1E43" w:rsidRPr="00EF1E43" w14:paraId="00D84D65" w14:textId="77777777" w:rsidTr="00CC61F1">
        <w:trPr>
          <w:cantSplit/>
        </w:trPr>
        <w:tc>
          <w:tcPr>
            <w:tcW w:w="1555" w:type="dxa"/>
            <w:shd w:val="clear" w:color="auto" w:fill="FFFFFF" w:themeFill="background1"/>
            <w:noWrap/>
            <w:vAlign w:val="center"/>
            <w:hideMark/>
          </w:tcPr>
          <w:p w14:paraId="31604831" w14:textId="77777777" w:rsidR="00FF0F9B" w:rsidRPr="00EF1E43" w:rsidRDefault="00FF0F9B" w:rsidP="00374F41">
            <w:pPr>
              <w:jc w:val="center"/>
              <w:rPr>
                <w:sz w:val="24"/>
              </w:rPr>
            </w:pPr>
            <w:r w:rsidRPr="00EF1E43">
              <w:rPr>
                <w:sz w:val="24"/>
              </w:rPr>
              <w:t>50628</w:t>
            </w:r>
          </w:p>
        </w:tc>
        <w:tc>
          <w:tcPr>
            <w:tcW w:w="7371" w:type="dxa"/>
            <w:shd w:val="clear" w:color="auto" w:fill="FFFFFF" w:themeFill="background1"/>
            <w:vAlign w:val="center"/>
            <w:hideMark/>
          </w:tcPr>
          <w:p w14:paraId="55BE4E8D" w14:textId="77777777" w:rsidR="00FF0F9B" w:rsidRPr="00EF1E43" w:rsidRDefault="00FF0F9B" w:rsidP="00374F41">
            <w:pPr>
              <w:rPr>
                <w:sz w:val="24"/>
              </w:rPr>
            </w:pPr>
            <w:r w:rsidRPr="00EF1E43">
              <w:rPr>
                <w:sz w:val="24"/>
              </w:rPr>
              <w:t>LeMasters GK, Genaidy AM, Succop P, et al (2006). Cancer risk among firefighters: a review and meta-analysis of 32 studies. J Occup Environ Med, 48(11): 1189-202.</w:t>
            </w:r>
          </w:p>
        </w:tc>
      </w:tr>
      <w:tr w:rsidR="00EF1E43" w:rsidRPr="00EF1E43" w14:paraId="48500279" w14:textId="77777777" w:rsidTr="00CC61F1">
        <w:trPr>
          <w:cantSplit/>
        </w:trPr>
        <w:tc>
          <w:tcPr>
            <w:tcW w:w="1555" w:type="dxa"/>
            <w:shd w:val="clear" w:color="auto" w:fill="FFFFFF" w:themeFill="background1"/>
            <w:noWrap/>
            <w:vAlign w:val="center"/>
            <w:hideMark/>
          </w:tcPr>
          <w:p w14:paraId="051DCAD3" w14:textId="77777777" w:rsidR="00FF0F9B" w:rsidRPr="00EF1E43" w:rsidRDefault="00FF0F9B" w:rsidP="00374F41">
            <w:pPr>
              <w:jc w:val="center"/>
              <w:rPr>
                <w:sz w:val="24"/>
              </w:rPr>
            </w:pPr>
            <w:r w:rsidRPr="00EF1E43">
              <w:rPr>
                <w:sz w:val="24"/>
              </w:rPr>
              <w:lastRenderedPageBreak/>
              <w:t>35562</w:t>
            </w:r>
          </w:p>
        </w:tc>
        <w:tc>
          <w:tcPr>
            <w:tcW w:w="7371" w:type="dxa"/>
            <w:shd w:val="clear" w:color="auto" w:fill="FFFFFF" w:themeFill="background1"/>
            <w:vAlign w:val="center"/>
            <w:hideMark/>
          </w:tcPr>
          <w:p w14:paraId="62FABDCB" w14:textId="77777777" w:rsidR="00FF0F9B" w:rsidRPr="00EF1E43" w:rsidRDefault="00FF0F9B" w:rsidP="00374F41">
            <w:pPr>
              <w:rPr>
                <w:sz w:val="24"/>
              </w:rPr>
            </w:pPr>
            <w:r w:rsidRPr="00EF1E43">
              <w:rPr>
                <w:sz w:val="24"/>
              </w:rPr>
              <w:t>Lenz SK, Goldberg MS, Labreche F, et al (2002). Association between alcohol consumption and postmenopausal breast cancer: results of a case-control study in Montreal, Quebec, Canada. Cancer Causes and Control, 13: 701-10.</w:t>
            </w:r>
          </w:p>
        </w:tc>
      </w:tr>
      <w:tr w:rsidR="00EF1E43" w:rsidRPr="00EF1E43" w14:paraId="45AA7E71" w14:textId="77777777" w:rsidTr="00CC61F1">
        <w:trPr>
          <w:cantSplit/>
        </w:trPr>
        <w:tc>
          <w:tcPr>
            <w:tcW w:w="1555" w:type="dxa"/>
            <w:shd w:val="clear" w:color="auto" w:fill="FFFFFF" w:themeFill="background1"/>
            <w:noWrap/>
            <w:vAlign w:val="center"/>
            <w:hideMark/>
          </w:tcPr>
          <w:p w14:paraId="407BC1DC" w14:textId="77777777" w:rsidR="00FF0F9B" w:rsidRPr="00EF1E43" w:rsidRDefault="00FF0F9B" w:rsidP="00374F41">
            <w:pPr>
              <w:jc w:val="center"/>
              <w:rPr>
                <w:sz w:val="24"/>
              </w:rPr>
            </w:pPr>
            <w:r w:rsidRPr="00EF1E43">
              <w:rPr>
                <w:sz w:val="24"/>
              </w:rPr>
              <w:t>35934</w:t>
            </w:r>
          </w:p>
        </w:tc>
        <w:tc>
          <w:tcPr>
            <w:tcW w:w="7371" w:type="dxa"/>
            <w:shd w:val="clear" w:color="auto" w:fill="FFFFFF" w:themeFill="background1"/>
            <w:vAlign w:val="center"/>
            <w:hideMark/>
          </w:tcPr>
          <w:p w14:paraId="66C8EFF5" w14:textId="77777777" w:rsidR="00FF0F9B" w:rsidRPr="00EF1E43" w:rsidRDefault="00FF0F9B" w:rsidP="00374F41">
            <w:pPr>
              <w:rPr>
                <w:sz w:val="24"/>
              </w:rPr>
            </w:pPr>
            <w:r w:rsidRPr="00EF1E43">
              <w:rPr>
                <w:sz w:val="24"/>
              </w:rPr>
              <w:t>Leon A, Verdu G, Cuevas MD, et al (2001). Study of radiation induced cancers in a breast screening programme. Radiation Protection Dosimetry, 93(1): 19-30.</w:t>
            </w:r>
          </w:p>
        </w:tc>
      </w:tr>
      <w:tr w:rsidR="00EF1E43" w:rsidRPr="00EF1E43" w14:paraId="4E5D26CD" w14:textId="77777777" w:rsidTr="00CC61F1">
        <w:trPr>
          <w:cantSplit/>
        </w:trPr>
        <w:tc>
          <w:tcPr>
            <w:tcW w:w="1555" w:type="dxa"/>
            <w:shd w:val="clear" w:color="auto" w:fill="FFFFFF" w:themeFill="background1"/>
            <w:noWrap/>
            <w:vAlign w:val="center"/>
            <w:hideMark/>
          </w:tcPr>
          <w:p w14:paraId="38C1993B" w14:textId="77777777" w:rsidR="00FF0F9B" w:rsidRPr="00EF1E43" w:rsidRDefault="00FF0F9B" w:rsidP="00374F41">
            <w:pPr>
              <w:jc w:val="center"/>
              <w:rPr>
                <w:sz w:val="24"/>
              </w:rPr>
            </w:pPr>
            <w:r w:rsidRPr="00EF1E43">
              <w:rPr>
                <w:sz w:val="24"/>
              </w:rPr>
              <w:t>71661</w:t>
            </w:r>
          </w:p>
        </w:tc>
        <w:tc>
          <w:tcPr>
            <w:tcW w:w="7371" w:type="dxa"/>
            <w:shd w:val="clear" w:color="auto" w:fill="FFFFFF" w:themeFill="background1"/>
            <w:vAlign w:val="center"/>
            <w:hideMark/>
          </w:tcPr>
          <w:p w14:paraId="762040A6" w14:textId="77777777" w:rsidR="00FF0F9B" w:rsidRPr="00EF1E43" w:rsidRDefault="00FF0F9B" w:rsidP="00374F41">
            <w:pPr>
              <w:rPr>
                <w:sz w:val="24"/>
              </w:rPr>
            </w:pPr>
            <w:r w:rsidRPr="00EF1E43">
              <w:rPr>
                <w:sz w:val="24"/>
              </w:rPr>
              <w:t>Leong AS, Zhuang Z (2011). The changing role of pathology in breast cancer diagnosis and treatment. Pathobiology, 78: 99-114.</w:t>
            </w:r>
          </w:p>
        </w:tc>
      </w:tr>
      <w:tr w:rsidR="00EF1E43" w:rsidRPr="00EF1E43" w14:paraId="05DB2911" w14:textId="77777777" w:rsidTr="00CC61F1">
        <w:trPr>
          <w:cantSplit/>
        </w:trPr>
        <w:tc>
          <w:tcPr>
            <w:tcW w:w="1555" w:type="dxa"/>
            <w:shd w:val="clear" w:color="auto" w:fill="FFFFFF" w:themeFill="background1"/>
            <w:noWrap/>
            <w:vAlign w:val="center"/>
            <w:hideMark/>
          </w:tcPr>
          <w:p w14:paraId="66A6621C" w14:textId="77777777" w:rsidR="00FF0F9B" w:rsidRPr="00EF1E43" w:rsidRDefault="00FF0F9B" w:rsidP="00374F41">
            <w:pPr>
              <w:jc w:val="center"/>
              <w:rPr>
                <w:sz w:val="24"/>
              </w:rPr>
            </w:pPr>
            <w:r w:rsidRPr="00EF1E43">
              <w:rPr>
                <w:sz w:val="24"/>
              </w:rPr>
              <w:t>35659</w:t>
            </w:r>
          </w:p>
        </w:tc>
        <w:tc>
          <w:tcPr>
            <w:tcW w:w="7371" w:type="dxa"/>
            <w:shd w:val="clear" w:color="auto" w:fill="FFFFFF" w:themeFill="background1"/>
            <w:vAlign w:val="center"/>
            <w:hideMark/>
          </w:tcPr>
          <w:p w14:paraId="180EABA2" w14:textId="77777777" w:rsidR="00FF0F9B" w:rsidRPr="00EF1E43" w:rsidRDefault="00FF0F9B" w:rsidP="00374F41">
            <w:pPr>
              <w:rPr>
                <w:sz w:val="24"/>
              </w:rPr>
            </w:pPr>
            <w:r w:rsidRPr="00EF1E43">
              <w:rPr>
                <w:sz w:val="24"/>
              </w:rPr>
              <w:t>Levi F, Pasche C, Lucchini F, et al (1996). Alcohol and breast cancer in the Swiss Canton of Vaud. European Journal of Cancer, 32A(12): 2108-13.</w:t>
            </w:r>
          </w:p>
        </w:tc>
      </w:tr>
      <w:tr w:rsidR="00EF1E43" w:rsidRPr="00EF1E43" w14:paraId="241424D3" w14:textId="77777777" w:rsidTr="00CC61F1">
        <w:trPr>
          <w:cantSplit/>
        </w:trPr>
        <w:tc>
          <w:tcPr>
            <w:tcW w:w="1555" w:type="dxa"/>
            <w:shd w:val="clear" w:color="auto" w:fill="FFFFFF" w:themeFill="background1"/>
            <w:noWrap/>
            <w:vAlign w:val="center"/>
            <w:hideMark/>
          </w:tcPr>
          <w:p w14:paraId="43C32207" w14:textId="77777777" w:rsidR="00FF0F9B" w:rsidRPr="00EF1E43" w:rsidRDefault="00FF0F9B" w:rsidP="00374F41">
            <w:pPr>
              <w:jc w:val="center"/>
              <w:rPr>
                <w:sz w:val="24"/>
              </w:rPr>
            </w:pPr>
            <w:r w:rsidRPr="00EF1E43">
              <w:rPr>
                <w:sz w:val="24"/>
              </w:rPr>
              <w:t>87215</w:t>
            </w:r>
          </w:p>
        </w:tc>
        <w:tc>
          <w:tcPr>
            <w:tcW w:w="7371" w:type="dxa"/>
            <w:shd w:val="clear" w:color="auto" w:fill="FFFFFF" w:themeFill="background1"/>
            <w:vAlign w:val="center"/>
            <w:hideMark/>
          </w:tcPr>
          <w:p w14:paraId="2FFD50DE" w14:textId="77777777" w:rsidR="00FF0F9B" w:rsidRPr="00EF1E43" w:rsidRDefault="00FF0F9B" w:rsidP="00374F41">
            <w:pPr>
              <w:rPr>
                <w:sz w:val="24"/>
              </w:rPr>
            </w:pPr>
            <w:r w:rsidRPr="00EF1E43">
              <w:rPr>
                <w:sz w:val="24"/>
              </w:rPr>
              <w:t>Lewis-Michl EL, Melius JM, Kallenbach LR (1996). Breast cancer risk and residence near industry traffic in Nassau and Suffolk Counties, Long Island, New York. Arch Environ Health, 51(4): 255-65.</w:t>
            </w:r>
          </w:p>
        </w:tc>
      </w:tr>
      <w:tr w:rsidR="00EF1E43" w:rsidRPr="00EF1E43" w14:paraId="527661E2" w14:textId="77777777" w:rsidTr="00CC61F1">
        <w:trPr>
          <w:cantSplit/>
        </w:trPr>
        <w:tc>
          <w:tcPr>
            <w:tcW w:w="1555" w:type="dxa"/>
            <w:shd w:val="clear" w:color="auto" w:fill="FFFFFF" w:themeFill="background1"/>
            <w:noWrap/>
            <w:vAlign w:val="center"/>
            <w:hideMark/>
          </w:tcPr>
          <w:p w14:paraId="33D573C4" w14:textId="77777777" w:rsidR="00FF0F9B" w:rsidRPr="00EF1E43" w:rsidRDefault="00FF0F9B" w:rsidP="00374F41">
            <w:pPr>
              <w:jc w:val="center"/>
              <w:rPr>
                <w:sz w:val="24"/>
              </w:rPr>
            </w:pPr>
            <w:r w:rsidRPr="00EF1E43">
              <w:rPr>
                <w:sz w:val="24"/>
              </w:rPr>
              <w:t>35727</w:t>
            </w:r>
          </w:p>
        </w:tc>
        <w:tc>
          <w:tcPr>
            <w:tcW w:w="7371" w:type="dxa"/>
            <w:shd w:val="clear" w:color="auto" w:fill="FFFFFF" w:themeFill="background1"/>
            <w:vAlign w:val="center"/>
            <w:hideMark/>
          </w:tcPr>
          <w:p w14:paraId="1EC6FA20" w14:textId="77777777" w:rsidR="00FF0F9B" w:rsidRPr="00EF1E43" w:rsidRDefault="00FF0F9B" w:rsidP="00374F41">
            <w:pPr>
              <w:rPr>
                <w:sz w:val="24"/>
              </w:rPr>
            </w:pPr>
            <w:r w:rsidRPr="00EF1E43">
              <w:rPr>
                <w:sz w:val="24"/>
              </w:rPr>
              <w:t>Li CI (2004). Postmenopausal hormone therapy and the risk of breast cancer: the view of an epidemiologist. Maturitas, 49: 44-50.</w:t>
            </w:r>
          </w:p>
        </w:tc>
      </w:tr>
      <w:tr w:rsidR="00EF1E43" w:rsidRPr="00EF1E43" w14:paraId="550D4E87" w14:textId="77777777" w:rsidTr="00CC61F1">
        <w:trPr>
          <w:cantSplit/>
        </w:trPr>
        <w:tc>
          <w:tcPr>
            <w:tcW w:w="1555" w:type="dxa"/>
            <w:shd w:val="clear" w:color="auto" w:fill="FFFFFF" w:themeFill="background1"/>
            <w:noWrap/>
            <w:vAlign w:val="center"/>
            <w:hideMark/>
          </w:tcPr>
          <w:p w14:paraId="22960726" w14:textId="77777777" w:rsidR="00FF0F9B" w:rsidRPr="00EF1E43" w:rsidRDefault="00FF0F9B" w:rsidP="00374F41">
            <w:pPr>
              <w:jc w:val="center"/>
              <w:rPr>
                <w:sz w:val="24"/>
              </w:rPr>
            </w:pPr>
            <w:r w:rsidRPr="00EF1E43">
              <w:rPr>
                <w:sz w:val="24"/>
              </w:rPr>
              <w:t>100811</w:t>
            </w:r>
          </w:p>
        </w:tc>
        <w:tc>
          <w:tcPr>
            <w:tcW w:w="7371" w:type="dxa"/>
            <w:shd w:val="clear" w:color="auto" w:fill="FFFFFF" w:themeFill="background1"/>
            <w:vAlign w:val="center"/>
            <w:hideMark/>
          </w:tcPr>
          <w:p w14:paraId="709D13CB" w14:textId="77777777" w:rsidR="00FF0F9B" w:rsidRPr="00EF1E43" w:rsidRDefault="00FF0F9B" w:rsidP="00374F41">
            <w:pPr>
              <w:rPr>
                <w:sz w:val="24"/>
              </w:rPr>
            </w:pPr>
            <w:r w:rsidRPr="00EF1E43">
              <w:rPr>
                <w:sz w:val="24"/>
              </w:rPr>
              <w:t>Li CI, Beaber EF, Tang MT, et al (2012). Effect of depo-medroxyprogesterone acetate on breast cancer risk among women 20 to 44 years of age. Cancer Res, 72(8): 2028-35.</w:t>
            </w:r>
          </w:p>
        </w:tc>
      </w:tr>
      <w:tr w:rsidR="00EF1E43" w:rsidRPr="00EF1E43" w14:paraId="67F03688" w14:textId="77777777" w:rsidTr="00CC61F1">
        <w:trPr>
          <w:cantSplit/>
        </w:trPr>
        <w:tc>
          <w:tcPr>
            <w:tcW w:w="1555" w:type="dxa"/>
            <w:shd w:val="clear" w:color="auto" w:fill="FFFFFF" w:themeFill="background1"/>
            <w:noWrap/>
            <w:vAlign w:val="center"/>
            <w:hideMark/>
          </w:tcPr>
          <w:p w14:paraId="7A8A6D93" w14:textId="77777777" w:rsidR="00FF0F9B" w:rsidRPr="00EF1E43" w:rsidRDefault="00FF0F9B" w:rsidP="00374F41">
            <w:pPr>
              <w:jc w:val="center"/>
              <w:rPr>
                <w:sz w:val="24"/>
              </w:rPr>
            </w:pPr>
            <w:r w:rsidRPr="00EF1E43">
              <w:rPr>
                <w:sz w:val="24"/>
              </w:rPr>
              <w:t>36928</w:t>
            </w:r>
          </w:p>
        </w:tc>
        <w:tc>
          <w:tcPr>
            <w:tcW w:w="7371" w:type="dxa"/>
            <w:shd w:val="clear" w:color="auto" w:fill="FFFFFF" w:themeFill="background1"/>
            <w:vAlign w:val="center"/>
            <w:hideMark/>
          </w:tcPr>
          <w:p w14:paraId="2B9AAD1F" w14:textId="77777777" w:rsidR="00FF0F9B" w:rsidRPr="00EF1E43" w:rsidRDefault="00FF0F9B" w:rsidP="00374F41">
            <w:pPr>
              <w:rPr>
                <w:sz w:val="24"/>
              </w:rPr>
            </w:pPr>
            <w:r w:rsidRPr="00EF1E43">
              <w:rPr>
                <w:sz w:val="24"/>
              </w:rPr>
              <w:t>Li CI, Malone KE, Porter PL, et al (2003). Reproductive and anthropometric factors in relation to the risk of lobular and ductal breast carcinoma among women 65-79 years of age. Int J Cancer, 107: 647-51.</w:t>
            </w:r>
          </w:p>
        </w:tc>
      </w:tr>
      <w:tr w:rsidR="00EF1E43" w:rsidRPr="00EF1E43" w14:paraId="3294E945" w14:textId="77777777" w:rsidTr="00CC61F1">
        <w:trPr>
          <w:cantSplit/>
        </w:trPr>
        <w:tc>
          <w:tcPr>
            <w:tcW w:w="1555" w:type="dxa"/>
            <w:shd w:val="clear" w:color="auto" w:fill="FFFFFF" w:themeFill="background1"/>
            <w:noWrap/>
            <w:vAlign w:val="center"/>
            <w:hideMark/>
          </w:tcPr>
          <w:p w14:paraId="0568E90F" w14:textId="77777777" w:rsidR="00FF0F9B" w:rsidRPr="00EF1E43" w:rsidRDefault="00FF0F9B" w:rsidP="00374F41">
            <w:pPr>
              <w:jc w:val="center"/>
              <w:rPr>
                <w:sz w:val="24"/>
              </w:rPr>
            </w:pPr>
            <w:r w:rsidRPr="00EF1E43">
              <w:rPr>
                <w:sz w:val="24"/>
              </w:rPr>
              <w:t>35638</w:t>
            </w:r>
          </w:p>
        </w:tc>
        <w:tc>
          <w:tcPr>
            <w:tcW w:w="7371" w:type="dxa"/>
            <w:shd w:val="clear" w:color="auto" w:fill="FFFFFF" w:themeFill="background1"/>
            <w:vAlign w:val="center"/>
            <w:hideMark/>
          </w:tcPr>
          <w:p w14:paraId="24C19C46" w14:textId="77777777" w:rsidR="00FF0F9B" w:rsidRPr="00EF1E43" w:rsidRDefault="00FF0F9B" w:rsidP="00374F41">
            <w:pPr>
              <w:rPr>
                <w:sz w:val="24"/>
              </w:rPr>
            </w:pPr>
            <w:r w:rsidRPr="00EF1E43">
              <w:rPr>
                <w:sz w:val="24"/>
              </w:rPr>
              <w:t>Li CI, Malone KE, Porter PL, et al (2003). The relationship between alcohol use and risk of breast cancer by histology and hormone receptor status among women 65-79 years of age. Cancer Epidemiology, Biomarkers &amp; Prevention, 12: 1061-66.</w:t>
            </w:r>
          </w:p>
        </w:tc>
      </w:tr>
      <w:tr w:rsidR="00EF1E43" w:rsidRPr="00EF1E43" w14:paraId="33127D97" w14:textId="77777777" w:rsidTr="00CC61F1">
        <w:trPr>
          <w:cantSplit/>
        </w:trPr>
        <w:tc>
          <w:tcPr>
            <w:tcW w:w="1555" w:type="dxa"/>
            <w:shd w:val="clear" w:color="auto" w:fill="FFFFFF" w:themeFill="background1"/>
            <w:noWrap/>
            <w:vAlign w:val="center"/>
            <w:hideMark/>
          </w:tcPr>
          <w:p w14:paraId="15C5CC9E" w14:textId="77777777" w:rsidR="00FF0F9B" w:rsidRPr="00EF1E43" w:rsidRDefault="00FF0F9B" w:rsidP="00374F41">
            <w:pPr>
              <w:jc w:val="center"/>
              <w:rPr>
                <w:sz w:val="24"/>
              </w:rPr>
            </w:pPr>
            <w:r w:rsidRPr="00EF1E43">
              <w:rPr>
                <w:sz w:val="24"/>
              </w:rPr>
              <w:t>10721</w:t>
            </w:r>
          </w:p>
        </w:tc>
        <w:tc>
          <w:tcPr>
            <w:tcW w:w="7371" w:type="dxa"/>
            <w:shd w:val="clear" w:color="auto" w:fill="FFFFFF" w:themeFill="background1"/>
            <w:vAlign w:val="center"/>
            <w:hideMark/>
          </w:tcPr>
          <w:p w14:paraId="604786FD" w14:textId="77777777" w:rsidR="00FF0F9B" w:rsidRPr="00EF1E43" w:rsidRDefault="00FF0F9B" w:rsidP="00374F41">
            <w:pPr>
              <w:rPr>
                <w:sz w:val="24"/>
              </w:rPr>
            </w:pPr>
            <w:r w:rsidRPr="00EF1E43">
              <w:rPr>
                <w:sz w:val="24"/>
              </w:rPr>
              <w:t>Li CY, Theriault G, Lin RS (1997). Residential exposure to 60-hertz magnetic fields and adult cancers in Taiwan. Epidemiology, 8(1): 25-30.</w:t>
            </w:r>
          </w:p>
        </w:tc>
      </w:tr>
      <w:tr w:rsidR="00EF1E43" w:rsidRPr="00EF1E43" w14:paraId="08C0F464" w14:textId="77777777" w:rsidTr="00CC61F1">
        <w:trPr>
          <w:cantSplit/>
        </w:trPr>
        <w:tc>
          <w:tcPr>
            <w:tcW w:w="1555" w:type="dxa"/>
            <w:shd w:val="clear" w:color="auto" w:fill="FFFFFF" w:themeFill="background1"/>
            <w:noWrap/>
            <w:vAlign w:val="center"/>
            <w:hideMark/>
          </w:tcPr>
          <w:p w14:paraId="6768CFFC" w14:textId="77777777" w:rsidR="00FF0F9B" w:rsidRPr="00EF1E43" w:rsidRDefault="00FF0F9B" w:rsidP="00374F41">
            <w:pPr>
              <w:jc w:val="center"/>
              <w:rPr>
                <w:sz w:val="24"/>
              </w:rPr>
            </w:pPr>
            <w:r w:rsidRPr="00EF1E43">
              <w:rPr>
                <w:sz w:val="24"/>
              </w:rPr>
              <w:t>87308</w:t>
            </w:r>
          </w:p>
        </w:tc>
        <w:tc>
          <w:tcPr>
            <w:tcW w:w="7371" w:type="dxa"/>
            <w:shd w:val="clear" w:color="auto" w:fill="FFFFFF" w:themeFill="background1"/>
            <w:vAlign w:val="center"/>
            <w:hideMark/>
          </w:tcPr>
          <w:p w14:paraId="3AFFF759" w14:textId="77777777" w:rsidR="00FF0F9B" w:rsidRPr="00EF1E43" w:rsidRDefault="00FF0F9B" w:rsidP="00374F41">
            <w:pPr>
              <w:rPr>
                <w:sz w:val="24"/>
              </w:rPr>
            </w:pPr>
            <w:r w:rsidRPr="00EF1E43">
              <w:rPr>
                <w:sz w:val="24"/>
              </w:rPr>
              <w:t>Li H, Sun X, Miller E, et al (2017). BMI, reproductive factors, and breast cancer molecular subtypes: A case-control study and meta-analysis. J Epidemiol, 27(4): 143-51.</w:t>
            </w:r>
          </w:p>
        </w:tc>
      </w:tr>
      <w:tr w:rsidR="00EF1E43" w:rsidRPr="00EF1E43" w14:paraId="349ABC67" w14:textId="77777777" w:rsidTr="00CC61F1">
        <w:trPr>
          <w:cantSplit/>
        </w:trPr>
        <w:tc>
          <w:tcPr>
            <w:tcW w:w="1555" w:type="dxa"/>
            <w:shd w:val="clear" w:color="auto" w:fill="FFFFFF" w:themeFill="background1"/>
            <w:noWrap/>
            <w:vAlign w:val="center"/>
            <w:hideMark/>
          </w:tcPr>
          <w:p w14:paraId="6D6C58BF" w14:textId="77777777" w:rsidR="00FF0F9B" w:rsidRPr="00EF1E43" w:rsidRDefault="00FF0F9B" w:rsidP="00374F41">
            <w:pPr>
              <w:jc w:val="center"/>
              <w:rPr>
                <w:sz w:val="24"/>
              </w:rPr>
            </w:pPr>
            <w:r w:rsidRPr="00EF1E43">
              <w:rPr>
                <w:sz w:val="24"/>
              </w:rPr>
              <w:t>71748</w:t>
            </w:r>
          </w:p>
        </w:tc>
        <w:tc>
          <w:tcPr>
            <w:tcW w:w="7371" w:type="dxa"/>
            <w:shd w:val="clear" w:color="auto" w:fill="FFFFFF" w:themeFill="background1"/>
            <w:vAlign w:val="center"/>
            <w:hideMark/>
          </w:tcPr>
          <w:p w14:paraId="70958EF8" w14:textId="77777777" w:rsidR="00FF0F9B" w:rsidRPr="00EF1E43" w:rsidRDefault="00FF0F9B" w:rsidP="00374F41">
            <w:pPr>
              <w:rPr>
                <w:sz w:val="24"/>
              </w:rPr>
            </w:pPr>
            <w:r w:rsidRPr="00EF1E43">
              <w:rPr>
                <w:sz w:val="24"/>
              </w:rPr>
              <w:t>Li LL, Zhou J, Qian XJ, et al (2013). Meta-analysis on the possible association between in vitro fertilization and cancer risk. Int J Gynecol Cancer, 23(1): 16-24.</w:t>
            </w:r>
          </w:p>
        </w:tc>
      </w:tr>
      <w:tr w:rsidR="00EF1E43" w:rsidRPr="00EF1E43" w14:paraId="14D87C6F" w14:textId="77777777" w:rsidTr="00CC61F1">
        <w:trPr>
          <w:cantSplit/>
        </w:trPr>
        <w:tc>
          <w:tcPr>
            <w:tcW w:w="1555" w:type="dxa"/>
            <w:shd w:val="clear" w:color="auto" w:fill="FFFFFF" w:themeFill="background1"/>
            <w:noWrap/>
            <w:vAlign w:val="center"/>
            <w:hideMark/>
          </w:tcPr>
          <w:p w14:paraId="2F3A7C15" w14:textId="77777777" w:rsidR="00FF0F9B" w:rsidRPr="00EF1E43" w:rsidRDefault="00FF0F9B" w:rsidP="00374F41">
            <w:pPr>
              <w:jc w:val="center"/>
              <w:rPr>
                <w:sz w:val="24"/>
              </w:rPr>
            </w:pPr>
            <w:r w:rsidRPr="00EF1E43">
              <w:rPr>
                <w:sz w:val="24"/>
              </w:rPr>
              <w:t>100812</w:t>
            </w:r>
          </w:p>
        </w:tc>
        <w:tc>
          <w:tcPr>
            <w:tcW w:w="7371" w:type="dxa"/>
            <w:shd w:val="clear" w:color="auto" w:fill="FFFFFF" w:themeFill="background1"/>
            <w:vAlign w:val="center"/>
            <w:hideMark/>
          </w:tcPr>
          <w:p w14:paraId="71B70219" w14:textId="77777777" w:rsidR="00FF0F9B" w:rsidRPr="00EF1E43" w:rsidRDefault="00FF0F9B" w:rsidP="00374F41">
            <w:pPr>
              <w:rPr>
                <w:sz w:val="24"/>
              </w:rPr>
            </w:pPr>
            <w:r w:rsidRPr="00EF1E43">
              <w:rPr>
                <w:sz w:val="24"/>
              </w:rPr>
              <w:t>Liang AP, Levenson AG, Layde PM, et al (1983). Risk of breast, uterine corpus, and ovarian cancer in women receiving medroxyprogesterone injections. JAMA, 249(21): 2909-12.</w:t>
            </w:r>
          </w:p>
        </w:tc>
      </w:tr>
      <w:tr w:rsidR="00EF1E43" w:rsidRPr="00EF1E43" w14:paraId="391F346F" w14:textId="77777777" w:rsidTr="00CC61F1">
        <w:trPr>
          <w:cantSplit/>
        </w:trPr>
        <w:tc>
          <w:tcPr>
            <w:tcW w:w="1555" w:type="dxa"/>
            <w:shd w:val="clear" w:color="auto" w:fill="FFFFFF" w:themeFill="background1"/>
            <w:noWrap/>
            <w:vAlign w:val="center"/>
            <w:hideMark/>
          </w:tcPr>
          <w:p w14:paraId="502A71D5" w14:textId="77777777" w:rsidR="00FF0F9B" w:rsidRPr="00EF1E43" w:rsidRDefault="00FF0F9B" w:rsidP="00374F41">
            <w:pPr>
              <w:jc w:val="center"/>
              <w:rPr>
                <w:sz w:val="24"/>
              </w:rPr>
            </w:pPr>
            <w:r w:rsidRPr="00EF1E43">
              <w:rPr>
                <w:sz w:val="24"/>
              </w:rPr>
              <w:t>71662</w:t>
            </w:r>
          </w:p>
        </w:tc>
        <w:tc>
          <w:tcPr>
            <w:tcW w:w="7371" w:type="dxa"/>
            <w:shd w:val="clear" w:color="auto" w:fill="FFFFFF" w:themeFill="background1"/>
            <w:vAlign w:val="center"/>
            <w:hideMark/>
          </w:tcPr>
          <w:p w14:paraId="075DEB79" w14:textId="77777777" w:rsidR="00FF0F9B" w:rsidRPr="00EF1E43" w:rsidRDefault="00FF0F9B" w:rsidP="00374F41">
            <w:pPr>
              <w:rPr>
                <w:sz w:val="24"/>
              </w:rPr>
            </w:pPr>
            <w:r w:rsidRPr="00EF1E43">
              <w:rPr>
                <w:sz w:val="24"/>
              </w:rPr>
              <w:t>Liao S, Li J, Wei W, et al (2011). Association between diabetes mellitus and breast cancer risk: a meta-analysis of the literature. Asian Pac J Cancer Prev, 12: 1061-5.</w:t>
            </w:r>
          </w:p>
        </w:tc>
      </w:tr>
      <w:tr w:rsidR="00EF1E43" w:rsidRPr="00EF1E43" w14:paraId="403CF9D8" w14:textId="77777777" w:rsidTr="00CC61F1">
        <w:trPr>
          <w:cantSplit/>
        </w:trPr>
        <w:tc>
          <w:tcPr>
            <w:tcW w:w="1555" w:type="dxa"/>
            <w:shd w:val="clear" w:color="auto" w:fill="FFFFFF" w:themeFill="background1"/>
            <w:noWrap/>
            <w:vAlign w:val="center"/>
            <w:hideMark/>
          </w:tcPr>
          <w:p w14:paraId="7D2B57FE" w14:textId="77777777" w:rsidR="00FF0F9B" w:rsidRPr="00EF1E43" w:rsidRDefault="00FF0F9B" w:rsidP="00374F41">
            <w:pPr>
              <w:jc w:val="center"/>
              <w:rPr>
                <w:sz w:val="24"/>
              </w:rPr>
            </w:pPr>
            <w:r w:rsidRPr="00EF1E43">
              <w:rPr>
                <w:sz w:val="24"/>
              </w:rPr>
              <w:t>71663</w:t>
            </w:r>
          </w:p>
        </w:tc>
        <w:tc>
          <w:tcPr>
            <w:tcW w:w="7371" w:type="dxa"/>
            <w:shd w:val="clear" w:color="auto" w:fill="FFFFFF" w:themeFill="background1"/>
            <w:vAlign w:val="center"/>
            <w:hideMark/>
          </w:tcPr>
          <w:p w14:paraId="02DBAB08" w14:textId="77777777" w:rsidR="00FF0F9B" w:rsidRPr="00EF1E43" w:rsidRDefault="00FF0F9B" w:rsidP="00374F41">
            <w:pPr>
              <w:rPr>
                <w:sz w:val="24"/>
              </w:rPr>
            </w:pPr>
            <w:r w:rsidRPr="00EF1E43">
              <w:rPr>
                <w:sz w:val="24"/>
              </w:rPr>
              <w:t>Ligibel J (2011). Obesity and breast cancer. Oncology, 25(11): 994-1000.</w:t>
            </w:r>
          </w:p>
        </w:tc>
      </w:tr>
      <w:tr w:rsidR="00EF1E43" w:rsidRPr="00EF1E43" w14:paraId="52E31FBC" w14:textId="77777777" w:rsidTr="00CC61F1">
        <w:trPr>
          <w:cantSplit/>
        </w:trPr>
        <w:tc>
          <w:tcPr>
            <w:tcW w:w="1555" w:type="dxa"/>
            <w:shd w:val="clear" w:color="auto" w:fill="FFFFFF" w:themeFill="background1"/>
            <w:noWrap/>
            <w:vAlign w:val="center"/>
            <w:hideMark/>
          </w:tcPr>
          <w:p w14:paraId="7E49A630" w14:textId="77777777" w:rsidR="00FF0F9B" w:rsidRPr="00EF1E43" w:rsidRDefault="00FF0F9B" w:rsidP="00374F41">
            <w:pPr>
              <w:jc w:val="center"/>
              <w:rPr>
                <w:sz w:val="24"/>
              </w:rPr>
            </w:pPr>
            <w:r w:rsidRPr="00EF1E43">
              <w:rPr>
                <w:sz w:val="24"/>
              </w:rPr>
              <w:lastRenderedPageBreak/>
              <w:t>71664</w:t>
            </w:r>
          </w:p>
        </w:tc>
        <w:tc>
          <w:tcPr>
            <w:tcW w:w="7371" w:type="dxa"/>
            <w:shd w:val="clear" w:color="auto" w:fill="FFFFFF" w:themeFill="background1"/>
            <w:vAlign w:val="center"/>
            <w:hideMark/>
          </w:tcPr>
          <w:p w14:paraId="6A7984A8" w14:textId="77777777" w:rsidR="00FF0F9B" w:rsidRPr="00EF1E43" w:rsidRDefault="00FF0F9B" w:rsidP="00374F41">
            <w:pPr>
              <w:rPr>
                <w:sz w:val="24"/>
              </w:rPr>
            </w:pPr>
            <w:r w:rsidRPr="00EF1E43">
              <w:rPr>
                <w:sz w:val="24"/>
              </w:rPr>
              <w:t>Lippman ME (2012). Breast cancer. Chapter 90. Retrieved 6 June 2014, from http://accessmedicine.mhmedical.com/content.aspx?bookid=331&amp;sectionid=40726826&amp;Resultclick=2#9115867</w:t>
            </w:r>
          </w:p>
        </w:tc>
      </w:tr>
      <w:tr w:rsidR="00EF1E43" w:rsidRPr="00EF1E43" w14:paraId="59117DCA" w14:textId="77777777" w:rsidTr="00CC61F1">
        <w:trPr>
          <w:cantSplit/>
        </w:trPr>
        <w:tc>
          <w:tcPr>
            <w:tcW w:w="1555" w:type="dxa"/>
            <w:shd w:val="clear" w:color="auto" w:fill="FFFFFF" w:themeFill="background1"/>
            <w:noWrap/>
            <w:vAlign w:val="center"/>
            <w:hideMark/>
          </w:tcPr>
          <w:p w14:paraId="6E454F0D" w14:textId="77777777" w:rsidR="00FF0F9B" w:rsidRPr="00EF1E43" w:rsidRDefault="00FF0F9B" w:rsidP="00374F41">
            <w:pPr>
              <w:jc w:val="center"/>
              <w:rPr>
                <w:sz w:val="24"/>
              </w:rPr>
            </w:pPr>
            <w:r w:rsidRPr="00EF1E43">
              <w:rPr>
                <w:sz w:val="24"/>
              </w:rPr>
              <w:t>35625</w:t>
            </w:r>
          </w:p>
        </w:tc>
        <w:tc>
          <w:tcPr>
            <w:tcW w:w="7371" w:type="dxa"/>
            <w:shd w:val="clear" w:color="auto" w:fill="FFFFFF" w:themeFill="background1"/>
            <w:vAlign w:val="center"/>
            <w:hideMark/>
          </w:tcPr>
          <w:p w14:paraId="73F6AB2B" w14:textId="77777777" w:rsidR="00FF0F9B" w:rsidRPr="00EF1E43" w:rsidRDefault="00FF0F9B" w:rsidP="00374F41">
            <w:pPr>
              <w:rPr>
                <w:sz w:val="24"/>
              </w:rPr>
            </w:pPr>
            <w:r w:rsidRPr="00EF1E43">
              <w:rPr>
                <w:sz w:val="24"/>
              </w:rPr>
              <w:t>Lipworth L, Bailey LR, Trichopoulos D (2000). History of breast-feeding in relation to breast cancer risk: a review of the epidemiologic literature. J Natl Cancer Inst, 92(4): 302-12.</w:t>
            </w:r>
          </w:p>
        </w:tc>
      </w:tr>
      <w:tr w:rsidR="00EF1E43" w:rsidRPr="00EF1E43" w14:paraId="3721BE1C" w14:textId="77777777" w:rsidTr="00CC61F1">
        <w:trPr>
          <w:cantSplit/>
        </w:trPr>
        <w:tc>
          <w:tcPr>
            <w:tcW w:w="1555" w:type="dxa"/>
            <w:shd w:val="clear" w:color="auto" w:fill="FFFFFF" w:themeFill="background1"/>
            <w:noWrap/>
            <w:vAlign w:val="center"/>
            <w:hideMark/>
          </w:tcPr>
          <w:p w14:paraId="0F13A140" w14:textId="77777777" w:rsidR="00FF0F9B" w:rsidRPr="00EF1E43" w:rsidRDefault="00FF0F9B" w:rsidP="00374F41">
            <w:pPr>
              <w:jc w:val="center"/>
              <w:rPr>
                <w:sz w:val="24"/>
              </w:rPr>
            </w:pPr>
            <w:r w:rsidRPr="00EF1E43">
              <w:rPr>
                <w:sz w:val="24"/>
              </w:rPr>
              <w:t>58989</w:t>
            </w:r>
          </w:p>
        </w:tc>
        <w:tc>
          <w:tcPr>
            <w:tcW w:w="7371" w:type="dxa"/>
            <w:shd w:val="clear" w:color="auto" w:fill="FFFFFF" w:themeFill="background1"/>
            <w:vAlign w:val="center"/>
            <w:hideMark/>
          </w:tcPr>
          <w:p w14:paraId="7F1DD92E" w14:textId="77777777" w:rsidR="00FF0F9B" w:rsidRPr="00EF1E43" w:rsidRDefault="00FF0F9B" w:rsidP="00374F41">
            <w:pPr>
              <w:rPr>
                <w:sz w:val="24"/>
              </w:rPr>
            </w:pPr>
            <w:r w:rsidRPr="00EF1E43">
              <w:rPr>
                <w:sz w:val="24"/>
              </w:rPr>
              <w:t>Little MP (2001). Cancer after exposure to radiation in the course of treatment for benign and malignant disease. Lancet Oncol, 2(4): 212-20.</w:t>
            </w:r>
          </w:p>
        </w:tc>
      </w:tr>
      <w:tr w:rsidR="00EF1E43" w:rsidRPr="00EF1E43" w14:paraId="1DEAA26B" w14:textId="77777777" w:rsidTr="00CC61F1">
        <w:trPr>
          <w:cantSplit/>
        </w:trPr>
        <w:tc>
          <w:tcPr>
            <w:tcW w:w="1555" w:type="dxa"/>
            <w:shd w:val="clear" w:color="auto" w:fill="FFFFFF" w:themeFill="background1"/>
            <w:noWrap/>
            <w:vAlign w:val="center"/>
            <w:hideMark/>
          </w:tcPr>
          <w:p w14:paraId="24871084" w14:textId="77777777" w:rsidR="00FF0F9B" w:rsidRPr="00EF1E43" w:rsidRDefault="00FF0F9B" w:rsidP="00374F41">
            <w:pPr>
              <w:jc w:val="center"/>
              <w:rPr>
                <w:sz w:val="24"/>
              </w:rPr>
            </w:pPr>
            <w:r w:rsidRPr="00EF1E43">
              <w:rPr>
                <w:sz w:val="24"/>
              </w:rPr>
              <w:t>55323</w:t>
            </w:r>
          </w:p>
        </w:tc>
        <w:tc>
          <w:tcPr>
            <w:tcW w:w="7371" w:type="dxa"/>
            <w:shd w:val="clear" w:color="auto" w:fill="FFFFFF" w:themeFill="background1"/>
            <w:vAlign w:val="center"/>
            <w:hideMark/>
          </w:tcPr>
          <w:p w14:paraId="6C915159" w14:textId="77777777" w:rsidR="00FF0F9B" w:rsidRPr="00EF1E43" w:rsidRDefault="00FF0F9B" w:rsidP="00374F41">
            <w:pPr>
              <w:rPr>
                <w:sz w:val="24"/>
              </w:rPr>
            </w:pPr>
            <w:r w:rsidRPr="00EF1E43">
              <w:rPr>
                <w:sz w:val="24"/>
              </w:rPr>
              <w:t>Little MP, Hall P, Charles MW (2007). Are cancer risks associated with exposures to ionising radiation from internal emitters greater than those in the Japanese A-bomb survivors? Radiat Environ Biophys, 46(4): 299-310.</w:t>
            </w:r>
          </w:p>
        </w:tc>
      </w:tr>
      <w:tr w:rsidR="00EF1E43" w:rsidRPr="00EF1E43" w14:paraId="26F5058C" w14:textId="77777777" w:rsidTr="00CC61F1">
        <w:trPr>
          <w:cantSplit/>
        </w:trPr>
        <w:tc>
          <w:tcPr>
            <w:tcW w:w="1555" w:type="dxa"/>
            <w:shd w:val="clear" w:color="auto" w:fill="FFFFFF" w:themeFill="background1"/>
            <w:noWrap/>
            <w:vAlign w:val="center"/>
            <w:hideMark/>
          </w:tcPr>
          <w:p w14:paraId="4D65A9AE" w14:textId="77777777" w:rsidR="00FF0F9B" w:rsidRPr="00EF1E43" w:rsidRDefault="00FF0F9B" w:rsidP="00374F41">
            <w:pPr>
              <w:jc w:val="center"/>
              <w:rPr>
                <w:sz w:val="24"/>
              </w:rPr>
            </w:pPr>
            <w:r w:rsidRPr="00EF1E43">
              <w:rPr>
                <w:sz w:val="24"/>
              </w:rPr>
              <w:t>71665</w:t>
            </w:r>
          </w:p>
        </w:tc>
        <w:tc>
          <w:tcPr>
            <w:tcW w:w="7371" w:type="dxa"/>
            <w:shd w:val="clear" w:color="auto" w:fill="FFFFFF" w:themeFill="background1"/>
            <w:vAlign w:val="center"/>
            <w:hideMark/>
          </w:tcPr>
          <w:p w14:paraId="502B44A3" w14:textId="77777777" w:rsidR="00FF0F9B" w:rsidRPr="00EF1E43" w:rsidRDefault="00FF0F9B" w:rsidP="00374F41">
            <w:pPr>
              <w:rPr>
                <w:sz w:val="24"/>
              </w:rPr>
            </w:pPr>
            <w:r w:rsidRPr="00EF1E43">
              <w:rPr>
                <w:sz w:val="24"/>
              </w:rPr>
              <w:t>Liu Y, Zhao S, Chen W, et al (2012). Bisphosphonate use and the risk of breast cancer: a meta-analysis of published literature. Clin Breast Cancer, 12(4): 276-81.</w:t>
            </w:r>
          </w:p>
        </w:tc>
      </w:tr>
      <w:tr w:rsidR="00EF1E43" w:rsidRPr="00EF1E43" w14:paraId="5F5EEF42" w14:textId="77777777" w:rsidTr="00CC61F1">
        <w:trPr>
          <w:cantSplit/>
        </w:trPr>
        <w:tc>
          <w:tcPr>
            <w:tcW w:w="1555" w:type="dxa"/>
            <w:shd w:val="clear" w:color="auto" w:fill="FFFFFF" w:themeFill="background1"/>
            <w:noWrap/>
            <w:vAlign w:val="center"/>
            <w:hideMark/>
          </w:tcPr>
          <w:p w14:paraId="20E287A8" w14:textId="77777777" w:rsidR="00FF0F9B" w:rsidRPr="00EF1E43" w:rsidRDefault="00FF0F9B" w:rsidP="00374F41">
            <w:pPr>
              <w:jc w:val="center"/>
              <w:rPr>
                <w:sz w:val="24"/>
              </w:rPr>
            </w:pPr>
            <w:r w:rsidRPr="00EF1E43">
              <w:rPr>
                <w:sz w:val="24"/>
              </w:rPr>
              <w:t>71700</w:t>
            </w:r>
          </w:p>
        </w:tc>
        <w:tc>
          <w:tcPr>
            <w:tcW w:w="7371" w:type="dxa"/>
            <w:shd w:val="clear" w:color="auto" w:fill="FFFFFF" w:themeFill="background1"/>
            <w:vAlign w:val="center"/>
            <w:hideMark/>
          </w:tcPr>
          <w:p w14:paraId="2D7AE98F" w14:textId="77777777" w:rsidR="00FF0F9B" w:rsidRPr="00EF1E43" w:rsidRDefault="00FF0F9B" w:rsidP="00374F41">
            <w:pPr>
              <w:rPr>
                <w:sz w:val="24"/>
              </w:rPr>
            </w:pPr>
            <w:r w:rsidRPr="00EF1E43">
              <w:rPr>
                <w:sz w:val="24"/>
              </w:rPr>
              <w:t>Lo Russo G, Spinelli GP, Tomao S, et al (2013). Breast cancer risk after exposure to fertility drugs. Expert Rev Anticancer Ther, 13(2): 149-57.</w:t>
            </w:r>
          </w:p>
        </w:tc>
      </w:tr>
      <w:tr w:rsidR="00EF1E43" w:rsidRPr="00EF1E43" w14:paraId="6B5A023C" w14:textId="77777777" w:rsidTr="00CC61F1">
        <w:trPr>
          <w:cantSplit/>
        </w:trPr>
        <w:tc>
          <w:tcPr>
            <w:tcW w:w="1555" w:type="dxa"/>
            <w:shd w:val="clear" w:color="auto" w:fill="FFFFFF" w:themeFill="background1"/>
            <w:noWrap/>
            <w:vAlign w:val="center"/>
            <w:hideMark/>
          </w:tcPr>
          <w:p w14:paraId="580DAEC9" w14:textId="77777777" w:rsidR="00FF0F9B" w:rsidRPr="00EF1E43" w:rsidRDefault="00FF0F9B" w:rsidP="00374F41">
            <w:pPr>
              <w:jc w:val="center"/>
              <w:rPr>
                <w:sz w:val="24"/>
              </w:rPr>
            </w:pPr>
            <w:r w:rsidRPr="00EF1E43">
              <w:rPr>
                <w:sz w:val="24"/>
              </w:rPr>
              <w:t>35604</w:t>
            </w:r>
          </w:p>
        </w:tc>
        <w:tc>
          <w:tcPr>
            <w:tcW w:w="7371" w:type="dxa"/>
            <w:shd w:val="clear" w:color="auto" w:fill="FFFFFF" w:themeFill="background1"/>
            <w:vAlign w:val="center"/>
            <w:hideMark/>
          </w:tcPr>
          <w:p w14:paraId="1FF73FDF" w14:textId="77777777" w:rsidR="00FF0F9B" w:rsidRPr="00EF1E43" w:rsidRDefault="00FF0F9B" w:rsidP="00374F41">
            <w:pPr>
              <w:rPr>
                <w:sz w:val="24"/>
              </w:rPr>
            </w:pPr>
            <w:r w:rsidRPr="00EF1E43">
              <w:rPr>
                <w:sz w:val="24"/>
              </w:rPr>
              <w:t>London SJ, Pogoda JM, Hwang KL, et al (2003). Residential magnetic field exposure and breast cancer risk: a nested case-control study from a multiethnic cohort in Los Angeles County, California. American Journal of Epidemiology, 158(10): 969-80.</w:t>
            </w:r>
          </w:p>
        </w:tc>
      </w:tr>
      <w:tr w:rsidR="00EF1E43" w:rsidRPr="00EF1E43" w14:paraId="771B0D24" w14:textId="77777777" w:rsidTr="00CC61F1">
        <w:trPr>
          <w:cantSplit/>
        </w:trPr>
        <w:tc>
          <w:tcPr>
            <w:tcW w:w="1555" w:type="dxa"/>
            <w:shd w:val="clear" w:color="auto" w:fill="FFFFFF" w:themeFill="background1"/>
            <w:noWrap/>
            <w:vAlign w:val="center"/>
            <w:hideMark/>
          </w:tcPr>
          <w:p w14:paraId="7714A8C9" w14:textId="77777777" w:rsidR="00FF0F9B" w:rsidRPr="00EF1E43" w:rsidRDefault="00FF0F9B" w:rsidP="00374F41">
            <w:pPr>
              <w:jc w:val="center"/>
              <w:rPr>
                <w:sz w:val="24"/>
              </w:rPr>
            </w:pPr>
            <w:r w:rsidRPr="00EF1E43">
              <w:rPr>
                <w:sz w:val="24"/>
              </w:rPr>
              <w:t>4693</w:t>
            </w:r>
          </w:p>
        </w:tc>
        <w:tc>
          <w:tcPr>
            <w:tcW w:w="7371" w:type="dxa"/>
            <w:shd w:val="clear" w:color="auto" w:fill="FFFFFF" w:themeFill="background1"/>
            <w:vAlign w:val="center"/>
            <w:hideMark/>
          </w:tcPr>
          <w:p w14:paraId="6E9C23EC" w14:textId="77777777" w:rsidR="00FF0F9B" w:rsidRPr="00EF1E43" w:rsidRDefault="00FF0F9B" w:rsidP="00374F41">
            <w:pPr>
              <w:rPr>
                <w:sz w:val="24"/>
              </w:rPr>
            </w:pPr>
            <w:r w:rsidRPr="00EF1E43">
              <w:rPr>
                <w:sz w:val="24"/>
              </w:rPr>
              <w:t>Longnecker MP (1994). Alcoholic beverage consumption in relation to risk of breast cancer: meta-analysis and review. Cancer Causes Control, 5: 73-82.</w:t>
            </w:r>
          </w:p>
        </w:tc>
      </w:tr>
      <w:tr w:rsidR="00EF1E43" w:rsidRPr="00EF1E43" w14:paraId="6B28D8F5" w14:textId="77777777" w:rsidTr="00CC61F1">
        <w:trPr>
          <w:cantSplit/>
        </w:trPr>
        <w:tc>
          <w:tcPr>
            <w:tcW w:w="1555" w:type="dxa"/>
            <w:shd w:val="clear" w:color="auto" w:fill="FFFFFF" w:themeFill="background1"/>
            <w:noWrap/>
            <w:vAlign w:val="center"/>
            <w:hideMark/>
          </w:tcPr>
          <w:p w14:paraId="63D41A62" w14:textId="77777777" w:rsidR="00FF0F9B" w:rsidRPr="00EF1E43" w:rsidRDefault="00FF0F9B" w:rsidP="00374F41">
            <w:pPr>
              <w:jc w:val="center"/>
              <w:rPr>
                <w:sz w:val="24"/>
              </w:rPr>
            </w:pPr>
            <w:r w:rsidRPr="00EF1E43">
              <w:rPr>
                <w:sz w:val="24"/>
              </w:rPr>
              <w:t>35838</w:t>
            </w:r>
          </w:p>
        </w:tc>
        <w:tc>
          <w:tcPr>
            <w:tcW w:w="7371" w:type="dxa"/>
            <w:shd w:val="clear" w:color="auto" w:fill="FFFFFF" w:themeFill="background1"/>
            <w:vAlign w:val="center"/>
            <w:hideMark/>
          </w:tcPr>
          <w:p w14:paraId="5B0508A0" w14:textId="77777777" w:rsidR="00FF0F9B" w:rsidRPr="00EF1E43" w:rsidRDefault="00FF0F9B" w:rsidP="00374F41">
            <w:pPr>
              <w:rPr>
                <w:sz w:val="24"/>
              </w:rPr>
            </w:pPr>
            <w:r w:rsidRPr="00EF1E43">
              <w:rPr>
                <w:sz w:val="24"/>
              </w:rPr>
              <w:t>Longnecker MP, Newcomb PA, Mittendorf R, et al (1995). Risk of breast cancer in relation to lifetime alcohol consumption. Journal of the National Cancer Institute, 87(12): 923-9.</w:t>
            </w:r>
          </w:p>
        </w:tc>
      </w:tr>
      <w:tr w:rsidR="00EF1E43" w:rsidRPr="00EF1E43" w14:paraId="3DC6FDC4" w14:textId="77777777" w:rsidTr="00CC61F1">
        <w:trPr>
          <w:cantSplit/>
        </w:trPr>
        <w:tc>
          <w:tcPr>
            <w:tcW w:w="1555" w:type="dxa"/>
            <w:shd w:val="clear" w:color="auto" w:fill="FFFFFF" w:themeFill="background1"/>
            <w:noWrap/>
            <w:vAlign w:val="center"/>
            <w:hideMark/>
          </w:tcPr>
          <w:p w14:paraId="1918325B" w14:textId="77777777" w:rsidR="00FF0F9B" w:rsidRPr="00EF1E43" w:rsidRDefault="00FF0F9B" w:rsidP="00374F41">
            <w:pPr>
              <w:jc w:val="center"/>
              <w:rPr>
                <w:sz w:val="24"/>
              </w:rPr>
            </w:pPr>
            <w:r w:rsidRPr="00EF1E43">
              <w:rPr>
                <w:sz w:val="24"/>
              </w:rPr>
              <w:t>9233</w:t>
            </w:r>
          </w:p>
        </w:tc>
        <w:tc>
          <w:tcPr>
            <w:tcW w:w="7371" w:type="dxa"/>
            <w:shd w:val="clear" w:color="auto" w:fill="FFFFFF" w:themeFill="background1"/>
            <w:vAlign w:val="center"/>
            <w:hideMark/>
          </w:tcPr>
          <w:p w14:paraId="50509091" w14:textId="77777777" w:rsidR="00FF0F9B" w:rsidRPr="00EF1E43" w:rsidRDefault="00FF0F9B" w:rsidP="00374F41">
            <w:pPr>
              <w:rPr>
                <w:sz w:val="24"/>
              </w:rPr>
            </w:pPr>
            <w:r w:rsidRPr="00EF1E43">
              <w:rPr>
                <w:sz w:val="24"/>
              </w:rPr>
              <w:t>Longnecker MP, Paganini-Hill A, Ross RK (1995). Lifetime alcohol consumption and breast cancer risk among postmenopausal women in Los Angeles. Cancer Epidemiology, Biomarkers &amp; Prevention, 4: 721-5.</w:t>
            </w:r>
          </w:p>
        </w:tc>
      </w:tr>
      <w:tr w:rsidR="00EF1E43" w:rsidRPr="00EF1E43" w14:paraId="4DD86683" w14:textId="77777777" w:rsidTr="00CC61F1">
        <w:trPr>
          <w:cantSplit/>
        </w:trPr>
        <w:tc>
          <w:tcPr>
            <w:tcW w:w="1555" w:type="dxa"/>
            <w:shd w:val="clear" w:color="auto" w:fill="FFFFFF" w:themeFill="background1"/>
            <w:noWrap/>
            <w:vAlign w:val="center"/>
            <w:hideMark/>
          </w:tcPr>
          <w:p w14:paraId="1602220C" w14:textId="77777777" w:rsidR="00FF0F9B" w:rsidRPr="00EF1E43" w:rsidRDefault="00FF0F9B" w:rsidP="00374F41">
            <w:pPr>
              <w:jc w:val="center"/>
              <w:rPr>
                <w:sz w:val="24"/>
              </w:rPr>
            </w:pPr>
            <w:r w:rsidRPr="00EF1E43">
              <w:rPr>
                <w:sz w:val="24"/>
              </w:rPr>
              <w:t>38251</w:t>
            </w:r>
          </w:p>
        </w:tc>
        <w:tc>
          <w:tcPr>
            <w:tcW w:w="7371" w:type="dxa"/>
            <w:shd w:val="clear" w:color="auto" w:fill="FFFFFF" w:themeFill="background1"/>
            <w:vAlign w:val="center"/>
            <w:hideMark/>
          </w:tcPr>
          <w:p w14:paraId="6AE0D1AA" w14:textId="77777777" w:rsidR="00FF0F9B" w:rsidRPr="00EF1E43" w:rsidRDefault="00FF0F9B" w:rsidP="00374F41">
            <w:pPr>
              <w:rPr>
                <w:sz w:val="24"/>
              </w:rPr>
            </w:pPr>
            <w:r w:rsidRPr="00EF1E43">
              <w:rPr>
                <w:sz w:val="24"/>
              </w:rPr>
              <w:t>Lopez-Cervantes M, Torres-Sanchez L, Tobias A, et al (2004). Dichlorodiphenyldichloroethane burden and breast cancer risk: a meta-analysis of the epidemiologic evidence. Environmental Health Perspectives, 112(2): 207-214.</w:t>
            </w:r>
          </w:p>
        </w:tc>
      </w:tr>
      <w:tr w:rsidR="00EF1E43" w:rsidRPr="00EF1E43" w14:paraId="2B15F715" w14:textId="77777777" w:rsidTr="00CC61F1">
        <w:trPr>
          <w:cantSplit/>
        </w:trPr>
        <w:tc>
          <w:tcPr>
            <w:tcW w:w="1555" w:type="dxa"/>
            <w:shd w:val="clear" w:color="auto" w:fill="FFFFFF" w:themeFill="background1"/>
            <w:noWrap/>
            <w:vAlign w:val="center"/>
            <w:hideMark/>
          </w:tcPr>
          <w:p w14:paraId="01E17DE5" w14:textId="77777777" w:rsidR="00FF0F9B" w:rsidRPr="00EF1E43" w:rsidRDefault="00FF0F9B" w:rsidP="00374F41">
            <w:pPr>
              <w:jc w:val="center"/>
              <w:rPr>
                <w:sz w:val="24"/>
              </w:rPr>
            </w:pPr>
            <w:r w:rsidRPr="00EF1E43">
              <w:rPr>
                <w:sz w:val="24"/>
              </w:rPr>
              <w:t>71666</w:t>
            </w:r>
          </w:p>
        </w:tc>
        <w:tc>
          <w:tcPr>
            <w:tcW w:w="7371" w:type="dxa"/>
            <w:shd w:val="clear" w:color="auto" w:fill="FFFFFF" w:themeFill="background1"/>
            <w:vAlign w:val="center"/>
            <w:hideMark/>
          </w:tcPr>
          <w:p w14:paraId="42A7668D" w14:textId="77777777" w:rsidR="00FF0F9B" w:rsidRPr="00EF1E43" w:rsidRDefault="00FF0F9B" w:rsidP="00374F41">
            <w:pPr>
              <w:rPr>
                <w:sz w:val="24"/>
              </w:rPr>
            </w:pPr>
            <w:r w:rsidRPr="00EF1E43">
              <w:rPr>
                <w:sz w:val="24"/>
              </w:rPr>
              <w:t>Loprinzi PD, Cardinal BJ, Winters-Stone K, et al (2012). Physical activity and the risk of breast cancer recurrence: a literature review. Oncology Nursing Forum, 39(3): 269-74.</w:t>
            </w:r>
          </w:p>
        </w:tc>
      </w:tr>
      <w:tr w:rsidR="00EF1E43" w:rsidRPr="00EF1E43" w14:paraId="43C5B4AF" w14:textId="77777777" w:rsidTr="00CC61F1">
        <w:trPr>
          <w:cantSplit/>
        </w:trPr>
        <w:tc>
          <w:tcPr>
            <w:tcW w:w="1555" w:type="dxa"/>
            <w:shd w:val="clear" w:color="auto" w:fill="FFFFFF" w:themeFill="background1"/>
            <w:noWrap/>
            <w:vAlign w:val="center"/>
            <w:hideMark/>
          </w:tcPr>
          <w:p w14:paraId="04B4B288" w14:textId="77777777" w:rsidR="00FF0F9B" w:rsidRPr="00EF1E43" w:rsidRDefault="00FF0F9B" w:rsidP="00374F41">
            <w:pPr>
              <w:jc w:val="center"/>
              <w:rPr>
                <w:sz w:val="24"/>
              </w:rPr>
            </w:pPr>
            <w:r w:rsidRPr="00EF1E43">
              <w:rPr>
                <w:sz w:val="24"/>
              </w:rPr>
              <w:t>38246</w:t>
            </w:r>
          </w:p>
        </w:tc>
        <w:tc>
          <w:tcPr>
            <w:tcW w:w="7371" w:type="dxa"/>
            <w:shd w:val="clear" w:color="auto" w:fill="FFFFFF" w:themeFill="background1"/>
            <w:vAlign w:val="center"/>
            <w:hideMark/>
          </w:tcPr>
          <w:p w14:paraId="2331ACFA" w14:textId="77777777" w:rsidR="00FF0F9B" w:rsidRPr="00EF1E43" w:rsidRDefault="00FF0F9B" w:rsidP="00374F41">
            <w:pPr>
              <w:rPr>
                <w:sz w:val="24"/>
              </w:rPr>
            </w:pPr>
            <w:r w:rsidRPr="00EF1E43">
              <w:rPr>
                <w:sz w:val="24"/>
              </w:rPr>
              <w:t>Lori Brown S (2002). Epidemiology of Silicone-Gel Breast Implants. Epidemiology, 13: S34-S39.</w:t>
            </w:r>
          </w:p>
        </w:tc>
      </w:tr>
      <w:tr w:rsidR="00EF1E43" w:rsidRPr="00EF1E43" w14:paraId="2CD50204" w14:textId="77777777" w:rsidTr="00CC61F1">
        <w:trPr>
          <w:cantSplit/>
        </w:trPr>
        <w:tc>
          <w:tcPr>
            <w:tcW w:w="1555" w:type="dxa"/>
            <w:shd w:val="clear" w:color="auto" w:fill="FFFFFF" w:themeFill="background1"/>
            <w:noWrap/>
            <w:vAlign w:val="center"/>
            <w:hideMark/>
          </w:tcPr>
          <w:p w14:paraId="12B16A74" w14:textId="77777777" w:rsidR="00FF0F9B" w:rsidRPr="00EF1E43" w:rsidRDefault="00FF0F9B" w:rsidP="00374F41">
            <w:pPr>
              <w:jc w:val="center"/>
              <w:rPr>
                <w:sz w:val="24"/>
              </w:rPr>
            </w:pPr>
            <w:r w:rsidRPr="00EF1E43">
              <w:rPr>
                <w:sz w:val="24"/>
              </w:rPr>
              <w:t>36034</w:t>
            </w:r>
          </w:p>
        </w:tc>
        <w:tc>
          <w:tcPr>
            <w:tcW w:w="7371" w:type="dxa"/>
            <w:shd w:val="clear" w:color="auto" w:fill="FFFFFF" w:themeFill="background1"/>
            <w:vAlign w:val="center"/>
            <w:hideMark/>
          </w:tcPr>
          <w:p w14:paraId="3B4DA58E" w14:textId="77777777" w:rsidR="00FF0F9B" w:rsidRPr="00EF1E43" w:rsidRDefault="00FF0F9B" w:rsidP="00374F41">
            <w:pPr>
              <w:rPr>
                <w:sz w:val="24"/>
              </w:rPr>
            </w:pPr>
            <w:r w:rsidRPr="00EF1E43">
              <w:rPr>
                <w:sz w:val="24"/>
              </w:rPr>
              <w:t>Lundell M, Mattsson A, Karlsson P, et al (1999). Breast Cancer Risk after Radiotherapy in Infancy: A Pooled Analysis of Two Swedish Cohorts of 17,202 Infants. Radiation Research, 151: 626-32.</w:t>
            </w:r>
          </w:p>
        </w:tc>
      </w:tr>
      <w:tr w:rsidR="00EF1E43" w:rsidRPr="00EF1E43" w14:paraId="264A2354" w14:textId="77777777" w:rsidTr="00CC61F1">
        <w:trPr>
          <w:cantSplit/>
        </w:trPr>
        <w:tc>
          <w:tcPr>
            <w:tcW w:w="1555" w:type="dxa"/>
            <w:shd w:val="clear" w:color="auto" w:fill="FFFFFF" w:themeFill="background1"/>
            <w:noWrap/>
            <w:vAlign w:val="center"/>
            <w:hideMark/>
          </w:tcPr>
          <w:p w14:paraId="02BB2D99" w14:textId="77777777" w:rsidR="00FF0F9B" w:rsidRPr="00EF1E43" w:rsidRDefault="00FF0F9B" w:rsidP="00374F41">
            <w:pPr>
              <w:jc w:val="center"/>
              <w:rPr>
                <w:sz w:val="24"/>
              </w:rPr>
            </w:pPr>
            <w:r w:rsidRPr="00EF1E43">
              <w:rPr>
                <w:sz w:val="24"/>
              </w:rPr>
              <w:lastRenderedPageBreak/>
              <w:t>37129</w:t>
            </w:r>
          </w:p>
        </w:tc>
        <w:tc>
          <w:tcPr>
            <w:tcW w:w="7371" w:type="dxa"/>
            <w:shd w:val="clear" w:color="auto" w:fill="FFFFFF" w:themeFill="background1"/>
            <w:vAlign w:val="center"/>
            <w:hideMark/>
          </w:tcPr>
          <w:p w14:paraId="61D0E766" w14:textId="77777777" w:rsidR="00FF0F9B" w:rsidRPr="00EF1E43" w:rsidRDefault="00FF0F9B" w:rsidP="00374F41">
            <w:pPr>
              <w:rPr>
                <w:sz w:val="24"/>
              </w:rPr>
            </w:pPr>
            <w:r w:rsidRPr="00EF1E43">
              <w:rPr>
                <w:sz w:val="24"/>
              </w:rPr>
              <w:t>Luoto R, Latikka P, Pukkala E, et al (2000). The effect of physical activity on breast cancer risk: a cohort of 30,548 women. European Journal of Epidemiology, 16: 973-80.</w:t>
            </w:r>
          </w:p>
        </w:tc>
      </w:tr>
      <w:tr w:rsidR="00EF1E43" w:rsidRPr="00EF1E43" w14:paraId="0DEBFF80" w14:textId="77777777" w:rsidTr="00CC61F1">
        <w:trPr>
          <w:cantSplit/>
        </w:trPr>
        <w:tc>
          <w:tcPr>
            <w:tcW w:w="1555" w:type="dxa"/>
            <w:shd w:val="clear" w:color="auto" w:fill="FFFFFF" w:themeFill="background1"/>
            <w:noWrap/>
            <w:vAlign w:val="center"/>
            <w:hideMark/>
          </w:tcPr>
          <w:p w14:paraId="053A0DE2" w14:textId="77777777" w:rsidR="00FF0F9B" w:rsidRPr="00EF1E43" w:rsidRDefault="00FF0F9B" w:rsidP="00374F41">
            <w:pPr>
              <w:jc w:val="center"/>
              <w:rPr>
                <w:sz w:val="24"/>
              </w:rPr>
            </w:pPr>
            <w:r w:rsidRPr="00EF1E43">
              <w:rPr>
                <w:sz w:val="24"/>
              </w:rPr>
              <w:t>71709</w:t>
            </w:r>
          </w:p>
        </w:tc>
        <w:tc>
          <w:tcPr>
            <w:tcW w:w="7371" w:type="dxa"/>
            <w:shd w:val="clear" w:color="auto" w:fill="FFFFFF" w:themeFill="background1"/>
            <w:vAlign w:val="center"/>
            <w:hideMark/>
          </w:tcPr>
          <w:p w14:paraId="1F334BB4" w14:textId="77777777" w:rsidR="00FF0F9B" w:rsidRPr="00EF1E43" w:rsidRDefault="00FF0F9B" w:rsidP="00374F41">
            <w:pPr>
              <w:rPr>
                <w:sz w:val="24"/>
              </w:rPr>
            </w:pPr>
            <w:r w:rsidRPr="00EF1E43">
              <w:rPr>
                <w:sz w:val="24"/>
              </w:rPr>
              <w:t>Lynch BM, Neilson HK, Friedenreich CM (2011). Physical activity and breast cancer prevention. Recent Results Cancer Res, Chapter 2: 13-42. Springer Berlin Heidelberg.</w:t>
            </w:r>
          </w:p>
        </w:tc>
      </w:tr>
      <w:tr w:rsidR="00EF1E43" w:rsidRPr="00EF1E43" w14:paraId="1C225C10" w14:textId="77777777" w:rsidTr="00CC61F1">
        <w:trPr>
          <w:cantSplit/>
        </w:trPr>
        <w:tc>
          <w:tcPr>
            <w:tcW w:w="1555" w:type="dxa"/>
            <w:shd w:val="clear" w:color="auto" w:fill="FFFFFF" w:themeFill="background1"/>
            <w:noWrap/>
            <w:vAlign w:val="center"/>
            <w:hideMark/>
          </w:tcPr>
          <w:p w14:paraId="31B59370" w14:textId="77777777" w:rsidR="00FF0F9B" w:rsidRPr="00EF1E43" w:rsidRDefault="00FF0F9B" w:rsidP="00374F41">
            <w:pPr>
              <w:jc w:val="center"/>
              <w:rPr>
                <w:sz w:val="24"/>
              </w:rPr>
            </w:pPr>
            <w:r w:rsidRPr="00EF1E43">
              <w:rPr>
                <w:sz w:val="24"/>
              </w:rPr>
              <w:t>15992</w:t>
            </w:r>
          </w:p>
        </w:tc>
        <w:tc>
          <w:tcPr>
            <w:tcW w:w="7371" w:type="dxa"/>
            <w:shd w:val="clear" w:color="auto" w:fill="FFFFFF" w:themeFill="background1"/>
            <w:vAlign w:val="center"/>
            <w:hideMark/>
          </w:tcPr>
          <w:p w14:paraId="1DE60389" w14:textId="77777777" w:rsidR="00FF0F9B" w:rsidRPr="00EF1E43" w:rsidRDefault="00FF0F9B" w:rsidP="00374F41">
            <w:pPr>
              <w:rPr>
                <w:sz w:val="24"/>
              </w:rPr>
            </w:pPr>
            <w:r w:rsidRPr="00EF1E43">
              <w:rPr>
                <w:sz w:val="24"/>
              </w:rPr>
              <w:t>Lyytinen HK, Dyba T, Ylikorkala O, et al (2010). A case-control study on hormone therapy as a risk factor for breast cancer in Finland: Intrauterine system carries a risk as well. Int J Cancer, 126(2): 483-9.</w:t>
            </w:r>
          </w:p>
        </w:tc>
      </w:tr>
      <w:tr w:rsidR="00EF1E43" w:rsidRPr="00EF1E43" w14:paraId="21141965" w14:textId="77777777" w:rsidTr="00CC61F1">
        <w:trPr>
          <w:cantSplit/>
        </w:trPr>
        <w:tc>
          <w:tcPr>
            <w:tcW w:w="1555" w:type="dxa"/>
            <w:shd w:val="clear" w:color="auto" w:fill="FFFFFF" w:themeFill="background1"/>
            <w:noWrap/>
            <w:vAlign w:val="center"/>
            <w:hideMark/>
          </w:tcPr>
          <w:p w14:paraId="6D329B9D" w14:textId="77777777" w:rsidR="00FF0F9B" w:rsidRPr="00EF1E43" w:rsidRDefault="00FF0F9B" w:rsidP="00374F41">
            <w:pPr>
              <w:jc w:val="center"/>
              <w:rPr>
                <w:sz w:val="24"/>
              </w:rPr>
            </w:pPr>
            <w:r w:rsidRPr="00EF1E43">
              <w:rPr>
                <w:sz w:val="24"/>
              </w:rPr>
              <w:t>36906</w:t>
            </w:r>
          </w:p>
        </w:tc>
        <w:tc>
          <w:tcPr>
            <w:tcW w:w="7371" w:type="dxa"/>
            <w:shd w:val="clear" w:color="auto" w:fill="FFFFFF" w:themeFill="background1"/>
            <w:vAlign w:val="center"/>
            <w:hideMark/>
          </w:tcPr>
          <w:p w14:paraId="4988D304" w14:textId="77777777" w:rsidR="00FF0F9B" w:rsidRPr="00EF1E43" w:rsidRDefault="00FF0F9B" w:rsidP="00374F41">
            <w:pPr>
              <w:rPr>
                <w:sz w:val="24"/>
              </w:rPr>
            </w:pPr>
            <w:r w:rsidRPr="00EF1E43">
              <w:rPr>
                <w:sz w:val="24"/>
              </w:rPr>
              <w:t>MacInnis RJ, English DR, Gertig DM, et al (2004). Body size and composition and risk of premenopausal breast cancer. Cancer Epidemiology, Biomarkers &amp; Prevention, 13(12): 2117-25.</w:t>
            </w:r>
          </w:p>
        </w:tc>
      </w:tr>
      <w:tr w:rsidR="00EF1E43" w:rsidRPr="00EF1E43" w14:paraId="385994A2" w14:textId="77777777" w:rsidTr="00CC61F1">
        <w:trPr>
          <w:cantSplit/>
        </w:trPr>
        <w:tc>
          <w:tcPr>
            <w:tcW w:w="1555" w:type="dxa"/>
            <w:shd w:val="clear" w:color="auto" w:fill="FFFFFF" w:themeFill="background1"/>
            <w:noWrap/>
            <w:vAlign w:val="center"/>
            <w:hideMark/>
          </w:tcPr>
          <w:p w14:paraId="1B1F0279" w14:textId="77777777" w:rsidR="00FF0F9B" w:rsidRPr="00EF1E43" w:rsidRDefault="00FF0F9B" w:rsidP="00374F41">
            <w:pPr>
              <w:jc w:val="center"/>
              <w:rPr>
                <w:sz w:val="24"/>
              </w:rPr>
            </w:pPr>
            <w:r w:rsidRPr="00EF1E43">
              <w:rPr>
                <w:sz w:val="24"/>
              </w:rPr>
              <w:t>71667</w:t>
            </w:r>
          </w:p>
        </w:tc>
        <w:tc>
          <w:tcPr>
            <w:tcW w:w="7371" w:type="dxa"/>
            <w:shd w:val="clear" w:color="auto" w:fill="FFFFFF" w:themeFill="background1"/>
            <w:vAlign w:val="center"/>
            <w:hideMark/>
          </w:tcPr>
          <w:p w14:paraId="0FAE9A13" w14:textId="77777777" w:rsidR="00FF0F9B" w:rsidRPr="00EF1E43" w:rsidRDefault="00FF0F9B" w:rsidP="00374F41">
            <w:pPr>
              <w:rPr>
                <w:sz w:val="24"/>
              </w:rPr>
            </w:pPr>
            <w:r w:rsidRPr="00EF1E43">
              <w:rPr>
                <w:sz w:val="24"/>
              </w:rPr>
              <w:t>Mackenzie IS, MacDonald T, Thompson A, et al (2012). Spironolactone and risk of incident breast cancer in women older than 55 years: retrospective, matched cohort study. BMJ, 345: e4447.</w:t>
            </w:r>
          </w:p>
        </w:tc>
      </w:tr>
      <w:tr w:rsidR="00EF1E43" w:rsidRPr="00EF1E43" w14:paraId="642487B7" w14:textId="77777777" w:rsidTr="00CC61F1">
        <w:trPr>
          <w:cantSplit/>
        </w:trPr>
        <w:tc>
          <w:tcPr>
            <w:tcW w:w="1555" w:type="dxa"/>
            <w:shd w:val="clear" w:color="auto" w:fill="FFFFFF" w:themeFill="background1"/>
            <w:noWrap/>
            <w:vAlign w:val="center"/>
            <w:hideMark/>
          </w:tcPr>
          <w:p w14:paraId="5FA7DA80" w14:textId="77777777" w:rsidR="00FF0F9B" w:rsidRPr="00EF1E43" w:rsidRDefault="00FF0F9B" w:rsidP="00374F41">
            <w:pPr>
              <w:jc w:val="center"/>
              <w:rPr>
                <w:sz w:val="24"/>
              </w:rPr>
            </w:pPr>
            <w:r w:rsidRPr="00EF1E43">
              <w:rPr>
                <w:sz w:val="24"/>
              </w:rPr>
              <w:t>4723</w:t>
            </w:r>
          </w:p>
        </w:tc>
        <w:tc>
          <w:tcPr>
            <w:tcW w:w="7371" w:type="dxa"/>
            <w:shd w:val="clear" w:color="auto" w:fill="FFFFFF" w:themeFill="background1"/>
            <w:vAlign w:val="center"/>
            <w:hideMark/>
          </w:tcPr>
          <w:p w14:paraId="45763D90" w14:textId="77777777" w:rsidR="00FF0F9B" w:rsidRPr="00EF1E43" w:rsidRDefault="00FF0F9B" w:rsidP="00374F41">
            <w:pPr>
              <w:rPr>
                <w:sz w:val="24"/>
              </w:rPr>
            </w:pPr>
            <w:r w:rsidRPr="00EF1E43">
              <w:rPr>
                <w:sz w:val="24"/>
              </w:rPr>
              <w:t>Macmahon B (1994). [Comment] Pesticide residues and breast cancer? J Natl Cancer Inst, 86(8): 572-3.</w:t>
            </w:r>
          </w:p>
        </w:tc>
      </w:tr>
      <w:tr w:rsidR="00EF1E43" w:rsidRPr="00EF1E43" w14:paraId="22B71D98" w14:textId="77777777" w:rsidTr="00CC61F1">
        <w:trPr>
          <w:cantSplit/>
        </w:trPr>
        <w:tc>
          <w:tcPr>
            <w:tcW w:w="1555" w:type="dxa"/>
            <w:shd w:val="clear" w:color="auto" w:fill="FFFFFF" w:themeFill="background1"/>
            <w:noWrap/>
            <w:vAlign w:val="center"/>
            <w:hideMark/>
          </w:tcPr>
          <w:p w14:paraId="68775F7B" w14:textId="77777777" w:rsidR="00FF0F9B" w:rsidRPr="00EF1E43" w:rsidRDefault="00FF0F9B" w:rsidP="00374F41">
            <w:pPr>
              <w:jc w:val="center"/>
              <w:rPr>
                <w:sz w:val="24"/>
              </w:rPr>
            </w:pPr>
            <w:r w:rsidRPr="00EF1E43">
              <w:rPr>
                <w:sz w:val="24"/>
              </w:rPr>
              <w:t>71668</w:t>
            </w:r>
          </w:p>
        </w:tc>
        <w:tc>
          <w:tcPr>
            <w:tcW w:w="7371" w:type="dxa"/>
            <w:shd w:val="clear" w:color="auto" w:fill="FFFFFF" w:themeFill="background1"/>
            <w:vAlign w:val="center"/>
            <w:hideMark/>
          </w:tcPr>
          <w:p w14:paraId="4696D005" w14:textId="77777777" w:rsidR="00FF0F9B" w:rsidRPr="00EF1E43" w:rsidRDefault="00FF0F9B" w:rsidP="00374F41">
            <w:pPr>
              <w:rPr>
                <w:sz w:val="24"/>
              </w:rPr>
            </w:pPr>
            <w:r w:rsidRPr="00EF1E43">
              <w:rPr>
                <w:sz w:val="24"/>
              </w:rPr>
              <w:t>Macon MB, Fenton SE (2013). Endocrine disruptors and the breast: early life effects and later life disease. J Mammory Glad Biol Neoplasia, 18(1): 43-61.</w:t>
            </w:r>
          </w:p>
        </w:tc>
      </w:tr>
      <w:tr w:rsidR="00EF1E43" w:rsidRPr="00EF1E43" w14:paraId="3EC5DB3D" w14:textId="77777777" w:rsidTr="00CC61F1">
        <w:trPr>
          <w:cantSplit/>
        </w:trPr>
        <w:tc>
          <w:tcPr>
            <w:tcW w:w="1555" w:type="dxa"/>
            <w:shd w:val="clear" w:color="auto" w:fill="FFFFFF" w:themeFill="background1"/>
            <w:noWrap/>
            <w:vAlign w:val="center"/>
            <w:hideMark/>
          </w:tcPr>
          <w:p w14:paraId="65F71886" w14:textId="77777777" w:rsidR="00FF0F9B" w:rsidRPr="00EF1E43" w:rsidRDefault="00FF0F9B" w:rsidP="00374F41">
            <w:pPr>
              <w:jc w:val="center"/>
              <w:rPr>
                <w:sz w:val="24"/>
              </w:rPr>
            </w:pPr>
            <w:r w:rsidRPr="00EF1E43">
              <w:rPr>
                <w:sz w:val="24"/>
              </w:rPr>
              <w:t>36927</w:t>
            </w:r>
          </w:p>
        </w:tc>
        <w:tc>
          <w:tcPr>
            <w:tcW w:w="7371" w:type="dxa"/>
            <w:shd w:val="clear" w:color="auto" w:fill="FFFFFF" w:themeFill="background1"/>
            <w:vAlign w:val="center"/>
            <w:hideMark/>
          </w:tcPr>
          <w:p w14:paraId="5374B162" w14:textId="77777777" w:rsidR="00FF0F9B" w:rsidRPr="00EF1E43" w:rsidRDefault="00FF0F9B" w:rsidP="00374F41">
            <w:pPr>
              <w:rPr>
                <w:sz w:val="24"/>
              </w:rPr>
            </w:pPr>
            <w:r w:rsidRPr="00EF1E43">
              <w:rPr>
                <w:sz w:val="24"/>
              </w:rPr>
              <w:t>Magnusson C, Baron J, Persson I, et al (1998). Body size in different periods of life and breast cancer risk in post-menopausal women. Int J Cancer, 76: 29-34.</w:t>
            </w:r>
          </w:p>
        </w:tc>
      </w:tr>
      <w:tr w:rsidR="00EF1E43" w:rsidRPr="00EF1E43" w14:paraId="7DC9C0C8" w14:textId="77777777" w:rsidTr="00CC61F1">
        <w:trPr>
          <w:cantSplit/>
        </w:trPr>
        <w:tc>
          <w:tcPr>
            <w:tcW w:w="1555" w:type="dxa"/>
            <w:shd w:val="clear" w:color="auto" w:fill="FFFFFF" w:themeFill="background1"/>
            <w:noWrap/>
            <w:vAlign w:val="center"/>
            <w:hideMark/>
          </w:tcPr>
          <w:p w14:paraId="47787672" w14:textId="77777777" w:rsidR="00FF0F9B" w:rsidRPr="00EF1E43" w:rsidRDefault="00FF0F9B" w:rsidP="00374F41">
            <w:pPr>
              <w:jc w:val="center"/>
              <w:rPr>
                <w:sz w:val="24"/>
              </w:rPr>
            </w:pPr>
            <w:r w:rsidRPr="00EF1E43">
              <w:rPr>
                <w:sz w:val="24"/>
              </w:rPr>
              <w:t>45899</w:t>
            </w:r>
          </w:p>
        </w:tc>
        <w:tc>
          <w:tcPr>
            <w:tcW w:w="7371" w:type="dxa"/>
            <w:shd w:val="clear" w:color="auto" w:fill="FFFFFF" w:themeFill="background1"/>
            <w:vAlign w:val="center"/>
            <w:hideMark/>
          </w:tcPr>
          <w:p w14:paraId="7364D199" w14:textId="77777777" w:rsidR="00FF0F9B" w:rsidRPr="00EF1E43" w:rsidRDefault="00FF0F9B" w:rsidP="00374F41">
            <w:pPr>
              <w:rPr>
                <w:sz w:val="24"/>
              </w:rPr>
            </w:pPr>
            <w:r w:rsidRPr="00EF1E43">
              <w:rPr>
                <w:sz w:val="24"/>
              </w:rPr>
              <w:t>Magnusson C, Wedren S, Rosenberg LU (2007). Cigarette smoking and breast cancer risk: a population-based study in Sweden. British Journal of Cancer, [Epub ahead of print]: 1-4.</w:t>
            </w:r>
          </w:p>
        </w:tc>
      </w:tr>
      <w:tr w:rsidR="00EF1E43" w:rsidRPr="00EF1E43" w14:paraId="4548B309" w14:textId="77777777" w:rsidTr="00CC61F1">
        <w:trPr>
          <w:cantSplit/>
        </w:trPr>
        <w:tc>
          <w:tcPr>
            <w:tcW w:w="1555" w:type="dxa"/>
            <w:shd w:val="clear" w:color="auto" w:fill="FFFFFF" w:themeFill="background1"/>
            <w:noWrap/>
            <w:vAlign w:val="center"/>
            <w:hideMark/>
          </w:tcPr>
          <w:p w14:paraId="3FF5AF91" w14:textId="77777777" w:rsidR="00FF0F9B" w:rsidRPr="00EF1E43" w:rsidRDefault="00FF0F9B" w:rsidP="00374F41">
            <w:pPr>
              <w:jc w:val="center"/>
              <w:rPr>
                <w:sz w:val="24"/>
              </w:rPr>
            </w:pPr>
            <w:r w:rsidRPr="00EF1E43">
              <w:rPr>
                <w:sz w:val="24"/>
              </w:rPr>
              <w:t>36993</w:t>
            </w:r>
          </w:p>
        </w:tc>
        <w:tc>
          <w:tcPr>
            <w:tcW w:w="7371" w:type="dxa"/>
            <w:shd w:val="clear" w:color="auto" w:fill="FFFFFF" w:themeFill="background1"/>
            <w:vAlign w:val="center"/>
            <w:hideMark/>
          </w:tcPr>
          <w:p w14:paraId="4F5D31B4" w14:textId="77777777" w:rsidR="00FF0F9B" w:rsidRPr="00EF1E43" w:rsidRDefault="00FF0F9B" w:rsidP="00374F41">
            <w:pPr>
              <w:rPr>
                <w:sz w:val="24"/>
              </w:rPr>
            </w:pPr>
            <w:r w:rsidRPr="00EF1E43">
              <w:rPr>
                <w:sz w:val="24"/>
              </w:rPr>
              <w:t>Malin A, Matthews CE, Shu XO, et al (2005). Energy balance and breast cancer risk. Cancer Epidemiology, Biomarkers &amp; Prevention, 14(6): 1496-501.</w:t>
            </w:r>
          </w:p>
        </w:tc>
      </w:tr>
      <w:tr w:rsidR="00EF1E43" w:rsidRPr="00EF1E43" w14:paraId="7E3A17A5" w14:textId="77777777" w:rsidTr="00CC61F1">
        <w:trPr>
          <w:cantSplit/>
        </w:trPr>
        <w:tc>
          <w:tcPr>
            <w:tcW w:w="1555" w:type="dxa"/>
            <w:shd w:val="clear" w:color="auto" w:fill="FFFFFF" w:themeFill="background1"/>
            <w:noWrap/>
            <w:vAlign w:val="center"/>
            <w:hideMark/>
          </w:tcPr>
          <w:p w14:paraId="110948A6" w14:textId="77777777" w:rsidR="00FF0F9B" w:rsidRPr="00EF1E43" w:rsidRDefault="00FF0F9B" w:rsidP="00374F41">
            <w:pPr>
              <w:jc w:val="center"/>
              <w:rPr>
                <w:sz w:val="24"/>
              </w:rPr>
            </w:pPr>
            <w:r w:rsidRPr="00EF1E43">
              <w:rPr>
                <w:sz w:val="24"/>
              </w:rPr>
              <w:t>87193</w:t>
            </w:r>
          </w:p>
        </w:tc>
        <w:tc>
          <w:tcPr>
            <w:tcW w:w="7371" w:type="dxa"/>
            <w:shd w:val="clear" w:color="auto" w:fill="FFFFFF" w:themeFill="background1"/>
            <w:vAlign w:val="center"/>
            <w:hideMark/>
          </w:tcPr>
          <w:p w14:paraId="2C34BCC2" w14:textId="77777777" w:rsidR="00FF0F9B" w:rsidRPr="00EF1E43" w:rsidRDefault="00FF0F9B" w:rsidP="00374F41">
            <w:pPr>
              <w:rPr>
                <w:sz w:val="24"/>
              </w:rPr>
            </w:pPr>
            <w:r w:rsidRPr="00EF1E43">
              <w:rPr>
                <w:sz w:val="24"/>
              </w:rPr>
              <w:t>Mallon TM, Rohrbeck P, Haines KM, et al (2016). Introduction to Department of Defense research on burn pits, biomarkers, and health outcomes related to deployment in Iraq and Afghanistan. J Occup Environ Med, 58(8 Suppl 1): S3-11.</w:t>
            </w:r>
          </w:p>
        </w:tc>
      </w:tr>
      <w:tr w:rsidR="00EF1E43" w:rsidRPr="00EF1E43" w14:paraId="621FC484" w14:textId="77777777" w:rsidTr="00CC61F1">
        <w:trPr>
          <w:cantSplit/>
        </w:trPr>
        <w:tc>
          <w:tcPr>
            <w:tcW w:w="1555" w:type="dxa"/>
            <w:shd w:val="clear" w:color="auto" w:fill="FFFFFF" w:themeFill="background1"/>
            <w:noWrap/>
            <w:vAlign w:val="center"/>
            <w:hideMark/>
          </w:tcPr>
          <w:p w14:paraId="15AA057D" w14:textId="77777777" w:rsidR="00FF0F9B" w:rsidRPr="00EF1E43" w:rsidRDefault="00FF0F9B" w:rsidP="00374F41">
            <w:pPr>
              <w:jc w:val="center"/>
              <w:rPr>
                <w:sz w:val="24"/>
              </w:rPr>
            </w:pPr>
            <w:r w:rsidRPr="00EF1E43">
              <w:rPr>
                <w:sz w:val="24"/>
              </w:rPr>
              <w:t>35673</w:t>
            </w:r>
          </w:p>
        </w:tc>
        <w:tc>
          <w:tcPr>
            <w:tcW w:w="7371" w:type="dxa"/>
            <w:shd w:val="clear" w:color="auto" w:fill="FFFFFF" w:themeFill="background1"/>
            <w:vAlign w:val="center"/>
            <w:hideMark/>
          </w:tcPr>
          <w:p w14:paraId="36A1394B" w14:textId="77777777" w:rsidR="00FF0F9B" w:rsidRPr="00EF1E43" w:rsidRDefault="00FF0F9B" w:rsidP="00374F41">
            <w:pPr>
              <w:rPr>
                <w:sz w:val="24"/>
              </w:rPr>
            </w:pPr>
            <w:r w:rsidRPr="00EF1E43">
              <w:rPr>
                <w:sz w:val="24"/>
              </w:rPr>
              <w:t>Manjer J, Berglund G, Bondesson L, et al (2000). Breast cancer incidence in relation to smoking cessation. Breast Cancer Research and Treatment, 61: 121-9.</w:t>
            </w:r>
          </w:p>
        </w:tc>
      </w:tr>
      <w:tr w:rsidR="00EF1E43" w:rsidRPr="00EF1E43" w14:paraId="0943C38E" w14:textId="77777777" w:rsidTr="00CC61F1">
        <w:trPr>
          <w:cantSplit/>
        </w:trPr>
        <w:tc>
          <w:tcPr>
            <w:tcW w:w="1555" w:type="dxa"/>
            <w:shd w:val="clear" w:color="auto" w:fill="FFFFFF" w:themeFill="background1"/>
            <w:noWrap/>
            <w:vAlign w:val="center"/>
            <w:hideMark/>
          </w:tcPr>
          <w:p w14:paraId="77C2E6B9" w14:textId="77777777" w:rsidR="00FF0F9B" w:rsidRPr="00EF1E43" w:rsidRDefault="00FF0F9B" w:rsidP="00374F41">
            <w:pPr>
              <w:jc w:val="center"/>
              <w:rPr>
                <w:sz w:val="24"/>
              </w:rPr>
            </w:pPr>
            <w:r w:rsidRPr="00EF1E43">
              <w:rPr>
                <w:sz w:val="24"/>
              </w:rPr>
              <w:t>35663</w:t>
            </w:r>
          </w:p>
        </w:tc>
        <w:tc>
          <w:tcPr>
            <w:tcW w:w="7371" w:type="dxa"/>
            <w:shd w:val="clear" w:color="auto" w:fill="FFFFFF" w:themeFill="background1"/>
            <w:vAlign w:val="center"/>
            <w:hideMark/>
          </w:tcPr>
          <w:p w14:paraId="0B1A4132" w14:textId="77777777" w:rsidR="00FF0F9B" w:rsidRPr="00EF1E43" w:rsidRDefault="00FF0F9B" w:rsidP="00374F41">
            <w:pPr>
              <w:rPr>
                <w:sz w:val="24"/>
              </w:rPr>
            </w:pPr>
            <w:r w:rsidRPr="00EF1E43">
              <w:rPr>
                <w:sz w:val="24"/>
              </w:rPr>
              <w:t>Manjer J, Johansson R, Lenner P (2004). Smoking is associated with postmenopausal breast cancer in women with high levels of estrogens. Int J Cancer, 112: 324-8.</w:t>
            </w:r>
          </w:p>
        </w:tc>
      </w:tr>
      <w:tr w:rsidR="00EF1E43" w:rsidRPr="00EF1E43" w14:paraId="16FE06CC" w14:textId="77777777" w:rsidTr="00CC61F1">
        <w:trPr>
          <w:cantSplit/>
        </w:trPr>
        <w:tc>
          <w:tcPr>
            <w:tcW w:w="1555" w:type="dxa"/>
            <w:shd w:val="clear" w:color="auto" w:fill="FFFFFF" w:themeFill="background1"/>
            <w:noWrap/>
            <w:vAlign w:val="center"/>
            <w:hideMark/>
          </w:tcPr>
          <w:p w14:paraId="07B1CE65" w14:textId="77777777" w:rsidR="00FF0F9B" w:rsidRPr="00EF1E43" w:rsidRDefault="00FF0F9B" w:rsidP="00374F41">
            <w:pPr>
              <w:jc w:val="center"/>
              <w:rPr>
                <w:sz w:val="24"/>
              </w:rPr>
            </w:pPr>
            <w:r w:rsidRPr="00EF1E43">
              <w:rPr>
                <w:sz w:val="24"/>
              </w:rPr>
              <w:t>35560</w:t>
            </w:r>
          </w:p>
        </w:tc>
        <w:tc>
          <w:tcPr>
            <w:tcW w:w="7371" w:type="dxa"/>
            <w:shd w:val="clear" w:color="auto" w:fill="FFFFFF" w:themeFill="background1"/>
            <w:vAlign w:val="center"/>
            <w:hideMark/>
          </w:tcPr>
          <w:p w14:paraId="4B47A7D2" w14:textId="77777777" w:rsidR="00FF0F9B" w:rsidRPr="00EF1E43" w:rsidRDefault="00FF0F9B" w:rsidP="00374F41">
            <w:pPr>
              <w:rPr>
                <w:sz w:val="24"/>
              </w:rPr>
            </w:pPr>
            <w:r w:rsidRPr="00EF1E43">
              <w:rPr>
                <w:sz w:val="24"/>
              </w:rPr>
              <w:t>Mannisto S, Virtanen M, Kataja V, et al (1999). Lifetime alcohol consumption and breast cancer: a case-control study in Finland. Public Health Nutrition, 3(1): 11-8.</w:t>
            </w:r>
          </w:p>
        </w:tc>
      </w:tr>
      <w:tr w:rsidR="00EF1E43" w:rsidRPr="00EF1E43" w14:paraId="0E8C5F68" w14:textId="77777777" w:rsidTr="00CC61F1">
        <w:trPr>
          <w:cantSplit/>
        </w:trPr>
        <w:tc>
          <w:tcPr>
            <w:tcW w:w="1555" w:type="dxa"/>
            <w:shd w:val="clear" w:color="auto" w:fill="FFFFFF" w:themeFill="background1"/>
            <w:noWrap/>
            <w:vAlign w:val="center"/>
            <w:hideMark/>
          </w:tcPr>
          <w:p w14:paraId="2A577BFB" w14:textId="77777777" w:rsidR="00FF0F9B" w:rsidRPr="00EF1E43" w:rsidRDefault="00FF0F9B" w:rsidP="00374F41">
            <w:pPr>
              <w:jc w:val="center"/>
              <w:rPr>
                <w:sz w:val="24"/>
              </w:rPr>
            </w:pPr>
            <w:r w:rsidRPr="00EF1E43">
              <w:rPr>
                <w:sz w:val="24"/>
              </w:rPr>
              <w:t>35743</w:t>
            </w:r>
          </w:p>
        </w:tc>
        <w:tc>
          <w:tcPr>
            <w:tcW w:w="7371" w:type="dxa"/>
            <w:shd w:val="clear" w:color="auto" w:fill="FFFFFF" w:themeFill="background1"/>
            <w:vAlign w:val="center"/>
            <w:hideMark/>
          </w:tcPr>
          <w:p w14:paraId="793C04AD" w14:textId="77777777" w:rsidR="00FF0F9B" w:rsidRPr="00EF1E43" w:rsidRDefault="00FF0F9B" w:rsidP="00374F41">
            <w:pPr>
              <w:rPr>
                <w:sz w:val="24"/>
              </w:rPr>
            </w:pPr>
            <w:r w:rsidRPr="00EF1E43">
              <w:rPr>
                <w:sz w:val="24"/>
              </w:rPr>
              <w:t>Marchbanks PA, McDonald JA, Wilson HG, et al (2002). Oral contraceptives and the risk of breast cancer. N Engl J Med, 346(26): 2025-32.</w:t>
            </w:r>
          </w:p>
        </w:tc>
      </w:tr>
      <w:tr w:rsidR="00EF1E43" w:rsidRPr="00EF1E43" w14:paraId="0A2BCE4A" w14:textId="77777777" w:rsidTr="00CC61F1">
        <w:trPr>
          <w:cantSplit/>
        </w:trPr>
        <w:tc>
          <w:tcPr>
            <w:tcW w:w="1555" w:type="dxa"/>
            <w:shd w:val="clear" w:color="auto" w:fill="FFFFFF" w:themeFill="background1"/>
            <w:noWrap/>
            <w:vAlign w:val="center"/>
            <w:hideMark/>
          </w:tcPr>
          <w:p w14:paraId="3A34C451" w14:textId="77777777" w:rsidR="00FF0F9B" w:rsidRPr="00EF1E43" w:rsidRDefault="00FF0F9B" w:rsidP="00374F41">
            <w:pPr>
              <w:jc w:val="center"/>
              <w:rPr>
                <w:sz w:val="24"/>
              </w:rPr>
            </w:pPr>
            <w:r w:rsidRPr="00EF1E43">
              <w:rPr>
                <w:sz w:val="24"/>
              </w:rPr>
              <w:lastRenderedPageBreak/>
              <w:t>36981</w:t>
            </w:r>
          </w:p>
        </w:tc>
        <w:tc>
          <w:tcPr>
            <w:tcW w:w="7371" w:type="dxa"/>
            <w:shd w:val="clear" w:color="auto" w:fill="FFFFFF" w:themeFill="background1"/>
            <w:vAlign w:val="center"/>
            <w:hideMark/>
          </w:tcPr>
          <w:p w14:paraId="155C1F5C" w14:textId="77777777" w:rsidR="00FF0F9B" w:rsidRPr="00EF1E43" w:rsidRDefault="00FF0F9B" w:rsidP="00374F41">
            <w:pPr>
              <w:rPr>
                <w:sz w:val="24"/>
              </w:rPr>
            </w:pPr>
            <w:r w:rsidRPr="00EF1E43">
              <w:rPr>
                <w:sz w:val="24"/>
              </w:rPr>
              <w:t>Marcus PM, Newman B, Moorman PG, et al (1999). Physical activity at age 12 and adult breast cancer risk (United States). Cancer Causes &amp; Control, 10: 293-302.</w:t>
            </w:r>
          </w:p>
        </w:tc>
      </w:tr>
      <w:tr w:rsidR="00EF1E43" w:rsidRPr="00EF1E43" w14:paraId="22C1D207" w14:textId="77777777" w:rsidTr="00CC61F1">
        <w:trPr>
          <w:cantSplit/>
        </w:trPr>
        <w:tc>
          <w:tcPr>
            <w:tcW w:w="1555" w:type="dxa"/>
            <w:shd w:val="clear" w:color="auto" w:fill="FFFFFF" w:themeFill="background1"/>
            <w:noWrap/>
            <w:vAlign w:val="center"/>
            <w:hideMark/>
          </w:tcPr>
          <w:p w14:paraId="4D959365" w14:textId="77777777" w:rsidR="00FF0F9B" w:rsidRPr="00EF1E43" w:rsidRDefault="00FF0F9B" w:rsidP="00374F41">
            <w:pPr>
              <w:jc w:val="center"/>
              <w:rPr>
                <w:sz w:val="24"/>
              </w:rPr>
            </w:pPr>
            <w:r w:rsidRPr="00EF1E43">
              <w:rPr>
                <w:sz w:val="24"/>
              </w:rPr>
              <w:t>35588</w:t>
            </w:r>
          </w:p>
        </w:tc>
        <w:tc>
          <w:tcPr>
            <w:tcW w:w="7371" w:type="dxa"/>
            <w:shd w:val="clear" w:color="auto" w:fill="FFFFFF" w:themeFill="background1"/>
            <w:vAlign w:val="center"/>
            <w:hideMark/>
          </w:tcPr>
          <w:p w14:paraId="7E447177" w14:textId="77777777" w:rsidR="00FF0F9B" w:rsidRPr="00EF1E43" w:rsidRDefault="00FF0F9B" w:rsidP="00374F41">
            <w:pPr>
              <w:rPr>
                <w:sz w:val="24"/>
              </w:rPr>
            </w:pPr>
            <w:r w:rsidRPr="00EF1E43">
              <w:rPr>
                <w:sz w:val="24"/>
              </w:rPr>
              <w:t>Marcus PM, Newman B, Millikan RC, et al (2000). The associations of adolescent cigarette smoking, alcoholic beverage consumption, environmental tobacco smoke, and ionizing radiation with subsequent breast cancer risk (United States). Cancer Causes &amp; Control, 11: 271-78.</w:t>
            </w:r>
          </w:p>
        </w:tc>
      </w:tr>
      <w:tr w:rsidR="00EF1E43" w:rsidRPr="00EF1E43" w14:paraId="0011C35E" w14:textId="77777777" w:rsidTr="00CC61F1">
        <w:trPr>
          <w:cantSplit/>
        </w:trPr>
        <w:tc>
          <w:tcPr>
            <w:tcW w:w="1555" w:type="dxa"/>
            <w:shd w:val="clear" w:color="auto" w:fill="FFFFFF" w:themeFill="background1"/>
            <w:noWrap/>
            <w:vAlign w:val="center"/>
            <w:hideMark/>
          </w:tcPr>
          <w:p w14:paraId="00A30A53" w14:textId="77777777" w:rsidR="00FF0F9B" w:rsidRPr="00EF1E43" w:rsidRDefault="00FF0F9B" w:rsidP="00374F41">
            <w:pPr>
              <w:jc w:val="center"/>
              <w:rPr>
                <w:sz w:val="24"/>
              </w:rPr>
            </w:pPr>
            <w:r w:rsidRPr="00EF1E43">
              <w:rPr>
                <w:sz w:val="24"/>
              </w:rPr>
              <w:t>36990</w:t>
            </w:r>
          </w:p>
        </w:tc>
        <w:tc>
          <w:tcPr>
            <w:tcW w:w="7371" w:type="dxa"/>
            <w:shd w:val="clear" w:color="auto" w:fill="FFFFFF" w:themeFill="background1"/>
            <w:vAlign w:val="center"/>
            <w:hideMark/>
          </w:tcPr>
          <w:p w14:paraId="09CFB2F9" w14:textId="77777777" w:rsidR="00FF0F9B" w:rsidRPr="00EF1E43" w:rsidRDefault="00FF0F9B" w:rsidP="00374F41">
            <w:pPr>
              <w:rPr>
                <w:sz w:val="24"/>
              </w:rPr>
            </w:pPr>
            <w:r w:rsidRPr="00EF1E43">
              <w:rPr>
                <w:sz w:val="24"/>
              </w:rPr>
              <w:t>Margolis KL, Mucci L, Braaten T, et al (2005). Physical activity in different periods of life and the risk of breast cancer: the Norwegian-Swedish women's lifestyle and health cohort study. Cancer Epidemiology, Biomarkers &amp; Prevention, 14(1): 27-32.</w:t>
            </w:r>
          </w:p>
        </w:tc>
      </w:tr>
      <w:tr w:rsidR="00EF1E43" w:rsidRPr="00EF1E43" w14:paraId="04DF7F28" w14:textId="77777777" w:rsidTr="00CC61F1">
        <w:trPr>
          <w:cantSplit/>
        </w:trPr>
        <w:tc>
          <w:tcPr>
            <w:tcW w:w="1555" w:type="dxa"/>
            <w:shd w:val="clear" w:color="auto" w:fill="FFFFFF" w:themeFill="background1"/>
            <w:noWrap/>
            <w:vAlign w:val="center"/>
            <w:hideMark/>
          </w:tcPr>
          <w:p w14:paraId="4480A203" w14:textId="77777777" w:rsidR="00FF0F9B" w:rsidRPr="00EF1E43" w:rsidRDefault="00FF0F9B" w:rsidP="00374F41">
            <w:pPr>
              <w:jc w:val="center"/>
              <w:rPr>
                <w:sz w:val="24"/>
              </w:rPr>
            </w:pPr>
            <w:r w:rsidRPr="00EF1E43">
              <w:rPr>
                <w:sz w:val="24"/>
              </w:rPr>
              <w:t>19939</w:t>
            </w:r>
          </w:p>
        </w:tc>
        <w:tc>
          <w:tcPr>
            <w:tcW w:w="7371" w:type="dxa"/>
            <w:shd w:val="clear" w:color="auto" w:fill="FFFFFF" w:themeFill="background1"/>
            <w:vAlign w:val="center"/>
            <w:hideMark/>
          </w:tcPr>
          <w:p w14:paraId="15D41969" w14:textId="77777777" w:rsidR="00FF0F9B" w:rsidRPr="00EF1E43" w:rsidRDefault="00FF0F9B" w:rsidP="00374F41">
            <w:pPr>
              <w:rPr>
                <w:sz w:val="24"/>
              </w:rPr>
            </w:pPr>
            <w:r w:rsidRPr="00EF1E43">
              <w:rPr>
                <w:sz w:val="24"/>
              </w:rPr>
              <w:t>Marsden J (2017). Hormonal contraception and breast cancer, what more do we need to know? Post Reprod Health, 23(3): 116-27.</w:t>
            </w:r>
          </w:p>
        </w:tc>
      </w:tr>
      <w:tr w:rsidR="00EF1E43" w:rsidRPr="00EF1E43" w14:paraId="60712BE7" w14:textId="77777777" w:rsidTr="00CC61F1">
        <w:trPr>
          <w:cantSplit/>
        </w:trPr>
        <w:tc>
          <w:tcPr>
            <w:tcW w:w="1555" w:type="dxa"/>
            <w:shd w:val="clear" w:color="auto" w:fill="FFFFFF" w:themeFill="background1"/>
            <w:noWrap/>
            <w:vAlign w:val="center"/>
            <w:hideMark/>
          </w:tcPr>
          <w:p w14:paraId="0D1DC2E1" w14:textId="77777777" w:rsidR="00FF0F9B" w:rsidRPr="00EF1E43" w:rsidRDefault="00FF0F9B" w:rsidP="00374F41">
            <w:pPr>
              <w:jc w:val="center"/>
              <w:rPr>
                <w:sz w:val="24"/>
              </w:rPr>
            </w:pPr>
            <w:r w:rsidRPr="00EF1E43">
              <w:rPr>
                <w:sz w:val="24"/>
              </w:rPr>
              <w:t>71669</w:t>
            </w:r>
          </w:p>
        </w:tc>
        <w:tc>
          <w:tcPr>
            <w:tcW w:w="7371" w:type="dxa"/>
            <w:shd w:val="clear" w:color="auto" w:fill="FFFFFF" w:themeFill="background1"/>
            <w:vAlign w:val="center"/>
            <w:hideMark/>
          </w:tcPr>
          <w:p w14:paraId="49C9DEB2" w14:textId="77777777" w:rsidR="00FF0F9B" w:rsidRPr="00EF1E43" w:rsidRDefault="00FF0F9B" w:rsidP="00374F41">
            <w:pPr>
              <w:rPr>
                <w:sz w:val="24"/>
              </w:rPr>
            </w:pPr>
            <w:r w:rsidRPr="00EF1E43">
              <w:rPr>
                <w:sz w:val="24"/>
              </w:rPr>
              <w:t>Masuda S (2012). Breast cancer pathology: the impact of molecular taxonomy of morphological taxonomy. Pathology International, 62: 295-302.</w:t>
            </w:r>
          </w:p>
        </w:tc>
      </w:tr>
      <w:tr w:rsidR="00EF1E43" w:rsidRPr="00EF1E43" w14:paraId="43186093" w14:textId="77777777" w:rsidTr="00CC61F1">
        <w:trPr>
          <w:cantSplit/>
        </w:trPr>
        <w:tc>
          <w:tcPr>
            <w:tcW w:w="1555" w:type="dxa"/>
            <w:shd w:val="clear" w:color="auto" w:fill="FFFFFF" w:themeFill="background1"/>
            <w:noWrap/>
            <w:vAlign w:val="center"/>
            <w:hideMark/>
          </w:tcPr>
          <w:p w14:paraId="70AE2391" w14:textId="77777777" w:rsidR="00FF0F9B" w:rsidRPr="00EF1E43" w:rsidRDefault="00FF0F9B" w:rsidP="00374F41">
            <w:pPr>
              <w:jc w:val="center"/>
              <w:rPr>
                <w:sz w:val="24"/>
              </w:rPr>
            </w:pPr>
            <w:r w:rsidRPr="00EF1E43">
              <w:rPr>
                <w:sz w:val="24"/>
              </w:rPr>
              <w:t>37122</w:t>
            </w:r>
          </w:p>
        </w:tc>
        <w:tc>
          <w:tcPr>
            <w:tcW w:w="7371" w:type="dxa"/>
            <w:shd w:val="clear" w:color="auto" w:fill="FFFFFF" w:themeFill="background1"/>
            <w:vAlign w:val="center"/>
            <w:hideMark/>
          </w:tcPr>
          <w:p w14:paraId="63976C08" w14:textId="77777777" w:rsidR="00FF0F9B" w:rsidRPr="00EF1E43" w:rsidRDefault="00FF0F9B" w:rsidP="00374F41">
            <w:pPr>
              <w:rPr>
                <w:sz w:val="24"/>
              </w:rPr>
            </w:pPr>
            <w:r w:rsidRPr="00EF1E43">
              <w:rPr>
                <w:sz w:val="24"/>
              </w:rPr>
              <w:t>Matthews CE, Shu XO, Jin F, et al (2001). Lifetime physical activity and breast cancer risk in the Shanghai Breast Cancer Study. Br J Cancer, 84(7): 994-1001.</w:t>
            </w:r>
          </w:p>
        </w:tc>
      </w:tr>
      <w:tr w:rsidR="00EF1E43" w:rsidRPr="00EF1E43" w14:paraId="20B47FD0" w14:textId="77777777" w:rsidTr="00CC61F1">
        <w:trPr>
          <w:cantSplit/>
        </w:trPr>
        <w:tc>
          <w:tcPr>
            <w:tcW w:w="1555" w:type="dxa"/>
            <w:shd w:val="clear" w:color="auto" w:fill="FFFFFF" w:themeFill="background1"/>
            <w:noWrap/>
            <w:vAlign w:val="center"/>
            <w:hideMark/>
          </w:tcPr>
          <w:p w14:paraId="193DAFF0" w14:textId="77777777" w:rsidR="00FF0F9B" w:rsidRPr="00EF1E43" w:rsidRDefault="00FF0F9B" w:rsidP="00374F41">
            <w:pPr>
              <w:jc w:val="center"/>
              <w:rPr>
                <w:sz w:val="24"/>
              </w:rPr>
            </w:pPr>
            <w:r w:rsidRPr="00EF1E43">
              <w:rPr>
                <w:sz w:val="24"/>
              </w:rPr>
              <w:t>35636</w:t>
            </w:r>
          </w:p>
        </w:tc>
        <w:tc>
          <w:tcPr>
            <w:tcW w:w="7371" w:type="dxa"/>
            <w:shd w:val="clear" w:color="auto" w:fill="FFFFFF" w:themeFill="background1"/>
            <w:vAlign w:val="center"/>
            <w:hideMark/>
          </w:tcPr>
          <w:p w14:paraId="6E933711" w14:textId="77777777" w:rsidR="00FF0F9B" w:rsidRPr="00EF1E43" w:rsidRDefault="00FF0F9B" w:rsidP="00374F41">
            <w:pPr>
              <w:rPr>
                <w:sz w:val="24"/>
              </w:rPr>
            </w:pPr>
            <w:r w:rsidRPr="00EF1E43">
              <w:rPr>
                <w:sz w:val="24"/>
              </w:rPr>
              <w:t>Mattisson I, Wirfalt E, Wallstrom P, et al (2004). High fat and alcohol intakes are risk factors of postmenopausal breast cancer: a prospective study from the Malmo Diet and cancer cohort. Int J Cancer, 110: 589-97.</w:t>
            </w:r>
          </w:p>
        </w:tc>
      </w:tr>
      <w:tr w:rsidR="00EF1E43" w:rsidRPr="00EF1E43" w14:paraId="33DBD7CC" w14:textId="77777777" w:rsidTr="00CC61F1">
        <w:trPr>
          <w:cantSplit/>
        </w:trPr>
        <w:tc>
          <w:tcPr>
            <w:tcW w:w="1555" w:type="dxa"/>
            <w:shd w:val="clear" w:color="auto" w:fill="FFFFFF" w:themeFill="background1"/>
            <w:noWrap/>
            <w:vAlign w:val="center"/>
            <w:hideMark/>
          </w:tcPr>
          <w:p w14:paraId="4798131F" w14:textId="77777777" w:rsidR="00FF0F9B" w:rsidRPr="00EF1E43" w:rsidRDefault="00FF0F9B" w:rsidP="00374F41">
            <w:pPr>
              <w:jc w:val="center"/>
              <w:rPr>
                <w:sz w:val="24"/>
              </w:rPr>
            </w:pPr>
            <w:r w:rsidRPr="00EF1E43">
              <w:rPr>
                <w:sz w:val="24"/>
              </w:rPr>
              <w:t>35835</w:t>
            </w:r>
          </w:p>
        </w:tc>
        <w:tc>
          <w:tcPr>
            <w:tcW w:w="7371" w:type="dxa"/>
            <w:shd w:val="clear" w:color="auto" w:fill="FFFFFF" w:themeFill="background1"/>
            <w:vAlign w:val="center"/>
            <w:hideMark/>
          </w:tcPr>
          <w:p w14:paraId="30226DD2" w14:textId="77777777" w:rsidR="00FF0F9B" w:rsidRPr="00EF1E43" w:rsidRDefault="00FF0F9B" w:rsidP="00374F41">
            <w:pPr>
              <w:rPr>
                <w:sz w:val="24"/>
              </w:rPr>
            </w:pPr>
            <w:r w:rsidRPr="00EF1E43">
              <w:rPr>
                <w:sz w:val="24"/>
              </w:rPr>
              <w:t>Mattsson A, Ruden BI, Palmgren J, et al (1995). Dose- and time-response for breast cancer risk after radiation therapy for benign breast disease. British Journal of Cancer, 72(4): 1054-61.</w:t>
            </w:r>
          </w:p>
        </w:tc>
      </w:tr>
      <w:tr w:rsidR="00EF1E43" w:rsidRPr="00EF1E43" w14:paraId="2E74C6EF" w14:textId="77777777" w:rsidTr="00CC61F1">
        <w:trPr>
          <w:cantSplit/>
        </w:trPr>
        <w:tc>
          <w:tcPr>
            <w:tcW w:w="1555" w:type="dxa"/>
            <w:shd w:val="clear" w:color="auto" w:fill="FFFFFF" w:themeFill="background1"/>
            <w:noWrap/>
            <w:vAlign w:val="center"/>
            <w:hideMark/>
          </w:tcPr>
          <w:p w14:paraId="13F28407" w14:textId="77777777" w:rsidR="00FF0F9B" w:rsidRPr="00EF1E43" w:rsidRDefault="00FF0F9B" w:rsidP="00374F41">
            <w:pPr>
              <w:jc w:val="center"/>
              <w:rPr>
                <w:sz w:val="24"/>
              </w:rPr>
            </w:pPr>
            <w:r w:rsidRPr="00EF1E43">
              <w:rPr>
                <w:sz w:val="24"/>
              </w:rPr>
              <w:t>38260</w:t>
            </w:r>
          </w:p>
        </w:tc>
        <w:tc>
          <w:tcPr>
            <w:tcW w:w="7371" w:type="dxa"/>
            <w:shd w:val="clear" w:color="auto" w:fill="FFFFFF" w:themeFill="background1"/>
            <w:vAlign w:val="center"/>
            <w:hideMark/>
          </w:tcPr>
          <w:p w14:paraId="59BFCEFE" w14:textId="77777777" w:rsidR="00FF0F9B" w:rsidRPr="00EF1E43" w:rsidRDefault="00FF0F9B" w:rsidP="00374F41">
            <w:pPr>
              <w:rPr>
                <w:sz w:val="24"/>
              </w:rPr>
            </w:pPr>
            <w:r w:rsidRPr="00EF1E43">
              <w:rPr>
                <w:sz w:val="24"/>
              </w:rPr>
              <w:t>McCullough ML, Rodriguez C, Diver WR, et al (2005). Dairy, calcium, and vitamin D intake and postmenopausal breast cancer risk in the cancer prevention study II nutrition cohort. Cancer Epidemiol Biomarkers Prev, 14(12): 2898-2904.</w:t>
            </w:r>
          </w:p>
        </w:tc>
      </w:tr>
      <w:tr w:rsidR="00EF1E43" w:rsidRPr="00EF1E43" w14:paraId="5493269E" w14:textId="77777777" w:rsidTr="00CC61F1">
        <w:trPr>
          <w:cantSplit/>
        </w:trPr>
        <w:tc>
          <w:tcPr>
            <w:tcW w:w="1555" w:type="dxa"/>
            <w:shd w:val="clear" w:color="auto" w:fill="FFFFFF" w:themeFill="background1"/>
            <w:noWrap/>
            <w:vAlign w:val="center"/>
            <w:hideMark/>
          </w:tcPr>
          <w:p w14:paraId="51007E70" w14:textId="77777777" w:rsidR="00FF0F9B" w:rsidRPr="00EF1E43" w:rsidRDefault="00FF0F9B" w:rsidP="00374F41">
            <w:pPr>
              <w:jc w:val="center"/>
              <w:rPr>
                <w:sz w:val="24"/>
              </w:rPr>
            </w:pPr>
            <w:r w:rsidRPr="00EF1E43">
              <w:rPr>
                <w:sz w:val="24"/>
              </w:rPr>
              <w:t>10274</w:t>
            </w:r>
          </w:p>
        </w:tc>
        <w:tc>
          <w:tcPr>
            <w:tcW w:w="7371" w:type="dxa"/>
            <w:shd w:val="clear" w:color="auto" w:fill="FFFFFF" w:themeFill="background1"/>
            <w:vAlign w:val="center"/>
            <w:hideMark/>
          </w:tcPr>
          <w:p w14:paraId="1AFF70B2" w14:textId="77777777" w:rsidR="00FF0F9B" w:rsidRPr="00EF1E43" w:rsidRDefault="00FF0F9B" w:rsidP="00374F41">
            <w:pPr>
              <w:rPr>
                <w:sz w:val="24"/>
              </w:rPr>
            </w:pPr>
            <w:r w:rsidRPr="00EF1E43">
              <w:rPr>
                <w:sz w:val="24"/>
              </w:rPr>
              <w:t>McDermott WV (1987). Surgical disease in East Africa. Archives of Surgery, 122: 397-402.</w:t>
            </w:r>
          </w:p>
        </w:tc>
      </w:tr>
      <w:tr w:rsidR="00EF1E43" w:rsidRPr="00EF1E43" w14:paraId="3CC2A922" w14:textId="77777777" w:rsidTr="00CC61F1">
        <w:trPr>
          <w:cantSplit/>
        </w:trPr>
        <w:tc>
          <w:tcPr>
            <w:tcW w:w="1555" w:type="dxa"/>
            <w:shd w:val="clear" w:color="auto" w:fill="FFFFFF" w:themeFill="background1"/>
            <w:noWrap/>
            <w:vAlign w:val="center"/>
            <w:hideMark/>
          </w:tcPr>
          <w:p w14:paraId="2C3D5FF4" w14:textId="77777777" w:rsidR="00FF0F9B" w:rsidRPr="00EF1E43" w:rsidRDefault="00FF0F9B" w:rsidP="00374F41">
            <w:pPr>
              <w:jc w:val="center"/>
              <w:rPr>
                <w:sz w:val="24"/>
              </w:rPr>
            </w:pPr>
            <w:r w:rsidRPr="00EF1E43">
              <w:rPr>
                <w:sz w:val="24"/>
              </w:rPr>
              <w:t>35639</w:t>
            </w:r>
          </w:p>
        </w:tc>
        <w:tc>
          <w:tcPr>
            <w:tcW w:w="7371" w:type="dxa"/>
            <w:shd w:val="clear" w:color="auto" w:fill="FFFFFF" w:themeFill="background1"/>
            <w:vAlign w:val="center"/>
            <w:hideMark/>
          </w:tcPr>
          <w:p w14:paraId="4996E457" w14:textId="77777777" w:rsidR="00FF0F9B" w:rsidRPr="00EF1E43" w:rsidRDefault="00FF0F9B" w:rsidP="00374F41">
            <w:pPr>
              <w:rPr>
                <w:sz w:val="24"/>
              </w:rPr>
            </w:pPr>
            <w:r w:rsidRPr="00EF1E43">
              <w:rPr>
                <w:sz w:val="24"/>
              </w:rPr>
              <w:t>McDonald JA, Mandel MG, Marchbanks PA, et al (2004). Alcohol exposure and breast cancer: results of the women's contraceptive and reproductive experiences study. Cancer Epidemiology, Biomarkers &amp; Prevention, 13(12): 2106-16.</w:t>
            </w:r>
          </w:p>
        </w:tc>
      </w:tr>
      <w:tr w:rsidR="00EF1E43" w:rsidRPr="00EF1E43" w14:paraId="3A520A19" w14:textId="77777777" w:rsidTr="00CC61F1">
        <w:trPr>
          <w:cantSplit/>
        </w:trPr>
        <w:tc>
          <w:tcPr>
            <w:tcW w:w="1555" w:type="dxa"/>
            <w:shd w:val="clear" w:color="auto" w:fill="FFFFFF" w:themeFill="background1"/>
            <w:noWrap/>
            <w:vAlign w:val="center"/>
            <w:hideMark/>
          </w:tcPr>
          <w:p w14:paraId="12DF5ACA" w14:textId="77777777" w:rsidR="00FF0F9B" w:rsidRPr="00EF1E43" w:rsidRDefault="00FF0F9B" w:rsidP="00374F41">
            <w:pPr>
              <w:jc w:val="center"/>
              <w:rPr>
                <w:sz w:val="24"/>
              </w:rPr>
            </w:pPr>
            <w:r w:rsidRPr="00EF1E43">
              <w:rPr>
                <w:sz w:val="24"/>
              </w:rPr>
              <w:t>4694</w:t>
            </w:r>
          </w:p>
        </w:tc>
        <w:tc>
          <w:tcPr>
            <w:tcW w:w="7371" w:type="dxa"/>
            <w:shd w:val="clear" w:color="auto" w:fill="FFFFFF" w:themeFill="background1"/>
            <w:vAlign w:val="center"/>
            <w:hideMark/>
          </w:tcPr>
          <w:p w14:paraId="1DAABE44" w14:textId="77777777" w:rsidR="00FF0F9B" w:rsidRPr="00EF1E43" w:rsidRDefault="00FF0F9B" w:rsidP="00374F41">
            <w:pPr>
              <w:rPr>
                <w:sz w:val="24"/>
              </w:rPr>
            </w:pPr>
            <w:r w:rsidRPr="00EF1E43">
              <w:rPr>
                <w:sz w:val="24"/>
              </w:rPr>
              <w:t>McLaughlin CC, Mahoney MC, Nasca PC, et al (1992). Breast cancer and methylxanthine consumption. Cancer Causes Control, Vol 3: 175-8.</w:t>
            </w:r>
          </w:p>
        </w:tc>
      </w:tr>
      <w:tr w:rsidR="00EF1E43" w:rsidRPr="00EF1E43" w14:paraId="21A234F4" w14:textId="77777777" w:rsidTr="00CC61F1">
        <w:trPr>
          <w:cantSplit/>
        </w:trPr>
        <w:tc>
          <w:tcPr>
            <w:tcW w:w="1555" w:type="dxa"/>
            <w:shd w:val="clear" w:color="auto" w:fill="FFFFFF" w:themeFill="background1"/>
            <w:noWrap/>
            <w:vAlign w:val="center"/>
            <w:hideMark/>
          </w:tcPr>
          <w:p w14:paraId="785A4149" w14:textId="77777777" w:rsidR="00FF0F9B" w:rsidRPr="00EF1E43" w:rsidRDefault="00FF0F9B" w:rsidP="00374F41">
            <w:pPr>
              <w:jc w:val="center"/>
              <w:rPr>
                <w:sz w:val="24"/>
              </w:rPr>
            </w:pPr>
            <w:r w:rsidRPr="00EF1E43">
              <w:rPr>
                <w:sz w:val="24"/>
              </w:rPr>
              <w:t>4767</w:t>
            </w:r>
          </w:p>
        </w:tc>
        <w:tc>
          <w:tcPr>
            <w:tcW w:w="7371" w:type="dxa"/>
            <w:shd w:val="clear" w:color="auto" w:fill="FFFFFF" w:themeFill="background1"/>
            <w:vAlign w:val="center"/>
            <w:hideMark/>
          </w:tcPr>
          <w:p w14:paraId="3987966A" w14:textId="77777777" w:rsidR="00FF0F9B" w:rsidRPr="00EF1E43" w:rsidRDefault="00FF0F9B" w:rsidP="00374F41">
            <w:pPr>
              <w:rPr>
                <w:sz w:val="24"/>
              </w:rPr>
            </w:pPr>
            <w:r w:rsidRPr="00EF1E43">
              <w:rPr>
                <w:sz w:val="24"/>
              </w:rPr>
              <w:t>McLaughlin JK, Malker HS, Blot WJ, et al (1988). Occupational risks for male breast cancer in Sweden. Br J Ind Med, 45: 275-6.</w:t>
            </w:r>
          </w:p>
        </w:tc>
      </w:tr>
      <w:tr w:rsidR="00EF1E43" w:rsidRPr="00EF1E43" w14:paraId="11D258BE" w14:textId="77777777" w:rsidTr="00CC61F1">
        <w:trPr>
          <w:cantSplit/>
        </w:trPr>
        <w:tc>
          <w:tcPr>
            <w:tcW w:w="1555" w:type="dxa"/>
            <w:shd w:val="clear" w:color="auto" w:fill="FFFFFF" w:themeFill="background1"/>
            <w:noWrap/>
            <w:vAlign w:val="center"/>
            <w:hideMark/>
          </w:tcPr>
          <w:p w14:paraId="66D64350" w14:textId="77777777" w:rsidR="00FF0F9B" w:rsidRPr="00EF1E43" w:rsidRDefault="00FF0F9B" w:rsidP="00374F41">
            <w:pPr>
              <w:jc w:val="center"/>
              <w:rPr>
                <w:sz w:val="24"/>
              </w:rPr>
            </w:pPr>
            <w:r w:rsidRPr="00EF1E43">
              <w:rPr>
                <w:sz w:val="24"/>
              </w:rPr>
              <w:t>37136</w:t>
            </w:r>
          </w:p>
        </w:tc>
        <w:tc>
          <w:tcPr>
            <w:tcW w:w="7371" w:type="dxa"/>
            <w:shd w:val="clear" w:color="auto" w:fill="FFFFFF" w:themeFill="background1"/>
            <w:vAlign w:val="center"/>
            <w:hideMark/>
          </w:tcPr>
          <w:p w14:paraId="44E149A0" w14:textId="77777777" w:rsidR="00FF0F9B" w:rsidRPr="00EF1E43" w:rsidRDefault="00FF0F9B" w:rsidP="00374F41">
            <w:pPr>
              <w:rPr>
                <w:sz w:val="24"/>
              </w:rPr>
            </w:pPr>
            <w:r w:rsidRPr="00EF1E43">
              <w:rPr>
                <w:sz w:val="24"/>
              </w:rPr>
              <w:t>McTiernan A (1997). Exercise and breast cancer - time to get moving? NEJM, 336: 1311-2.</w:t>
            </w:r>
          </w:p>
        </w:tc>
      </w:tr>
      <w:tr w:rsidR="00EF1E43" w:rsidRPr="00EF1E43" w14:paraId="6279FFD0" w14:textId="77777777" w:rsidTr="00CC61F1">
        <w:trPr>
          <w:cantSplit/>
        </w:trPr>
        <w:tc>
          <w:tcPr>
            <w:tcW w:w="1555" w:type="dxa"/>
            <w:shd w:val="clear" w:color="auto" w:fill="FFFFFF" w:themeFill="background1"/>
            <w:noWrap/>
            <w:vAlign w:val="center"/>
            <w:hideMark/>
          </w:tcPr>
          <w:p w14:paraId="4DA32DCA" w14:textId="77777777" w:rsidR="00FF0F9B" w:rsidRPr="00EF1E43" w:rsidRDefault="00FF0F9B" w:rsidP="00374F41">
            <w:pPr>
              <w:jc w:val="center"/>
              <w:rPr>
                <w:sz w:val="24"/>
              </w:rPr>
            </w:pPr>
            <w:r w:rsidRPr="00EF1E43">
              <w:rPr>
                <w:sz w:val="24"/>
              </w:rPr>
              <w:t>37175</w:t>
            </w:r>
          </w:p>
        </w:tc>
        <w:tc>
          <w:tcPr>
            <w:tcW w:w="7371" w:type="dxa"/>
            <w:shd w:val="clear" w:color="auto" w:fill="FFFFFF" w:themeFill="background1"/>
            <w:vAlign w:val="center"/>
            <w:hideMark/>
          </w:tcPr>
          <w:p w14:paraId="08208424" w14:textId="77777777" w:rsidR="00FF0F9B" w:rsidRPr="00EF1E43" w:rsidRDefault="00FF0F9B" w:rsidP="00374F41">
            <w:pPr>
              <w:rPr>
                <w:sz w:val="24"/>
              </w:rPr>
            </w:pPr>
            <w:r w:rsidRPr="00EF1E43">
              <w:rPr>
                <w:sz w:val="24"/>
              </w:rPr>
              <w:t>McTiernan A, Kooperberg C, White E, et al (2003). Recreational physical activity and the risk of breast cancer in postmenopausal women. The Women's Health Initiative Cohort Study. JAMA, 290(10): 1331-6.</w:t>
            </w:r>
          </w:p>
        </w:tc>
      </w:tr>
      <w:tr w:rsidR="00EF1E43" w:rsidRPr="00EF1E43" w14:paraId="6CBB27FA" w14:textId="77777777" w:rsidTr="00CC61F1">
        <w:trPr>
          <w:cantSplit/>
        </w:trPr>
        <w:tc>
          <w:tcPr>
            <w:tcW w:w="1555" w:type="dxa"/>
            <w:shd w:val="clear" w:color="auto" w:fill="FFFFFF" w:themeFill="background1"/>
            <w:noWrap/>
            <w:vAlign w:val="center"/>
            <w:hideMark/>
          </w:tcPr>
          <w:p w14:paraId="7D57CB3D" w14:textId="77777777" w:rsidR="00FF0F9B" w:rsidRPr="00EF1E43" w:rsidRDefault="00FF0F9B" w:rsidP="00374F41">
            <w:pPr>
              <w:jc w:val="center"/>
              <w:rPr>
                <w:sz w:val="24"/>
              </w:rPr>
            </w:pPr>
            <w:r w:rsidRPr="00EF1E43">
              <w:rPr>
                <w:sz w:val="24"/>
              </w:rPr>
              <w:lastRenderedPageBreak/>
              <w:t>37948</w:t>
            </w:r>
          </w:p>
        </w:tc>
        <w:tc>
          <w:tcPr>
            <w:tcW w:w="7371" w:type="dxa"/>
            <w:shd w:val="clear" w:color="auto" w:fill="FFFFFF" w:themeFill="background1"/>
            <w:vAlign w:val="center"/>
            <w:hideMark/>
          </w:tcPr>
          <w:p w14:paraId="2C1CECF4" w14:textId="77777777" w:rsidR="00FF0F9B" w:rsidRPr="00EF1E43" w:rsidRDefault="00FF0F9B" w:rsidP="00374F41">
            <w:pPr>
              <w:rPr>
                <w:sz w:val="24"/>
              </w:rPr>
            </w:pPr>
            <w:r w:rsidRPr="00EF1E43">
              <w:rPr>
                <w:sz w:val="24"/>
              </w:rPr>
              <w:t>McTiernan A, Stanford JL, Weiss NS, et al (1996). Occurrence of breast cancer in relation to recreational exercise in women age 50-64 years. Epidemiology, 7(6): 598-604.</w:t>
            </w:r>
          </w:p>
        </w:tc>
      </w:tr>
      <w:tr w:rsidR="00EF1E43" w:rsidRPr="00EF1E43" w14:paraId="694217CC" w14:textId="77777777" w:rsidTr="00CC61F1">
        <w:trPr>
          <w:cantSplit/>
        </w:trPr>
        <w:tc>
          <w:tcPr>
            <w:tcW w:w="1555" w:type="dxa"/>
            <w:shd w:val="clear" w:color="auto" w:fill="FFFFFF" w:themeFill="background1"/>
            <w:noWrap/>
            <w:vAlign w:val="center"/>
            <w:hideMark/>
          </w:tcPr>
          <w:p w14:paraId="62F98BC4" w14:textId="77777777" w:rsidR="00FF0F9B" w:rsidRPr="00EF1E43" w:rsidRDefault="00FF0F9B" w:rsidP="00374F41">
            <w:pPr>
              <w:jc w:val="center"/>
              <w:rPr>
                <w:sz w:val="24"/>
              </w:rPr>
            </w:pPr>
            <w:r w:rsidRPr="00EF1E43">
              <w:rPr>
                <w:sz w:val="24"/>
              </w:rPr>
              <w:t>35728</w:t>
            </w:r>
          </w:p>
        </w:tc>
        <w:tc>
          <w:tcPr>
            <w:tcW w:w="7371" w:type="dxa"/>
            <w:shd w:val="clear" w:color="auto" w:fill="FFFFFF" w:themeFill="background1"/>
            <w:vAlign w:val="center"/>
            <w:hideMark/>
          </w:tcPr>
          <w:p w14:paraId="1A73D86A" w14:textId="77777777" w:rsidR="00FF0F9B" w:rsidRPr="00EF1E43" w:rsidRDefault="00FF0F9B" w:rsidP="00374F41">
            <w:pPr>
              <w:rPr>
                <w:sz w:val="24"/>
              </w:rPr>
            </w:pPr>
            <w:r w:rsidRPr="00EF1E43">
              <w:rPr>
                <w:sz w:val="24"/>
              </w:rPr>
              <w:t>Meeske K, Press M, Patel A, et al (2004). Impact of Reproductive factors and lactation on breast carcinoma in situ risk. Int J Cancer, 110: 102-9.</w:t>
            </w:r>
          </w:p>
        </w:tc>
      </w:tr>
      <w:tr w:rsidR="00EF1E43" w:rsidRPr="00EF1E43" w14:paraId="06256C17" w14:textId="77777777" w:rsidTr="00CC61F1">
        <w:trPr>
          <w:cantSplit/>
        </w:trPr>
        <w:tc>
          <w:tcPr>
            <w:tcW w:w="1555" w:type="dxa"/>
            <w:shd w:val="clear" w:color="auto" w:fill="FFFFFF" w:themeFill="background1"/>
            <w:noWrap/>
            <w:vAlign w:val="center"/>
            <w:hideMark/>
          </w:tcPr>
          <w:p w14:paraId="2797DD47" w14:textId="77777777" w:rsidR="00FF0F9B" w:rsidRPr="00EF1E43" w:rsidRDefault="00FF0F9B" w:rsidP="00374F41">
            <w:pPr>
              <w:jc w:val="center"/>
              <w:rPr>
                <w:sz w:val="24"/>
              </w:rPr>
            </w:pPr>
            <w:r w:rsidRPr="00EF1E43">
              <w:rPr>
                <w:sz w:val="24"/>
              </w:rPr>
              <w:t>36910</w:t>
            </w:r>
          </w:p>
        </w:tc>
        <w:tc>
          <w:tcPr>
            <w:tcW w:w="7371" w:type="dxa"/>
            <w:shd w:val="clear" w:color="auto" w:fill="FFFFFF" w:themeFill="background1"/>
            <w:vAlign w:val="center"/>
            <w:hideMark/>
          </w:tcPr>
          <w:p w14:paraId="0810C36A" w14:textId="77777777" w:rsidR="00FF0F9B" w:rsidRPr="00EF1E43" w:rsidRDefault="00FF0F9B" w:rsidP="00374F41">
            <w:pPr>
              <w:rPr>
                <w:sz w:val="24"/>
              </w:rPr>
            </w:pPr>
            <w:r w:rsidRPr="00EF1E43">
              <w:rPr>
                <w:sz w:val="24"/>
              </w:rPr>
              <w:t>Meguerditchian AN, Falardeau M, Martin G (2002). Male breast carcinoma. Canadian Journal of Surgery, 45(4): 296-302.</w:t>
            </w:r>
          </w:p>
        </w:tc>
      </w:tr>
      <w:tr w:rsidR="00EF1E43" w:rsidRPr="00EF1E43" w14:paraId="2E2D7A17" w14:textId="77777777" w:rsidTr="00CC61F1">
        <w:trPr>
          <w:cantSplit/>
        </w:trPr>
        <w:tc>
          <w:tcPr>
            <w:tcW w:w="1555" w:type="dxa"/>
            <w:shd w:val="clear" w:color="auto" w:fill="FFFFFF" w:themeFill="background1"/>
            <w:noWrap/>
            <w:vAlign w:val="center"/>
            <w:hideMark/>
          </w:tcPr>
          <w:p w14:paraId="64B052C5" w14:textId="77777777" w:rsidR="00FF0F9B" w:rsidRPr="00EF1E43" w:rsidRDefault="00FF0F9B" w:rsidP="00374F41">
            <w:pPr>
              <w:jc w:val="center"/>
              <w:rPr>
                <w:sz w:val="24"/>
              </w:rPr>
            </w:pPr>
            <w:r w:rsidRPr="00EF1E43">
              <w:rPr>
                <w:sz w:val="24"/>
              </w:rPr>
              <w:t>10116</w:t>
            </w:r>
          </w:p>
        </w:tc>
        <w:tc>
          <w:tcPr>
            <w:tcW w:w="7371" w:type="dxa"/>
            <w:shd w:val="clear" w:color="auto" w:fill="FFFFFF" w:themeFill="background1"/>
            <w:vAlign w:val="center"/>
            <w:hideMark/>
          </w:tcPr>
          <w:p w14:paraId="5B64340B" w14:textId="77777777" w:rsidR="00FF0F9B" w:rsidRPr="00EF1E43" w:rsidRDefault="00FF0F9B" w:rsidP="00374F41">
            <w:pPr>
              <w:rPr>
                <w:sz w:val="24"/>
              </w:rPr>
            </w:pPr>
            <w:r w:rsidRPr="00EF1E43">
              <w:rPr>
                <w:sz w:val="24"/>
              </w:rPr>
              <w:t>Mettler FA, Upton AC [Eds] (1995). Breast cancer. Medical Effects of Ionizing Radiation, 2nd Ed, 139-45, 199-213. WB Saunders Company, Philadelphia.</w:t>
            </w:r>
          </w:p>
        </w:tc>
      </w:tr>
      <w:tr w:rsidR="00EF1E43" w:rsidRPr="00EF1E43" w14:paraId="57FA6B00" w14:textId="77777777" w:rsidTr="00CC61F1">
        <w:trPr>
          <w:cantSplit/>
        </w:trPr>
        <w:tc>
          <w:tcPr>
            <w:tcW w:w="1555" w:type="dxa"/>
            <w:shd w:val="clear" w:color="auto" w:fill="FFFFFF" w:themeFill="background1"/>
            <w:noWrap/>
            <w:vAlign w:val="center"/>
            <w:hideMark/>
          </w:tcPr>
          <w:p w14:paraId="21B19402" w14:textId="77777777" w:rsidR="00FF0F9B" w:rsidRPr="00EF1E43" w:rsidRDefault="00FF0F9B" w:rsidP="00374F41">
            <w:pPr>
              <w:jc w:val="center"/>
              <w:rPr>
                <w:sz w:val="24"/>
              </w:rPr>
            </w:pPr>
            <w:r w:rsidRPr="00EF1E43">
              <w:rPr>
                <w:sz w:val="24"/>
              </w:rPr>
              <w:t>4695</w:t>
            </w:r>
          </w:p>
        </w:tc>
        <w:tc>
          <w:tcPr>
            <w:tcW w:w="7371" w:type="dxa"/>
            <w:shd w:val="clear" w:color="auto" w:fill="FFFFFF" w:themeFill="background1"/>
            <w:vAlign w:val="center"/>
            <w:hideMark/>
          </w:tcPr>
          <w:p w14:paraId="3487C76D" w14:textId="77777777" w:rsidR="00FF0F9B" w:rsidRPr="00EF1E43" w:rsidRDefault="00FF0F9B" w:rsidP="00374F41">
            <w:pPr>
              <w:rPr>
                <w:sz w:val="24"/>
              </w:rPr>
            </w:pPr>
            <w:r w:rsidRPr="00EF1E43">
              <w:rPr>
                <w:sz w:val="24"/>
              </w:rPr>
              <w:t>Miller AB (1989). Diet and the Aetiology of Cancer, 3-12. Springer-Verlag, Berlin.</w:t>
            </w:r>
          </w:p>
        </w:tc>
      </w:tr>
      <w:tr w:rsidR="00EF1E43" w:rsidRPr="00EF1E43" w14:paraId="40A09605" w14:textId="77777777" w:rsidTr="00CC61F1">
        <w:trPr>
          <w:cantSplit/>
        </w:trPr>
        <w:tc>
          <w:tcPr>
            <w:tcW w:w="1555" w:type="dxa"/>
            <w:shd w:val="clear" w:color="auto" w:fill="FFFFFF" w:themeFill="background1"/>
            <w:noWrap/>
            <w:vAlign w:val="center"/>
            <w:hideMark/>
          </w:tcPr>
          <w:p w14:paraId="3CE7C700" w14:textId="77777777" w:rsidR="00FF0F9B" w:rsidRPr="00EF1E43" w:rsidRDefault="00FF0F9B" w:rsidP="00374F41">
            <w:pPr>
              <w:jc w:val="center"/>
              <w:rPr>
                <w:sz w:val="24"/>
              </w:rPr>
            </w:pPr>
            <w:r w:rsidRPr="00EF1E43">
              <w:rPr>
                <w:sz w:val="24"/>
              </w:rPr>
              <w:t>35666</w:t>
            </w:r>
          </w:p>
        </w:tc>
        <w:tc>
          <w:tcPr>
            <w:tcW w:w="7371" w:type="dxa"/>
            <w:shd w:val="clear" w:color="auto" w:fill="FFFFFF" w:themeFill="background1"/>
            <w:vAlign w:val="center"/>
            <w:hideMark/>
          </w:tcPr>
          <w:p w14:paraId="22CA2956" w14:textId="77777777" w:rsidR="00FF0F9B" w:rsidRPr="00EF1E43" w:rsidRDefault="00FF0F9B" w:rsidP="00374F41">
            <w:pPr>
              <w:rPr>
                <w:sz w:val="24"/>
              </w:rPr>
            </w:pPr>
            <w:r w:rsidRPr="00EF1E43">
              <w:rPr>
                <w:sz w:val="24"/>
              </w:rPr>
              <w:t>Milne RL, Knight JA, John EM, et al (2005). Oral contraceptive use and risk of early-onset breast cancer in carriers and noncarriers of BRCA1 and BRCA2 mutations. Cancer Epidemiology, Biomarkers &amp; Prevention, 14(2): 350-6.</w:t>
            </w:r>
          </w:p>
        </w:tc>
      </w:tr>
      <w:tr w:rsidR="00EF1E43" w:rsidRPr="00EF1E43" w14:paraId="18415D5E" w14:textId="77777777" w:rsidTr="00CC61F1">
        <w:trPr>
          <w:cantSplit/>
        </w:trPr>
        <w:tc>
          <w:tcPr>
            <w:tcW w:w="1555" w:type="dxa"/>
            <w:shd w:val="clear" w:color="auto" w:fill="FFFFFF" w:themeFill="background1"/>
            <w:noWrap/>
            <w:vAlign w:val="center"/>
            <w:hideMark/>
          </w:tcPr>
          <w:p w14:paraId="6BA8061F" w14:textId="77777777" w:rsidR="00FF0F9B" w:rsidRPr="00EF1E43" w:rsidRDefault="00FF0F9B" w:rsidP="00374F41">
            <w:pPr>
              <w:jc w:val="center"/>
              <w:rPr>
                <w:sz w:val="24"/>
              </w:rPr>
            </w:pPr>
            <w:r w:rsidRPr="00EF1E43">
              <w:rPr>
                <w:sz w:val="24"/>
              </w:rPr>
              <w:t>19953</w:t>
            </w:r>
          </w:p>
        </w:tc>
        <w:tc>
          <w:tcPr>
            <w:tcW w:w="7371" w:type="dxa"/>
            <w:shd w:val="clear" w:color="auto" w:fill="FFFFFF" w:themeFill="background1"/>
            <w:vAlign w:val="center"/>
            <w:hideMark/>
          </w:tcPr>
          <w:p w14:paraId="27FFB7F8" w14:textId="77777777" w:rsidR="00FF0F9B" w:rsidRPr="00EF1E43" w:rsidRDefault="00FF0F9B" w:rsidP="00374F41">
            <w:pPr>
              <w:rPr>
                <w:sz w:val="24"/>
              </w:rPr>
            </w:pPr>
            <w:r w:rsidRPr="00EF1E43">
              <w:rPr>
                <w:sz w:val="24"/>
              </w:rPr>
              <w:t>MIMS Online (2020). NuvaRing. Retrieved 24 November 2000, from https://www.mimsonline.com.au/Search/FullPI.aspx?ModuleName=Product%20Info&amp;searchKeyword=NuvaRing&amp;PreviousPage=~/Search/QuickSearch.aspx&amp;SearchType=&amp;ID=76170001_2</w:t>
            </w:r>
          </w:p>
        </w:tc>
      </w:tr>
      <w:tr w:rsidR="00EF1E43" w:rsidRPr="00EF1E43" w14:paraId="0810136F" w14:textId="77777777" w:rsidTr="00CC61F1">
        <w:trPr>
          <w:cantSplit/>
        </w:trPr>
        <w:tc>
          <w:tcPr>
            <w:tcW w:w="1555" w:type="dxa"/>
            <w:shd w:val="clear" w:color="auto" w:fill="FFFFFF" w:themeFill="background1"/>
            <w:noWrap/>
            <w:vAlign w:val="center"/>
            <w:hideMark/>
          </w:tcPr>
          <w:p w14:paraId="1EA7A270" w14:textId="77777777" w:rsidR="00FF0F9B" w:rsidRPr="00EF1E43" w:rsidRDefault="00FF0F9B" w:rsidP="00374F41">
            <w:pPr>
              <w:jc w:val="center"/>
              <w:rPr>
                <w:sz w:val="24"/>
              </w:rPr>
            </w:pPr>
            <w:r w:rsidRPr="00EF1E43">
              <w:rPr>
                <w:sz w:val="24"/>
              </w:rPr>
              <w:t>38252</w:t>
            </w:r>
          </w:p>
        </w:tc>
        <w:tc>
          <w:tcPr>
            <w:tcW w:w="7371" w:type="dxa"/>
            <w:shd w:val="clear" w:color="auto" w:fill="FFFFFF" w:themeFill="background1"/>
            <w:vAlign w:val="center"/>
            <w:hideMark/>
          </w:tcPr>
          <w:p w14:paraId="200F5A83" w14:textId="77777777" w:rsidR="00FF0F9B" w:rsidRPr="00EF1E43" w:rsidRDefault="00FF0F9B" w:rsidP="00374F41">
            <w:pPr>
              <w:rPr>
                <w:sz w:val="24"/>
              </w:rPr>
            </w:pPr>
            <w:r w:rsidRPr="00EF1E43">
              <w:rPr>
                <w:sz w:val="24"/>
              </w:rPr>
              <w:t>Mitra AK, Faruque FA, Avis AL (2004). Breast cancer and environmental risks: where is the link? J Environ Health, 66(7): 24-32.</w:t>
            </w:r>
          </w:p>
        </w:tc>
      </w:tr>
      <w:tr w:rsidR="00EF1E43" w:rsidRPr="00EF1E43" w14:paraId="4335588A" w14:textId="77777777" w:rsidTr="00CC61F1">
        <w:trPr>
          <w:cantSplit/>
        </w:trPr>
        <w:tc>
          <w:tcPr>
            <w:tcW w:w="1555" w:type="dxa"/>
            <w:shd w:val="clear" w:color="auto" w:fill="FFFFFF" w:themeFill="background1"/>
            <w:noWrap/>
            <w:vAlign w:val="center"/>
            <w:hideMark/>
          </w:tcPr>
          <w:p w14:paraId="6BC63382" w14:textId="77777777" w:rsidR="00FF0F9B" w:rsidRPr="00EF1E43" w:rsidRDefault="00FF0F9B" w:rsidP="00374F41">
            <w:pPr>
              <w:jc w:val="center"/>
              <w:rPr>
                <w:sz w:val="24"/>
              </w:rPr>
            </w:pPr>
            <w:r w:rsidRPr="00EF1E43">
              <w:rPr>
                <w:sz w:val="24"/>
              </w:rPr>
              <w:t>12865</w:t>
            </w:r>
          </w:p>
        </w:tc>
        <w:tc>
          <w:tcPr>
            <w:tcW w:w="7371" w:type="dxa"/>
            <w:shd w:val="clear" w:color="auto" w:fill="FFFFFF" w:themeFill="background1"/>
            <w:vAlign w:val="center"/>
            <w:hideMark/>
          </w:tcPr>
          <w:p w14:paraId="2DB2E62F" w14:textId="77777777" w:rsidR="00FF0F9B" w:rsidRPr="00EF1E43" w:rsidRDefault="00FF0F9B" w:rsidP="00374F41">
            <w:pPr>
              <w:rPr>
                <w:sz w:val="24"/>
              </w:rPr>
            </w:pPr>
            <w:r w:rsidRPr="00EF1E43">
              <w:rPr>
                <w:sz w:val="24"/>
              </w:rPr>
              <w:t>Mohapatro SK, Dandapat MC, Padhi NC (1990). Toxicity and side-effects of combination chemohormonal therapy of advanced breast cancer. Journal of Indian Med Assoc, 90(2): 39-42.</w:t>
            </w:r>
          </w:p>
        </w:tc>
      </w:tr>
      <w:tr w:rsidR="00EF1E43" w:rsidRPr="00EF1E43" w14:paraId="0DEF02E0" w14:textId="77777777" w:rsidTr="00CC61F1">
        <w:trPr>
          <w:cantSplit/>
        </w:trPr>
        <w:tc>
          <w:tcPr>
            <w:tcW w:w="1555" w:type="dxa"/>
            <w:shd w:val="clear" w:color="auto" w:fill="FFFFFF" w:themeFill="background1"/>
            <w:noWrap/>
            <w:vAlign w:val="center"/>
            <w:hideMark/>
          </w:tcPr>
          <w:p w14:paraId="70927A33" w14:textId="77777777" w:rsidR="00FF0F9B" w:rsidRPr="00EF1E43" w:rsidRDefault="00FF0F9B" w:rsidP="00374F41">
            <w:pPr>
              <w:jc w:val="center"/>
              <w:rPr>
                <w:sz w:val="24"/>
              </w:rPr>
            </w:pPr>
            <w:r w:rsidRPr="00EF1E43">
              <w:rPr>
                <w:sz w:val="24"/>
              </w:rPr>
              <w:t>37130</w:t>
            </w:r>
          </w:p>
        </w:tc>
        <w:tc>
          <w:tcPr>
            <w:tcW w:w="7371" w:type="dxa"/>
            <w:shd w:val="clear" w:color="auto" w:fill="FFFFFF" w:themeFill="background1"/>
            <w:vAlign w:val="center"/>
            <w:hideMark/>
          </w:tcPr>
          <w:p w14:paraId="3E66EF16" w14:textId="77777777" w:rsidR="00FF0F9B" w:rsidRPr="00EF1E43" w:rsidRDefault="00FF0F9B" w:rsidP="00374F41">
            <w:pPr>
              <w:rPr>
                <w:sz w:val="24"/>
              </w:rPr>
            </w:pPr>
            <w:r w:rsidRPr="00EF1E43">
              <w:rPr>
                <w:sz w:val="24"/>
              </w:rPr>
              <w:t>Moore DB, Folsom AR, Mink PJ, et al (2000). Physical activity and incidence of postmenopausal breast cancer. Epidemiology, 11(3): 292-6.</w:t>
            </w:r>
          </w:p>
        </w:tc>
      </w:tr>
      <w:tr w:rsidR="00EF1E43" w:rsidRPr="00EF1E43" w14:paraId="1BBF7AEF" w14:textId="77777777" w:rsidTr="00CC61F1">
        <w:trPr>
          <w:cantSplit/>
        </w:trPr>
        <w:tc>
          <w:tcPr>
            <w:tcW w:w="1555" w:type="dxa"/>
            <w:shd w:val="clear" w:color="auto" w:fill="FFFFFF" w:themeFill="background1"/>
            <w:noWrap/>
            <w:vAlign w:val="center"/>
            <w:hideMark/>
          </w:tcPr>
          <w:p w14:paraId="254E03B9" w14:textId="77777777" w:rsidR="00FF0F9B" w:rsidRPr="00EF1E43" w:rsidRDefault="00FF0F9B" w:rsidP="00374F41">
            <w:pPr>
              <w:jc w:val="center"/>
              <w:rPr>
                <w:sz w:val="24"/>
              </w:rPr>
            </w:pPr>
            <w:r w:rsidRPr="00EF1E43">
              <w:rPr>
                <w:sz w:val="24"/>
              </w:rPr>
              <w:t>35689</w:t>
            </w:r>
          </w:p>
        </w:tc>
        <w:tc>
          <w:tcPr>
            <w:tcW w:w="7371" w:type="dxa"/>
            <w:shd w:val="clear" w:color="auto" w:fill="FFFFFF" w:themeFill="background1"/>
            <w:vAlign w:val="center"/>
            <w:hideMark/>
          </w:tcPr>
          <w:p w14:paraId="3CF19A76" w14:textId="77777777" w:rsidR="00FF0F9B" w:rsidRPr="00EF1E43" w:rsidRDefault="00FF0F9B" w:rsidP="00374F41">
            <w:pPr>
              <w:rPr>
                <w:sz w:val="24"/>
              </w:rPr>
            </w:pPr>
            <w:r w:rsidRPr="00EF1E43">
              <w:rPr>
                <w:sz w:val="24"/>
              </w:rPr>
              <w:t>Morabia A (2002). Smoking (Active and Passive) and Breast Cancer: Epidemiologic Evidence Up to June 2001. Environmental and Molecular Mutagenesis, 39: 89-95.</w:t>
            </w:r>
          </w:p>
        </w:tc>
      </w:tr>
      <w:tr w:rsidR="00EF1E43" w:rsidRPr="00EF1E43" w14:paraId="21DBF9BF" w14:textId="77777777" w:rsidTr="00CC61F1">
        <w:trPr>
          <w:cantSplit/>
        </w:trPr>
        <w:tc>
          <w:tcPr>
            <w:tcW w:w="1555" w:type="dxa"/>
            <w:shd w:val="clear" w:color="auto" w:fill="FFFFFF" w:themeFill="background1"/>
            <w:noWrap/>
            <w:vAlign w:val="center"/>
            <w:hideMark/>
          </w:tcPr>
          <w:p w14:paraId="1BDBE30A" w14:textId="77777777" w:rsidR="00FF0F9B" w:rsidRPr="00EF1E43" w:rsidRDefault="00FF0F9B" w:rsidP="00374F41">
            <w:pPr>
              <w:jc w:val="center"/>
              <w:rPr>
                <w:sz w:val="24"/>
              </w:rPr>
            </w:pPr>
            <w:r w:rsidRPr="00EF1E43">
              <w:rPr>
                <w:sz w:val="24"/>
              </w:rPr>
              <w:t>36032</w:t>
            </w:r>
          </w:p>
        </w:tc>
        <w:tc>
          <w:tcPr>
            <w:tcW w:w="7371" w:type="dxa"/>
            <w:shd w:val="clear" w:color="auto" w:fill="FFFFFF" w:themeFill="background1"/>
            <w:vAlign w:val="center"/>
            <w:hideMark/>
          </w:tcPr>
          <w:p w14:paraId="5DA1C3A8" w14:textId="77777777" w:rsidR="00FF0F9B" w:rsidRPr="00EF1E43" w:rsidRDefault="00FF0F9B" w:rsidP="00374F41">
            <w:pPr>
              <w:rPr>
                <w:sz w:val="24"/>
              </w:rPr>
            </w:pPr>
            <w:r w:rsidRPr="00EF1E43">
              <w:rPr>
                <w:sz w:val="24"/>
              </w:rPr>
              <w:t>Morabia A, Bernstein M, Heritier S, et al (1996). Relation of Breast Cancer with Passive and Active Exposure to Tobacco. American Journal of Epidemiology, 143(9): 918-28.</w:t>
            </w:r>
          </w:p>
        </w:tc>
      </w:tr>
      <w:tr w:rsidR="00EF1E43" w:rsidRPr="00EF1E43" w14:paraId="62805462" w14:textId="77777777" w:rsidTr="00CC61F1">
        <w:trPr>
          <w:cantSplit/>
        </w:trPr>
        <w:tc>
          <w:tcPr>
            <w:tcW w:w="1555" w:type="dxa"/>
            <w:shd w:val="clear" w:color="auto" w:fill="FFFFFF" w:themeFill="background1"/>
            <w:noWrap/>
            <w:vAlign w:val="center"/>
            <w:hideMark/>
          </w:tcPr>
          <w:p w14:paraId="0F08D594" w14:textId="77777777" w:rsidR="00FF0F9B" w:rsidRPr="00EF1E43" w:rsidRDefault="00FF0F9B" w:rsidP="00374F41">
            <w:pPr>
              <w:jc w:val="center"/>
              <w:rPr>
                <w:sz w:val="24"/>
              </w:rPr>
            </w:pPr>
            <w:r w:rsidRPr="00EF1E43">
              <w:rPr>
                <w:sz w:val="24"/>
              </w:rPr>
              <w:t>36977</w:t>
            </w:r>
          </w:p>
        </w:tc>
        <w:tc>
          <w:tcPr>
            <w:tcW w:w="7371" w:type="dxa"/>
            <w:shd w:val="clear" w:color="auto" w:fill="FFFFFF" w:themeFill="background1"/>
            <w:vAlign w:val="center"/>
            <w:hideMark/>
          </w:tcPr>
          <w:p w14:paraId="60F6434A" w14:textId="77777777" w:rsidR="00FF0F9B" w:rsidRPr="00EF1E43" w:rsidRDefault="00FF0F9B" w:rsidP="00374F41">
            <w:pPr>
              <w:rPr>
                <w:sz w:val="24"/>
              </w:rPr>
            </w:pPr>
            <w:r w:rsidRPr="00EF1E43">
              <w:rPr>
                <w:sz w:val="24"/>
              </w:rPr>
              <w:t>Moradi T, Adami HO, Bergstrom R, et al (1999). Occupational physical activity and risk for breast cancer in a nationwide cohort study in Sweden. Cancer Causes &amp; Control, 10: 423-30.</w:t>
            </w:r>
          </w:p>
        </w:tc>
      </w:tr>
      <w:tr w:rsidR="00EF1E43" w:rsidRPr="00EF1E43" w14:paraId="71931CA1" w14:textId="77777777" w:rsidTr="00CC61F1">
        <w:trPr>
          <w:cantSplit/>
        </w:trPr>
        <w:tc>
          <w:tcPr>
            <w:tcW w:w="1555" w:type="dxa"/>
            <w:shd w:val="clear" w:color="auto" w:fill="FFFFFF" w:themeFill="background1"/>
            <w:noWrap/>
            <w:vAlign w:val="center"/>
            <w:hideMark/>
          </w:tcPr>
          <w:p w14:paraId="70322005" w14:textId="77777777" w:rsidR="00FF0F9B" w:rsidRPr="00EF1E43" w:rsidRDefault="00FF0F9B" w:rsidP="00374F41">
            <w:pPr>
              <w:jc w:val="center"/>
              <w:rPr>
                <w:sz w:val="24"/>
              </w:rPr>
            </w:pPr>
            <w:r w:rsidRPr="00EF1E43">
              <w:rPr>
                <w:sz w:val="24"/>
              </w:rPr>
              <w:t>37124</w:t>
            </w:r>
          </w:p>
        </w:tc>
        <w:tc>
          <w:tcPr>
            <w:tcW w:w="7371" w:type="dxa"/>
            <w:shd w:val="clear" w:color="auto" w:fill="FFFFFF" w:themeFill="background1"/>
            <w:vAlign w:val="center"/>
            <w:hideMark/>
          </w:tcPr>
          <w:p w14:paraId="4E0359A6" w14:textId="77777777" w:rsidR="00FF0F9B" w:rsidRPr="00EF1E43" w:rsidRDefault="00FF0F9B" w:rsidP="00374F41">
            <w:pPr>
              <w:rPr>
                <w:sz w:val="24"/>
              </w:rPr>
            </w:pPr>
            <w:r w:rsidRPr="00EF1E43">
              <w:rPr>
                <w:sz w:val="24"/>
              </w:rPr>
              <w:t>Moradi T, Adami HO, Ekbom A, et al (2002). Physical activity and risk for breast cancer a prospective cohort study among Swedish twins. Int J Cancer, 100: 76-81.</w:t>
            </w:r>
          </w:p>
        </w:tc>
      </w:tr>
      <w:tr w:rsidR="00EF1E43" w:rsidRPr="00EF1E43" w14:paraId="7B0E938F" w14:textId="77777777" w:rsidTr="00CC61F1">
        <w:trPr>
          <w:cantSplit/>
        </w:trPr>
        <w:tc>
          <w:tcPr>
            <w:tcW w:w="1555" w:type="dxa"/>
            <w:shd w:val="clear" w:color="auto" w:fill="FFFFFF" w:themeFill="background1"/>
            <w:noWrap/>
            <w:vAlign w:val="center"/>
            <w:hideMark/>
          </w:tcPr>
          <w:p w14:paraId="33BE38D6" w14:textId="77777777" w:rsidR="00FF0F9B" w:rsidRPr="00EF1E43" w:rsidRDefault="00FF0F9B" w:rsidP="00374F41">
            <w:pPr>
              <w:jc w:val="center"/>
              <w:rPr>
                <w:sz w:val="24"/>
              </w:rPr>
            </w:pPr>
            <w:r w:rsidRPr="00EF1E43">
              <w:rPr>
                <w:sz w:val="24"/>
              </w:rPr>
              <w:t>36918</w:t>
            </w:r>
          </w:p>
        </w:tc>
        <w:tc>
          <w:tcPr>
            <w:tcW w:w="7371" w:type="dxa"/>
            <w:shd w:val="clear" w:color="auto" w:fill="FFFFFF" w:themeFill="background1"/>
            <w:vAlign w:val="center"/>
            <w:hideMark/>
          </w:tcPr>
          <w:p w14:paraId="23973665" w14:textId="77777777" w:rsidR="00FF0F9B" w:rsidRPr="00EF1E43" w:rsidRDefault="00FF0F9B" w:rsidP="00374F41">
            <w:pPr>
              <w:rPr>
                <w:sz w:val="24"/>
              </w:rPr>
            </w:pPr>
            <w:r w:rsidRPr="00EF1E43">
              <w:rPr>
                <w:sz w:val="24"/>
              </w:rPr>
              <w:t>Moradi T, Nyren O, Zack M, et al (2000). Breast cancer risk and lifetime leisure-time and occupational physical activity (Sweden). Cancer Causes &amp; Control, 11: 523-31.</w:t>
            </w:r>
          </w:p>
        </w:tc>
      </w:tr>
      <w:tr w:rsidR="00EF1E43" w:rsidRPr="00EF1E43" w14:paraId="31923D59" w14:textId="77777777" w:rsidTr="00CC61F1">
        <w:trPr>
          <w:cantSplit/>
        </w:trPr>
        <w:tc>
          <w:tcPr>
            <w:tcW w:w="1555" w:type="dxa"/>
            <w:shd w:val="clear" w:color="auto" w:fill="FFFFFF" w:themeFill="background1"/>
            <w:noWrap/>
            <w:vAlign w:val="center"/>
            <w:hideMark/>
          </w:tcPr>
          <w:p w14:paraId="793FD11A" w14:textId="77777777" w:rsidR="00FF0F9B" w:rsidRPr="00EF1E43" w:rsidRDefault="00FF0F9B" w:rsidP="00374F41">
            <w:pPr>
              <w:jc w:val="center"/>
              <w:rPr>
                <w:sz w:val="24"/>
              </w:rPr>
            </w:pPr>
            <w:r w:rsidRPr="00EF1E43">
              <w:rPr>
                <w:sz w:val="24"/>
              </w:rPr>
              <w:t>19959</w:t>
            </w:r>
          </w:p>
        </w:tc>
        <w:tc>
          <w:tcPr>
            <w:tcW w:w="7371" w:type="dxa"/>
            <w:shd w:val="clear" w:color="auto" w:fill="FFFFFF" w:themeFill="background1"/>
            <w:vAlign w:val="center"/>
            <w:hideMark/>
          </w:tcPr>
          <w:p w14:paraId="2045D1E7" w14:textId="77777777" w:rsidR="00FF0F9B" w:rsidRPr="00EF1E43" w:rsidRDefault="00FF0F9B" w:rsidP="00374F41">
            <w:pPr>
              <w:rPr>
                <w:sz w:val="24"/>
              </w:rPr>
            </w:pPr>
            <w:r w:rsidRPr="00EF1E43">
              <w:rPr>
                <w:sz w:val="24"/>
              </w:rPr>
              <w:t>Morch LS, Skovlund CW, Hannaford PC, et al (2017). Contemporary hormonal contraception and the risk of breast cancer. N Engl J Med, 377(23): 2228-39.</w:t>
            </w:r>
          </w:p>
        </w:tc>
      </w:tr>
      <w:tr w:rsidR="00EF1E43" w:rsidRPr="00EF1E43" w14:paraId="09D9F8BD" w14:textId="77777777" w:rsidTr="00CC61F1">
        <w:trPr>
          <w:cantSplit/>
        </w:trPr>
        <w:tc>
          <w:tcPr>
            <w:tcW w:w="1555" w:type="dxa"/>
            <w:shd w:val="clear" w:color="auto" w:fill="FFFFFF" w:themeFill="background1"/>
            <w:noWrap/>
            <w:vAlign w:val="center"/>
            <w:hideMark/>
          </w:tcPr>
          <w:p w14:paraId="52483C2C" w14:textId="77777777" w:rsidR="00FF0F9B" w:rsidRPr="00EF1E43" w:rsidRDefault="00FF0F9B" w:rsidP="00374F41">
            <w:pPr>
              <w:jc w:val="center"/>
              <w:rPr>
                <w:sz w:val="24"/>
              </w:rPr>
            </w:pPr>
            <w:r w:rsidRPr="00EF1E43">
              <w:rPr>
                <w:sz w:val="24"/>
              </w:rPr>
              <w:lastRenderedPageBreak/>
              <w:t>87213</w:t>
            </w:r>
          </w:p>
        </w:tc>
        <w:tc>
          <w:tcPr>
            <w:tcW w:w="7371" w:type="dxa"/>
            <w:shd w:val="clear" w:color="auto" w:fill="FFFFFF" w:themeFill="background1"/>
            <w:vAlign w:val="center"/>
            <w:hideMark/>
          </w:tcPr>
          <w:p w14:paraId="383950B5" w14:textId="77777777" w:rsidR="00FF0F9B" w:rsidRPr="00EF1E43" w:rsidRDefault="00FF0F9B" w:rsidP="00374F41">
            <w:pPr>
              <w:rPr>
                <w:sz w:val="24"/>
              </w:rPr>
            </w:pPr>
            <w:r w:rsidRPr="00EF1E43">
              <w:rPr>
                <w:sz w:val="24"/>
              </w:rPr>
              <w:t>Mordukhovich I, Beyea J, Herring AH, et al (2016). Vehicular traffic-related polycyclic aromatic hydrocarbon exposure and breast cancer incidence: the Long Island Breast Cancer Study Project (LIBCSP). Environ Health Perspect, 124: 30-38.</w:t>
            </w:r>
          </w:p>
        </w:tc>
      </w:tr>
      <w:tr w:rsidR="00EF1E43" w:rsidRPr="00EF1E43" w14:paraId="0123ADF3" w14:textId="77777777" w:rsidTr="00CC61F1">
        <w:trPr>
          <w:cantSplit/>
        </w:trPr>
        <w:tc>
          <w:tcPr>
            <w:tcW w:w="1555" w:type="dxa"/>
            <w:shd w:val="clear" w:color="auto" w:fill="FFFFFF" w:themeFill="background1"/>
            <w:noWrap/>
            <w:vAlign w:val="center"/>
            <w:hideMark/>
          </w:tcPr>
          <w:p w14:paraId="0A281AFE" w14:textId="77777777" w:rsidR="00FF0F9B" w:rsidRPr="00EF1E43" w:rsidRDefault="00FF0F9B" w:rsidP="00374F41">
            <w:pPr>
              <w:jc w:val="center"/>
              <w:rPr>
                <w:sz w:val="24"/>
              </w:rPr>
            </w:pPr>
            <w:r w:rsidRPr="00EF1E43">
              <w:rPr>
                <w:sz w:val="24"/>
              </w:rPr>
              <w:t>36920</w:t>
            </w:r>
          </w:p>
        </w:tc>
        <w:tc>
          <w:tcPr>
            <w:tcW w:w="7371" w:type="dxa"/>
            <w:shd w:val="clear" w:color="auto" w:fill="FFFFFF" w:themeFill="background1"/>
            <w:vAlign w:val="center"/>
            <w:hideMark/>
          </w:tcPr>
          <w:p w14:paraId="3FA03BD2" w14:textId="77777777" w:rsidR="00FF0F9B" w:rsidRPr="00EF1E43" w:rsidRDefault="00FF0F9B" w:rsidP="00374F41">
            <w:pPr>
              <w:rPr>
                <w:sz w:val="24"/>
              </w:rPr>
            </w:pPr>
            <w:r w:rsidRPr="00EF1E43">
              <w:rPr>
                <w:sz w:val="24"/>
              </w:rPr>
              <w:t>Morimoto LM, White E, Chen Z, et al (2002). Obesity, body size, and risk of postmenopausal breast cancer: the Women's Health Initiative (United States). Cancer Causes and Control, 13: 741-51.</w:t>
            </w:r>
          </w:p>
        </w:tc>
      </w:tr>
      <w:tr w:rsidR="00EF1E43" w:rsidRPr="00EF1E43" w14:paraId="38A4A0CD" w14:textId="77777777" w:rsidTr="00CC61F1">
        <w:trPr>
          <w:cantSplit/>
        </w:trPr>
        <w:tc>
          <w:tcPr>
            <w:tcW w:w="1555" w:type="dxa"/>
            <w:shd w:val="clear" w:color="auto" w:fill="FFFFFF" w:themeFill="background1"/>
            <w:noWrap/>
            <w:vAlign w:val="center"/>
            <w:hideMark/>
          </w:tcPr>
          <w:p w14:paraId="50D501C4" w14:textId="77777777" w:rsidR="00FF0F9B" w:rsidRPr="00EF1E43" w:rsidRDefault="00FF0F9B" w:rsidP="00374F41">
            <w:pPr>
              <w:jc w:val="center"/>
              <w:rPr>
                <w:sz w:val="24"/>
              </w:rPr>
            </w:pPr>
            <w:r w:rsidRPr="00EF1E43">
              <w:rPr>
                <w:sz w:val="24"/>
              </w:rPr>
              <w:t>35575</w:t>
            </w:r>
          </w:p>
        </w:tc>
        <w:tc>
          <w:tcPr>
            <w:tcW w:w="7371" w:type="dxa"/>
            <w:shd w:val="clear" w:color="auto" w:fill="FFFFFF" w:themeFill="background1"/>
            <w:vAlign w:val="center"/>
            <w:hideMark/>
          </w:tcPr>
          <w:p w14:paraId="16B1A8C7" w14:textId="77777777" w:rsidR="00FF0F9B" w:rsidRPr="00EF1E43" w:rsidRDefault="00FF0F9B" w:rsidP="00374F41">
            <w:pPr>
              <w:rPr>
                <w:sz w:val="24"/>
              </w:rPr>
            </w:pPr>
            <w:r w:rsidRPr="00EF1E43">
              <w:rPr>
                <w:sz w:val="24"/>
              </w:rPr>
              <w:t>Morin Doody M, Lonstein JE, Stovall M, et al (2000). Breast cancer mortality after diagnostic radiography: findings from the US scoliosis cohort study. Retrieved 14 July 2005, from http://gateway.ut.ovid.com.ezproxy.library.uq.edu.au/gw1/ovidweb.cgi</w:t>
            </w:r>
          </w:p>
        </w:tc>
      </w:tr>
      <w:tr w:rsidR="00EF1E43" w:rsidRPr="00EF1E43" w14:paraId="5B3C7BF3" w14:textId="77777777" w:rsidTr="00CC61F1">
        <w:trPr>
          <w:cantSplit/>
        </w:trPr>
        <w:tc>
          <w:tcPr>
            <w:tcW w:w="1555" w:type="dxa"/>
            <w:shd w:val="clear" w:color="auto" w:fill="FFFFFF" w:themeFill="background1"/>
            <w:noWrap/>
            <w:vAlign w:val="center"/>
            <w:hideMark/>
          </w:tcPr>
          <w:p w14:paraId="1EB9AF64" w14:textId="77777777" w:rsidR="00FF0F9B" w:rsidRPr="00EF1E43" w:rsidRDefault="00FF0F9B" w:rsidP="00374F41">
            <w:pPr>
              <w:jc w:val="center"/>
              <w:rPr>
                <w:sz w:val="24"/>
              </w:rPr>
            </w:pPr>
            <w:r w:rsidRPr="00EF1E43">
              <w:rPr>
                <w:sz w:val="24"/>
              </w:rPr>
              <w:t>72208</w:t>
            </w:r>
          </w:p>
        </w:tc>
        <w:tc>
          <w:tcPr>
            <w:tcW w:w="7371" w:type="dxa"/>
            <w:shd w:val="clear" w:color="auto" w:fill="FFFFFF" w:themeFill="background1"/>
            <w:vAlign w:val="center"/>
            <w:hideMark/>
          </w:tcPr>
          <w:p w14:paraId="548A5DC7" w14:textId="77777777" w:rsidR="00FF0F9B" w:rsidRPr="00EF1E43" w:rsidRDefault="00FF0F9B" w:rsidP="00374F41">
            <w:pPr>
              <w:rPr>
                <w:sz w:val="24"/>
              </w:rPr>
            </w:pPr>
            <w:r w:rsidRPr="00EF1E43">
              <w:rPr>
                <w:sz w:val="24"/>
              </w:rPr>
              <w:t>Moss SM, Nystrom L, Jonsson H, et al (2012). The impact of mammographic screening on breast cancer mortality in Europe: a review of trend studies. J Med Screen, 19(Suppl 1): 26-32.</w:t>
            </w:r>
          </w:p>
        </w:tc>
      </w:tr>
      <w:tr w:rsidR="00EF1E43" w:rsidRPr="00EF1E43" w14:paraId="290497B8" w14:textId="77777777" w:rsidTr="00CC61F1">
        <w:trPr>
          <w:cantSplit/>
        </w:trPr>
        <w:tc>
          <w:tcPr>
            <w:tcW w:w="1555" w:type="dxa"/>
            <w:shd w:val="clear" w:color="auto" w:fill="FFFFFF" w:themeFill="background1"/>
            <w:noWrap/>
            <w:vAlign w:val="center"/>
            <w:hideMark/>
          </w:tcPr>
          <w:p w14:paraId="3A6BFF41" w14:textId="77777777" w:rsidR="00FF0F9B" w:rsidRPr="00EF1E43" w:rsidRDefault="00FF0F9B" w:rsidP="00374F41">
            <w:pPr>
              <w:jc w:val="center"/>
              <w:rPr>
                <w:sz w:val="24"/>
              </w:rPr>
            </w:pPr>
            <w:r w:rsidRPr="00EF1E43">
              <w:rPr>
                <w:sz w:val="24"/>
              </w:rPr>
              <w:t>35599</w:t>
            </w:r>
          </w:p>
        </w:tc>
        <w:tc>
          <w:tcPr>
            <w:tcW w:w="7371" w:type="dxa"/>
            <w:shd w:val="clear" w:color="auto" w:fill="FFFFFF" w:themeFill="background1"/>
            <w:vAlign w:val="center"/>
            <w:hideMark/>
          </w:tcPr>
          <w:p w14:paraId="5C2C429E" w14:textId="77777777" w:rsidR="00FF0F9B" w:rsidRPr="00EF1E43" w:rsidRDefault="00FF0F9B" w:rsidP="00374F41">
            <w:pPr>
              <w:rPr>
                <w:sz w:val="24"/>
              </w:rPr>
            </w:pPr>
            <w:r w:rsidRPr="00EF1E43">
              <w:rPr>
                <w:sz w:val="24"/>
              </w:rPr>
              <w:t>Moulder JE (2000). The electric and magnetic fields research and public information dissemination (EMF-RAPID) Program. Radiation Research, 153: 613-16.</w:t>
            </w:r>
          </w:p>
        </w:tc>
      </w:tr>
      <w:tr w:rsidR="00EF1E43" w:rsidRPr="00EF1E43" w14:paraId="66F0669F" w14:textId="77777777" w:rsidTr="00CC61F1">
        <w:trPr>
          <w:cantSplit/>
        </w:trPr>
        <w:tc>
          <w:tcPr>
            <w:tcW w:w="1555" w:type="dxa"/>
            <w:shd w:val="clear" w:color="auto" w:fill="FFFFFF" w:themeFill="background1"/>
            <w:noWrap/>
            <w:vAlign w:val="center"/>
            <w:hideMark/>
          </w:tcPr>
          <w:p w14:paraId="303D2C09" w14:textId="77777777" w:rsidR="00FF0F9B" w:rsidRPr="00EF1E43" w:rsidRDefault="00FF0F9B" w:rsidP="00374F41">
            <w:pPr>
              <w:jc w:val="center"/>
              <w:rPr>
                <w:sz w:val="24"/>
              </w:rPr>
            </w:pPr>
            <w:r w:rsidRPr="00EF1E43">
              <w:rPr>
                <w:sz w:val="24"/>
              </w:rPr>
              <w:t>9235</w:t>
            </w:r>
          </w:p>
        </w:tc>
        <w:tc>
          <w:tcPr>
            <w:tcW w:w="7371" w:type="dxa"/>
            <w:shd w:val="clear" w:color="auto" w:fill="FFFFFF" w:themeFill="background1"/>
            <w:vAlign w:val="center"/>
            <w:hideMark/>
          </w:tcPr>
          <w:p w14:paraId="35CF25F8" w14:textId="77777777" w:rsidR="00FF0F9B" w:rsidRPr="00EF1E43" w:rsidRDefault="00FF0F9B" w:rsidP="00374F41">
            <w:pPr>
              <w:rPr>
                <w:sz w:val="24"/>
              </w:rPr>
            </w:pPr>
            <w:r w:rsidRPr="00EF1E43">
              <w:rPr>
                <w:sz w:val="24"/>
              </w:rPr>
              <w:t>Nagata C, Hu YH, Shimizu H (1995). Effects of menstrual and reproductive factors on the risk of breast cancer: meta-analysis of the case-control studies in Japan. Jpn J Cancer Res, 86: 910-5.</w:t>
            </w:r>
          </w:p>
        </w:tc>
      </w:tr>
      <w:tr w:rsidR="00EF1E43" w:rsidRPr="00EF1E43" w14:paraId="5347658A" w14:textId="77777777" w:rsidTr="00CC61F1">
        <w:trPr>
          <w:cantSplit/>
        </w:trPr>
        <w:tc>
          <w:tcPr>
            <w:tcW w:w="1555" w:type="dxa"/>
            <w:shd w:val="clear" w:color="auto" w:fill="FFFFFF" w:themeFill="background1"/>
            <w:noWrap/>
            <w:vAlign w:val="center"/>
            <w:hideMark/>
          </w:tcPr>
          <w:p w14:paraId="2F9DBF33" w14:textId="77777777" w:rsidR="00FF0F9B" w:rsidRPr="00EF1E43" w:rsidRDefault="00FF0F9B" w:rsidP="00374F41">
            <w:pPr>
              <w:jc w:val="center"/>
              <w:rPr>
                <w:sz w:val="24"/>
              </w:rPr>
            </w:pPr>
            <w:r w:rsidRPr="00EF1E43">
              <w:rPr>
                <w:sz w:val="24"/>
              </w:rPr>
              <w:t>4761</w:t>
            </w:r>
          </w:p>
        </w:tc>
        <w:tc>
          <w:tcPr>
            <w:tcW w:w="7371" w:type="dxa"/>
            <w:shd w:val="clear" w:color="auto" w:fill="FFFFFF" w:themeFill="background1"/>
            <w:vAlign w:val="center"/>
            <w:hideMark/>
          </w:tcPr>
          <w:p w14:paraId="51BCCE69" w14:textId="77777777" w:rsidR="00FF0F9B" w:rsidRPr="00EF1E43" w:rsidRDefault="00FF0F9B" w:rsidP="00374F41">
            <w:pPr>
              <w:rPr>
                <w:sz w:val="24"/>
              </w:rPr>
            </w:pPr>
            <w:r w:rsidRPr="00EF1E43">
              <w:rPr>
                <w:sz w:val="24"/>
              </w:rPr>
              <w:t>Nance KV, Reddick RL (1989). In situ and infiltrating lobular carcinoma of the male breast. Hum Pathol, 20(12): 1220-2.</w:t>
            </w:r>
          </w:p>
        </w:tc>
      </w:tr>
      <w:tr w:rsidR="00EF1E43" w:rsidRPr="00EF1E43" w14:paraId="78004628" w14:textId="77777777" w:rsidTr="00CC61F1">
        <w:trPr>
          <w:cantSplit/>
        </w:trPr>
        <w:tc>
          <w:tcPr>
            <w:tcW w:w="1555" w:type="dxa"/>
            <w:shd w:val="clear" w:color="auto" w:fill="FFFFFF" w:themeFill="background1"/>
            <w:noWrap/>
            <w:vAlign w:val="center"/>
            <w:hideMark/>
          </w:tcPr>
          <w:p w14:paraId="750F3F56" w14:textId="77777777" w:rsidR="00FF0F9B" w:rsidRPr="00EF1E43" w:rsidRDefault="00FF0F9B" w:rsidP="00374F41">
            <w:pPr>
              <w:jc w:val="center"/>
              <w:rPr>
                <w:sz w:val="24"/>
              </w:rPr>
            </w:pPr>
            <w:r w:rsidRPr="00EF1E43">
              <w:rPr>
                <w:sz w:val="24"/>
              </w:rPr>
              <w:t>35590</w:t>
            </w:r>
          </w:p>
        </w:tc>
        <w:tc>
          <w:tcPr>
            <w:tcW w:w="7371" w:type="dxa"/>
            <w:shd w:val="clear" w:color="auto" w:fill="FFFFFF" w:themeFill="background1"/>
            <w:vAlign w:val="center"/>
            <w:hideMark/>
          </w:tcPr>
          <w:p w14:paraId="64FDCF22" w14:textId="77777777" w:rsidR="00FF0F9B" w:rsidRPr="00EF1E43" w:rsidRDefault="00FF0F9B" w:rsidP="00374F41">
            <w:pPr>
              <w:rPr>
                <w:sz w:val="24"/>
              </w:rPr>
            </w:pPr>
            <w:r w:rsidRPr="00EF1E43">
              <w:rPr>
                <w:sz w:val="24"/>
              </w:rPr>
              <w:t>Narod S, Lubinski J (2003). [Comment] Roles of radiation dose, chemotherapy, and hormonal factors in breast cancer following Hodgkin's Disease. J Natl Cancer Instit, 95(20): 1552.</w:t>
            </w:r>
          </w:p>
        </w:tc>
      </w:tr>
      <w:tr w:rsidR="00EF1E43" w:rsidRPr="00EF1E43" w14:paraId="69CED683" w14:textId="77777777" w:rsidTr="00CC61F1">
        <w:trPr>
          <w:cantSplit/>
        </w:trPr>
        <w:tc>
          <w:tcPr>
            <w:tcW w:w="1555" w:type="dxa"/>
            <w:shd w:val="clear" w:color="auto" w:fill="FFFFFF" w:themeFill="background1"/>
            <w:noWrap/>
            <w:vAlign w:val="center"/>
            <w:hideMark/>
          </w:tcPr>
          <w:p w14:paraId="3D906192" w14:textId="77777777" w:rsidR="00FF0F9B" w:rsidRPr="00EF1E43" w:rsidRDefault="00FF0F9B" w:rsidP="00374F41">
            <w:pPr>
              <w:jc w:val="center"/>
              <w:rPr>
                <w:sz w:val="24"/>
              </w:rPr>
            </w:pPr>
            <w:r w:rsidRPr="00EF1E43">
              <w:rPr>
                <w:sz w:val="24"/>
              </w:rPr>
              <w:t>71670</w:t>
            </w:r>
          </w:p>
        </w:tc>
        <w:tc>
          <w:tcPr>
            <w:tcW w:w="7371" w:type="dxa"/>
            <w:shd w:val="clear" w:color="auto" w:fill="FFFFFF" w:themeFill="background1"/>
            <w:vAlign w:val="center"/>
            <w:hideMark/>
          </w:tcPr>
          <w:p w14:paraId="66FBED63" w14:textId="77777777" w:rsidR="00FF0F9B" w:rsidRPr="00EF1E43" w:rsidRDefault="00FF0F9B" w:rsidP="00374F41">
            <w:pPr>
              <w:rPr>
                <w:sz w:val="24"/>
              </w:rPr>
            </w:pPr>
            <w:r w:rsidRPr="00EF1E43">
              <w:rPr>
                <w:sz w:val="24"/>
              </w:rPr>
              <w:t>Narod SA (2011). Hormone replacement therapy and the risk of breast cancer. Nature Reviews Clinical Oncology, 8: 669-76.</w:t>
            </w:r>
          </w:p>
        </w:tc>
      </w:tr>
      <w:tr w:rsidR="00EF1E43" w:rsidRPr="00EF1E43" w14:paraId="796F6CBA" w14:textId="77777777" w:rsidTr="00CC61F1">
        <w:trPr>
          <w:cantSplit/>
        </w:trPr>
        <w:tc>
          <w:tcPr>
            <w:tcW w:w="1555" w:type="dxa"/>
            <w:shd w:val="clear" w:color="auto" w:fill="FFFFFF" w:themeFill="background1"/>
            <w:noWrap/>
            <w:vAlign w:val="center"/>
            <w:hideMark/>
          </w:tcPr>
          <w:p w14:paraId="3F0860D7" w14:textId="77777777" w:rsidR="00FF0F9B" w:rsidRPr="00EF1E43" w:rsidRDefault="00FF0F9B" w:rsidP="00374F41">
            <w:pPr>
              <w:jc w:val="center"/>
              <w:rPr>
                <w:sz w:val="24"/>
              </w:rPr>
            </w:pPr>
            <w:r w:rsidRPr="00EF1E43">
              <w:rPr>
                <w:sz w:val="24"/>
              </w:rPr>
              <w:t>9236</w:t>
            </w:r>
          </w:p>
        </w:tc>
        <w:tc>
          <w:tcPr>
            <w:tcW w:w="7371" w:type="dxa"/>
            <w:shd w:val="clear" w:color="auto" w:fill="FFFFFF" w:themeFill="background1"/>
            <w:vAlign w:val="center"/>
            <w:hideMark/>
          </w:tcPr>
          <w:p w14:paraId="3F77FE9C" w14:textId="77777777" w:rsidR="00FF0F9B" w:rsidRPr="00EF1E43" w:rsidRDefault="00FF0F9B" w:rsidP="00374F41">
            <w:pPr>
              <w:rPr>
                <w:sz w:val="24"/>
              </w:rPr>
            </w:pPr>
            <w:r w:rsidRPr="00EF1E43">
              <w:rPr>
                <w:sz w:val="24"/>
              </w:rPr>
              <w:t>Nasca PC, Liu S, Baptiste MS, et al (1994). Alcohol consumption and breast cancer: estrogen receptor status and histology. Am J Epidemiol, 140(11): 980-7.</w:t>
            </w:r>
          </w:p>
        </w:tc>
      </w:tr>
      <w:tr w:rsidR="00EF1E43" w:rsidRPr="00EF1E43" w14:paraId="7B0D205E" w14:textId="77777777" w:rsidTr="00CC61F1">
        <w:trPr>
          <w:cantSplit/>
        </w:trPr>
        <w:tc>
          <w:tcPr>
            <w:tcW w:w="1555" w:type="dxa"/>
            <w:shd w:val="clear" w:color="auto" w:fill="FFFFFF" w:themeFill="background1"/>
            <w:noWrap/>
            <w:vAlign w:val="center"/>
            <w:hideMark/>
          </w:tcPr>
          <w:p w14:paraId="42AB1567" w14:textId="77777777" w:rsidR="00FF0F9B" w:rsidRPr="00EF1E43" w:rsidRDefault="00FF0F9B" w:rsidP="00374F41">
            <w:pPr>
              <w:jc w:val="center"/>
              <w:rPr>
                <w:sz w:val="24"/>
              </w:rPr>
            </w:pPr>
            <w:r w:rsidRPr="00EF1E43">
              <w:rPr>
                <w:sz w:val="24"/>
              </w:rPr>
              <w:t>80742</w:t>
            </w:r>
          </w:p>
        </w:tc>
        <w:tc>
          <w:tcPr>
            <w:tcW w:w="7371" w:type="dxa"/>
            <w:shd w:val="clear" w:color="auto" w:fill="FFFFFF" w:themeFill="background1"/>
            <w:vAlign w:val="center"/>
            <w:hideMark/>
          </w:tcPr>
          <w:p w14:paraId="3860F7BF" w14:textId="77777777" w:rsidR="00FF0F9B" w:rsidRPr="00EF1E43" w:rsidRDefault="00FF0F9B" w:rsidP="00374F41">
            <w:pPr>
              <w:rPr>
                <w:sz w:val="24"/>
              </w:rPr>
            </w:pPr>
            <w:r w:rsidRPr="00EF1E43">
              <w:rPr>
                <w:sz w:val="24"/>
              </w:rPr>
              <w:t>National Council on Radiation Protection &amp; Measurements (NCRP) (2009). Radiation Dose Reconstruction: Principles and Practices, NCRP Report No. 163. NCRP Publications.</w:t>
            </w:r>
          </w:p>
        </w:tc>
      </w:tr>
      <w:tr w:rsidR="00EF1E43" w:rsidRPr="00EF1E43" w14:paraId="680E6ADE" w14:textId="77777777" w:rsidTr="00CC61F1">
        <w:trPr>
          <w:cantSplit/>
        </w:trPr>
        <w:tc>
          <w:tcPr>
            <w:tcW w:w="1555" w:type="dxa"/>
            <w:shd w:val="clear" w:color="auto" w:fill="FFFFFF" w:themeFill="background1"/>
            <w:noWrap/>
            <w:vAlign w:val="center"/>
            <w:hideMark/>
          </w:tcPr>
          <w:p w14:paraId="419FA904" w14:textId="77777777" w:rsidR="00FF0F9B" w:rsidRPr="00EF1E43" w:rsidRDefault="00FF0F9B" w:rsidP="00374F41">
            <w:pPr>
              <w:jc w:val="center"/>
              <w:rPr>
                <w:sz w:val="24"/>
              </w:rPr>
            </w:pPr>
            <w:r w:rsidRPr="00EF1E43">
              <w:rPr>
                <w:sz w:val="24"/>
              </w:rPr>
              <w:t>46871</w:t>
            </w:r>
          </w:p>
        </w:tc>
        <w:tc>
          <w:tcPr>
            <w:tcW w:w="7371" w:type="dxa"/>
            <w:shd w:val="clear" w:color="auto" w:fill="FFFFFF" w:themeFill="background1"/>
            <w:vAlign w:val="center"/>
            <w:hideMark/>
          </w:tcPr>
          <w:p w14:paraId="2523C377" w14:textId="77777777" w:rsidR="00FF0F9B" w:rsidRPr="00EF1E43" w:rsidRDefault="00FF0F9B" w:rsidP="00374F41">
            <w:pPr>
              <w:rPr>
                <w:sz w:val="24"/>
              </w:rPr>
            </w:pPr>
            <w:r w:rsidRPr="00EF1E43">
              <w:rPr>
                <w:sz w:val="24"/>
              </w:rPr>
              <w:t>National Research Council (2006). Health Risks from Exposure to Low Levels of Ionizing Radiation, Beir VII Phase 2. The National Academies Press, Washington D.C.</w:t>
            </w:r>
          </w:p>
        </w:tc>
      </w:tr>
      <w:tr w:rsidR="00EF1E43" w:rsidRPr="00EF1E43" w14:paraId="62D43058" w14:textId="77777777" w:rsidTr="00CC61F1">
        <w:trPr>
          <w:cantSplit/>
        </w:trPr>
        <w:tc>
          <w:tcPr>
            <w:tcW w:w="1555" w:type="dxa"/>
            <w:shd w:val="clear" w:color="auto" w:fill="FFFFFF" w:themeFill="background1"/>
            <w:noWrap/>
            <w:vAlign w:val="center"/>
            <w:hideMark/>
          </w:tcPr>
          <w:p w14:paraId="0C26C129" w14:textId="77777777" w:rsidR="00FF0F9B" w:rsidRPr="00EF1E43" w:rsidRDefault="00FF0F9B" w:rsidP="00374F41">
            <w:pPr>
              <w:jc w:val="center"/>
              <w:rPr>
                <w:sz w:val="24"/>
              </w:rPr>
            </w:pPr>
            <w:r w:rsidRPr="00EF1E43">
              <w:rPr>
                <w:sz w:val="24"/>
              </w:rPr>
              <w:t>38256</w:t>
            </w:r>
          </w:p>
        </w:tc>
        <w:tc>
          <w:tcPr>
            <w:tcW w:w="7371" w:type="dxa"/>
            <w:shd w:val="clear" w:color="auto" w:fill="FFFFFF" w:themeFill="background1"/>
            <w:vAlign w:val="center"/>
            <w:hideMark/>
          </w:tcPr>
          <w:p w14:paraId="45CCF4B2" w14:textId="77777777" w:rsidR="00FF0F9B" w:rsidRPr="00EF1E43" w:rsidRDefault="00FF0F9B" w:rsidP="00374F41">
            <w:pPr>
              <w:rPr>
                <w:sz w:val="24"/>
              </w:rPr>
            </w:pPr>
            <w:r w:rsidRPr="00EF1E43">
              <w:rPr>
                <w:sz w:val="24"/>
              </w:rPr>
              <w:t>Navarro Silvera SA, Jain M, Howe GR, et al (2005). Dietary carbohydrates and breast cancer risk: a prospective study of the roles of overall glycemic index and glycemic load. Int J Cancer, 114: 653-658.</w:t>
            </w:r>
          </w:p>
        </w:tc>
      </w:tr>
      <w:tr w:rsidR="00EF1E43" w:rsidRPr="00EF1E43" w14:paraId="1B1A47F0" w14:textId="77777777" w:rsidTr="00CC61F1">
        <w:trPr>
          <w:cantSplit/>
        </w:trPr>
        <w:tc>
          <w:tcPr>
            <w:tcW w:w="1555" w:type="dxa"/>
            <w:shd w:val="clear" w:color="auto" w:fill="FFFFFF" w:themeFill="background1"/>
            <w:noWrap/>
            <w:vAlign w:val="center"/>
            <w:hideMark/>
          </w:tcPr>
          <w:p w14:paraId="014F9E74" w14:textId="77777777" w:rsidR="00FF0F9B" w:rsidRPr="00EF1E43" w:rsidRDefault="00FF0F9B" w:rsidP="00374F41">
            <w:pPr>
              <w:jc w:val="center"/>
              <w:rPr>
                <w:sz w:val="24"/>
              </w:rPr>
            </w:pPr>
            <w:r w:rsidRPr="00EF1E43">
              <w:rPr>
                <w:sz w:val="24"/>
              </w:rPr>
              <w:t>38253</w:t>
            </w:r>
          </w:p>
        </w:tc>
        <w:tc>
          <w:tcPr>
            <w:tcW w:w="7371" w:type="dxa"/>
            <w:shd w:val="clear" w:color="auto" w:fill="FFFFFF" w:themeFill="background1"/>
            <w:vAlign w:val="center"/>
            <w:hideMark/>
          </w:tcPr>
          <w:p w14:paraId="667E6CA1" w14:textId="77777777" w:rsidR="00FF0F9B" w:rsidRPr="00EF1E43" w:rsidRDefault="00FF0F9B" w:rsidP="00374F41">
            <w:pPr>
              <w:rPr>
                <w:sz w:val="24"/>
              </w:rPr>
            </w:pPr>
            <w:r w:rsidRPr="00EF1E43">
              <w:rPr>
                <w:sz w:val="24"/>
              </w:rPr>
              <w:t>Negri E, Bosetti C, Fattore E, et al (2003). Environmental exposure to polychlorinated biphenyls (PCBs) and breast cancer: a systematic review of the epidemiological evidence. Eur J Cancer Prev, 12: 509-516.</w:t>
            </w:r>
          </w:p>
        </w:tc>
      </w:tr>
      <w:tr w:rsidR="00EF1E43" w:rsidRPr="00EF1E43" w14:paraId="7E80D429" w14:textId="77777777" w:rsidTr="00CC61F1">
        <w:trPr>
          <w:cantSplit/>
        </w:trPr>
        <w:tc>
          <w:tcPr>
            <w:tcW w:w="1555" w:type="dxa"/>
            <w:shd w:val="clear" w:color="auto" w:fill="FFFFFF" w:themeFill="background1"/>
            <w:noWrap/>
            <w:vAlign w:val="center"/>
            <w:hideMark/>
          </w:tcPr>
          <w:p w14:paraId="5A469342" w14:textId="77777777" w:rsidR="00FF0F9B" w:rsidRPr="00EF1E43" w:rsidRDefault="00FF0F9B" w:rsidP="00374F41">
            <w:pPr>
              <w:jc w:val="center"/>
              <w:rPr>
                <w:sz w:val="24"/>
              </w:rPr>
            </w:pPr>
            <w:r w:rsidRPr="00EF1E43">
              <w:rPr>
                <w:sz w:val="24"/>
              </w:rPr>
              <w:t>9237</w:t>
            </w:r>
          </w:p>
        </w:tc>
        <w:tc>
          <w:tcPr>
            <w:tcW w:w="7371" w:type="dxa"/>
            <w:shd w:val="clear" w:color="auto" w:fill="FFFFFF" w:themeFill="background1"/>
            <w:vAlign w:val="center"/>
            <w:hideMark/>
          </w:tcPr>
          <w:p w14:paraId="608C3958" w14:textId="77777777" w:rsidR="00FF0F9B" w:rsidRPr="00EF1E43" w:rsidRDefault="00FF0F9B" w:rsidP="00374F41">
            <w:pPr>
              <w:rPr>
                <w:sz w:val="24"/>
              </w:rPr>
            </w:pPr>
            <w:r w:rsidRPr="00EF1E43">
              <w:rPr>
                <w:sz w:val="24"/>
              </w:rPr>
              <w:t>Negri E, La Vecchia C, Bruzzi P, et al (1988). Risk factors for breast cancer: pooled results from three Italian case-control studies. Am J Epidemiol, 128(6): 1207-15.</w:t>
            </w:r>
          </w:p>
        </w:tc>
      </w:tr>
      <w:tr w:rsidR="00EF1E43" w:rsidRPr="00EF1E43" w14:paraId="0857D74E" w14:textId="77777777" w:rsidTr="00CC61F1">
        <w:trPr>
          <w:cantSplit/>
        </w:trPr>
        <w:tc>
          <w:tcPr>
            <w:tcW w:w="1555" w:type="dxa"/>
            <w:shd w:val="clear" w:color="auto" w:fill="FFFFFF" w:themeFill="background1"/>
            <w:noWrap/>
            <w:vAlign w:val="center"/>
            <w:hideMark/>
          </w:tcPr>
          <w:p w14:paraId="2F581804" w14:textId="77777777" w:rsidR="00FF0F9B" w:rsidRPr="00EF1E43" w:rsidRDefault="00FF0F9B" w:rsidP="00374F41">
            <w:pPr>
              <w:jc w:val="center"/>
              <w:rPr>
                <w:sz w:val="24"/>
              </w:rPr>
            </w:pPr>
            <w:r w:rsidRPr="00EF1E43">
              <w:rPr>
                <w:sz w:val="24"/>
              </w:rPr>
              <w:lastRenderedPageBreak/>
              <w:t>71671</w:t>
            </w:r>
          </w:p>
        </w:tc>
        <w:tc>
          <w:tcPr>
            <w:tcW w:w="7371" w:type="dxa"/>
            <w:shd w:val="clear" w:color="auto" w:fill="FFFFFF" w:themeFill="background1"/>
            <w:vAlign w:val="center"/>
            <w:hideMark/>
          </w:tcPr>
          <w:p w14:paraId="619E1350" w14:textId="77777777" w:rsidR="00FF0F9B" w:rsidRPr="00EF1E43" w:rsidRDefault="00FF0F9B" w:rsidP="00374F41">
            <w:pPr>
              <w:rPr>
                <w:sz w:val="24"/>
              </w:rPr>
            </w:pPr>
            <w:r w:rsidRPr="00EF1E43">
              <w:rPr>
                <w:sz w:val="24"/>
              </w:rPr>
              <w:t>Nelson HD, Zakher B, Cantor A, et al (2012). Risk factors for breast cancer for women age 40 to 49: a systematic review and meta-analysis. Ann Intern Med, 156(9): 635-48.</w:t>
            </w:r>
          </w:p>
        </w:tc>
      </w:tr>
      <w:tr w:rsidR="00EF1E43" w:rsidRPr="00EF1E43" w14:paraId="43B39DDA" w14:textId="77777777" w:rsidTr="00CC61F1">
        <w:trPr>
          <w:cantSplit/>
        </w:trPr>
        <w:tc>
          <w:tcPr>
            <w:tcW w:w="1555" w:type="dxa"/>
            <w:shd w:val="clear" w:color="auto" w:fill="FFFFFF" w:themeFill="background1"/>
            <w:noWrap/>
            <w:vAlign w:val="center"/>
            <w:hideMark/>
          </w:tcPr>
          <w:p w14:paraId="2CEB8CC0" w14:textId="77777777" w:rsidR="00FF0F9B" w:rsidRPr="00EF1E43" w:rsidRDefault="00FF0F9B" w:rsidP="00374F41">
            <w:pPr>
              <w:jc w:val="center"/>
              <w:rPr>
                <w:sz w:val="24"/>
              </w:rPr>
            </w:pPr>
            <w:r w:rsidRPr="00EF1E43">
              <w:rPr>
                <w:sz w:val="24"/>
              </w:rPr>
              <w:t>9238</w:t>
            </w:r>
          </w:p>
        </w:tc>
        <w:tc>
          <w:tcPr>
            <w:tcW w:w="7371" w:type="dxa"/>
            <w:shd w:val="clear" w:color="auto" w:fill="FFFFFF" w:themeFill="background1"/>
            <w:vAlign w:val="center"/>
            <w:hideMark/>
          </w:tcPr>
          <w:p w14:paraId="63836B2E" w14:textId="77777777" w:rsidR="00FF0F9B" w:rsidRPr="00EF1E43" w:rsidRDefault="00FF0F9B" w:rsidP="00374F41">
            <w:pPr>
              <w:rPr>
                <w:sz w:val="24"/>
              </w:rPr>
            </w:pPr>
            <w:r w:rsidRPr="00EF1E43">
              <w:rPr>
                <w:sz w:val="24"/>
              </w:rPr>
              <w:t>Newcomb PA, Longnecker MP, Storer BE, et al (1995). Long-term hormone replacement therapy and risk of breast cancer in postmenopausal women. Am J Epidemiol, 142(8): 788-95.</w:t>
            </w:r>
          </w:p>
        </w:tc>
      </w:tr>
      <w:tr w:rsidR="00EF1E43" w:rsidRPr="00EF1E43" w14:paraId="002DB82B" w14:textId="77777777" w:rsidTr="00CC61F1">
        <w:trPr>
          <w:cantSplit/>
        </w:trPr>
        <w:tc>
          <w:tcPr>
            <w:tcW w:w="1555" w:type="dxa"/>
            <w:shd w:val="clear" w:color="auto" w:fill="FFFFFF" w:themeFill="background1"/>
            <w:noWrap/>
            <w:vAlign w:val="center"/>
            <w:hideMark/>
          </w:tcPr>
          <w:p w14:paraId="5CBB7B60" w14:textId="77777777" w:rsidR="00FF0F9B" w:rsidRPr="00EF1E43" w:rsidRDefault="00FF0F9B" w:rsidP="00374F41">
            <w:pPr>
              <w:jc w:val="center"/>
              <w:rPr>
                <w:sz w:val="24"/>
              </w:rPr>
            </w:pPr>
            <w:r w:rsidRPr="00EF1E43">
              <w:rPr>
                <w:sz w:val="24"/>
              </w:rPr>
              <w:t>35740</w:t>
            </w:r>
          </w:p>
        </w:tc>
        <w:tc>
          <w:tcPr>
            <w:tcW w:w="7371" w:type="dxa"/>
            <w:shd w:val="clear" w:color="auto" w:fill="FFFFFF" w:themeFill="background1"/>
            <w:vAlign w:val="center"/>
            <w:hideMark/>
          </w:tcPr>
          <w:p w14:paraId="1F790125" w14:textId="77777777" w:rsidR="00FF0F9B" w:rsidRPr="00EF1E43" w:rsidRDefault="00FF0F9B" w:rsidP="00374F41">
            <w:pPr>
              <w:rPr>
                <w:sz w:val="24"/>
              </w:rPr>
            </w:pPr>
            <w:r w:rsidRPr="00EF1E43">
              <w:rPr>
                <w:sz w:val="24"/>
              </w:rPr>
              <w:t>Newcomer LM, Newcomb PA, Trentham-Dietz A, et al (2003). Oral contraceptive use and risk of breast cancer by histologic type. Int J Cancer, 106: 961-4.</w:t>
            </w:r>
          </w:p>
        </w:tc>
      </w:tr>
      <w:tr w:rsidR="00EF1E43" w:rsidRPr="00EF1E43" w14:paraId="5AF40A05" w14:textId="77777777" w:rsidTr="00CC61F1">
        <w:trPr>
          <w:cantSplit/>
        </w:trPr>
        <w:tc>
          <w:tcPr>
            <w:tcW w:w="1555" w:type="dxa"/>
            <w:shd w:val="clear" w:color="auto" w:fill="FFFFFF" w:themeFill="background1"/>
            <w:noWrap/>
            <w:vAlign w:val="center"/>
            <w:hideMark/>
          </w:tcPr>
          <w:p w14:paraId="74FF0749" w14:textId="77777777" w:rsidR="00FF0F9B" w:rsidRPr="00EF1E43" w:rsidRDefault="00FF0F9B" w:rsidP="00374F41">
            <w:pPr>
              <w:jc w:val="center"/>
              <w:rPr>
                <w:sz w:val="24"/>
              </w:rPr>
            </w:pPr>
            <w:r w:rsidRPr="00EF1E43">
              <w:rPr>
                <w:sz w:val="24"/>
              </w:rPr>
              <w:t>36924</w:t>
            </w:r>
          </w:p>
        </w:tc>
        <w:tc>
          <w:tcPr>
            <w:tcW w:w="7371" w:type="dxa"/>
            <w:shd w:val="clear" w:color="auto" w:fill="FFFFFF" w:themeFill="background1"/>
            <w:vAlign w:val="center"/>
            <w:hideMark/>
          </w:tcPr>
          <w:p w14:paraId="76C7682A" w14:textId="77777777" w:rsidR="00FF0F9B" w:rsidRPr="00EF1E43" w:rsidRDefault="00FF0F9B" w:rsidP="00374F41">
            <w:pPr>
              <w:rPr>
                <w:sz w:val="24"/>
              </w:rPr>
            </w:pPr>
            <w:r w:rsidRPr="00EF1E43">
              <w:rPr>
                <w:sz w:val="24"/>
              </w:rPr>
              <w:t>Ng EH, Gao F, Ji CY, et al (1997). Risk factors for breast carcinoma in Singaporean Chinese women. Cancer, 80: 825-31.</w:t>
            </w:r>
          </w:p>
        </w:tc>
      </w:tr>
      <w:tr w:rsidR="00EF1E43" w:rsidRPr="00EF1E43" w14:paraId="2D1EBD40" w14:textId="77777777" w:rsidTr="00CC61F1">
        <w:trPr>
          <w:cantSplit/>
        </w:trPr>
        <w:tc>
          <w:tcPr>
            <w:tcW w:w="1555" w:type="dxa"/>
            <w:shd w:val="clear" w:color="auto" w:fill="FFFFFF" w:themeFill="background1"/>
            <w:noWrap/>
            <w:vAlign w:val="center"/>
            <w:hideMark/>
          </w:tcPr>
          <w:p w14:paraId="5F3137E8" w14:textId="77777777" w:rsidR="00FF0F9B" w:rsidRPr="00EF1E43" w:rsidRDefault="00FF0F9B" w:rsidP="00374F41">
            <w:pPr>
              <w:jc w:val="center"/>
              <w:rPr>
                <w:sz w:val="24"/>
              </w:rPr>
            </w:pPr>
            <w:r w:rsidRPr="00EF1E43">
              <w:rPr>
                <w:sz w:val="24"/>
              </w:rPr>
              <w:t>87232</w:t>
            </w:r>
          </w:p>
        </w:tc>
        <w:tc>
          <w:tcPr>
            <w:tcW w:w="7371" w:type="dxa"/>
            <w:shd w:val="clear" w:color="auto" w:fill="FFFFFF" w:themeFill="background1"/>
            <w:vAlign w:val="center"/>
            <w:hideMark/>
          </w:tcPr>
          <w:p w14:paraId="7E3AB42A" w14:textId="77777777" w:rsidR="00FF0F9B" w:rsidRPr="00EF1E43" w:rsidRDefault="00FF0F9B" w:rsidP="00374F41">
            <w:pPr>
              <w:rPr>
                <w:sz w:val="24"/>
              </w:rPr>
            </w:pPr>
            <w:r w:rsidRPr="00EF1E43">
              <w:rPr>
                <w:sz w:val="24"/>
              </w:rPr>
              <w:t>Nie J, Beyea J, Bonner MR, et al (2007). Exposure to traffic emissions throughout life and risk of breast cancer: the Western New York Exposures and Breast Cancer (WEB) study. Cancer Causes &amp; Control, 18(9): 947-55.</w:t>
            </w:r>
          </w:p>
        </w:tc>
      </w:tr>
      <w:tr w:rsidR="00EF1E43" w:rsidRPr="00EF1E43" w14:paraId="243CE81B" w14:textId="77777777" w:rsidTr="00CC61F1">
        <w:trPr>
          <w:cantSplit/>
        </w:trPr>
        <w:tc>
          <w:tcPr>
            <w:tcW w:w="1555" w:type="dxa"/>
            <w:shd w:val="clear" w:color="auto" w:fill="FFFFFF" w:themeFill="background1"/>
            <w:noWrap/>
            <w:vAlign w:val="center"/>
            <w:hideMark/>
          </w:tcPr>
          <w:p w14:paraId="0F4EFBD2" w14:textId="77777777" w:rsidR="00FF0F9B" w:rsidRPr="00EF1E43" w:rsidRDefault="00FF0F9B" w:rsidP="00374F41">
            <w:pPr>
              <w:jc w:val="center"/>
              <w:rPr>
                <w:sz w:val="24"/>
              </w:rPr>
            </w:pPr>
            <w:r w:rsidRPr="00EF1E43">
              <w:rPr>
                <w:sz w:val="24"/>
              </w:rPr>
              <w:t>38255</w:t>
            </w:r>
          </w:p>
        </w:tc>
        <w:tc>
          <w:tcPr>
            <w:tcW w:w="7371" w:type="dxa"/>
            <w:shd w:val="clear" w:color="auto" w:fill="FFFFFF" w:themeFill="background1"/>
            <w:vAlign w:val="center"/>
            <w:hideMark/>
          </w:tcPr>
          <w:p w14:paraId="641F6A46" w14:textId="77777777" w:rsidR="00FF0F9B" w:rsidRPr="00EF1E43" w:rsidRDefault="00FF0F9B" w:rsidP="00374F41">
            <w:pPr>
              <w:rPr>
                <w:sz w:val="24"/>
              </w:rPr>
            </w:pPr>
            <w:r w:rsidRPr="00EF1E43">
              <w:rPr>
                <w:sz w:val="24"/>
              </w:rPr>
              <w:t>Nielsen TG, Olsen A, Christensen J, et al (2005). Dietary carbohydrate intake is not associated with the breast cancer incidence rate ratio in postmenopausal Danish women. J Nutr, 135(1): 124-8.</w:t>
            </w:r>
          </w:p>
        </w:tc>
      </w:tr>
      <w:tr w:rsidR="00EF1E43" w:rsidRPr="00EF1E43" w14:paraId="72006A18" w14:textId="77777777" w:rsidTr="00CC61F1">
        <w:trPr>
          <w:cantSplit/>
        </w:trPr>
        <w:tc>
          <w:tcPr>
            <w:tcW w:w="1555" w:type="dxa"/>
            <w:shd w:val="clear" w:color="auto" w:fill="FFFFFF" w:themeFill="background1"/>
            <w:noWrap/>
            <w:vAlign w:val="center"/>
            <w:hideMark/>
          </w:tcPr>
          <w:p w14:paraId="4FA12422" w14:textId="77777777" w:rsidR="00FF0F9B" w:rsidRPr="00EF1E43" w:rsidRDefault="00FF0F9B" w:rsidP="00374F41">
            <w:pPr>
              <w:jc w:val="center"/>
              <w:rPr>
                <w:sz w:val="24"/>
              </w:rPr>
            </w:pPr>
            <w:r w:rsidRPr="00EF1E43">
              <w:rPr>
                <w:sz w:val="24"/>
              </w:rPr>
              <w:t>72910</w:t>
            </w:r>
          </w:p>
        </w:tc>
        <w:tc>
          <w:tcPr>
            <w:tcW w:w="7371" w:type="dxa"/>
            <w:shd w:val="clear" w:color="auto" w:fill="FFFFFF" w:themeFill="background1"/>
            <w:vAlign w:val="center"/>
            <w:hideMark/>
          </w:tcPr>
          <w:p w14:paraId="73F3FB66" w14:textId="77777777" w:rsidR="00FF0F9B" w:rsidRPr="00EF1E43" w:rsidRDefault="00FF0F9B" w:rsidP="00374F41">
            <w:pPr>
              <w:rPr>
                <w:sz w:val="24"/>
              </w:rPr>
            </w:pPr>
            <w:r w:rsidRPr="00EF1E43">
              <w:rPr>
                <w:sz w:val="24"/>
              </w:rPr>
              <w:t>Njor S, Nystrom L, Moss S, et al (2012). Breast cancer mortality in mammographic screening in Europe: a review of incidence-based mortality studies. J Med Screen, 19(Suppl 1): 33-41.</w:t>
            </w:r>
          </w:p>
        </w:tc>
      </w:tr>
      <w:tr w:rsidR="00EF1E43" w:rsidRPr="00EF1E43" w14:paraId="11C1A239" w14:textId="77777777" w:rsidTr="00CC61F1">
        <w:trPr>
          <w:cantSplit/>
        </w:trPr>
        <w:tc>
          <w:tcPr>
            <w:tcW w:w="1555" w:type="dxa"/>
            <w:shd w:val="clear" w:color="auto" w:fill="FFFFFF" w:themeFill="background1"/>
            <w:noWrap/>
            <w:vAlign w:val="center"/>
            <w:hideMark/>
          </w:tcPr>
          <w:p w14:paraId="14F3063E" w14:textId="77777777" w:rsidR="00FF0F9B" w:rsidRPr="00EF1E43" w:rsidRDefault="00FF0F9B" w:rsidP="00374F41">
            <w:pPr>
              <w:jc w:val="center"/>
              <w:rPr>
                <w:sz w:val="24"/>
              </w:rPr>
            </w:pPr>
            <w:r w:rsidRPr="00EF1E43">
              <w:rPr>
                <w:sz w:val="24"/>
              </w:rPr>
              <w:t>87194</w:t>
            </w:r>
          </w:p>
        </w:tc>
        <w:tc>
          <w:tcPr>
            <w:tcW w:w="7371" w:type="dxa"/>
            <w:shd w:val="clear" w:color="auto" w:fill="FFFFFF" w:themeFill="background1"/>
            <w:vAlign w:val="center"/>
            <w:hideMark/>
          </w:tcPr>
          <w:p w14:paraId="4A43452D" w14:textId="77777777" w:rsidR="00FF0F9B" w:rsidRPr="00EF1E43" w:rsidRDefault="00FF0F9B" w:rsidP="00374F41">
            <w:pPr>
              <w:rPr>
                <w:sz w:val="24"/>
              </w:rPr>
            </w:pPr>
            <w:r w:rsidRPr="00EF1E43">
              <w:rPr>
                <w:sz w:val="24"/>
              </w:rPr>
              <w:t>No authors listed (2015). Long-term health consequences of exposure to burn pits in Iraq and Afghanistan. Mil Med, 180(6): 601-3.</w:t>
            </w:r>
          </w:p>
        </w:tc>
      </w:tr>
      <w:tr w:rsidR="00EF1E43" w:rsidRPr="00EF1E43" w14:paraId="7AF9E6AD" w14:textId="77777777" w:rsidTr="00CC61F1">
        <w:trPr>
          <w:cantSplit/>
        </w:trPr>
        <w:tc>
          <w:tcPr>
            <w:tcW w:w="1555" w:type="dxa"/>
            <w:shd w:val="clear" w:color="auto" w:fill="FFFFFF" w:themeFill="background1"/>
            <w:noWrap/>
            <w:vAlign w:val="center"/>
            <w:hideMark/>
          </w:tcPr>
          <w:p w14:paraId="4C791423" w14:textId="77777777" w:rsidR="00FF0F9B" w:rsidRPr="00EF1E43" w:rsidRDefault="00FF0F9B" w:rsidP="00374F41">
            <w:pPr>
              <w:jc w:val="center"/>
              <w:rPr>
                <w:sz w:val="24"/>
              </w:rPr>
            </w:pPr>
            <w:r w:rsidRPr="00EF1E43">
              <w:rPr>
                <w:sz w:val="24"/>
              </w:rPr>
              <w:t>35745</w:t>
            </w:r>
          </w:p>
        </w:tc>
        <w:tc>
          <w:tcPr>
            <w:tcW w:w="7371" w:type="dxa"/>
            <w:shd w:val="clear" w:color="auto" w:fill="FFFFFF" w:themeFill="background1"/>
            <w:vAlign w:val="center"/>
            <w:hideMark/>
          </w:tcPr>
          <w:p w14:paraId="5C065BBA" w14:textId="77777777" w:rsidR="00FF0F9B" w:rsidRPr="00EF1E43" w:rsidRDefault="00FF0F9B" w:rsidP="00374F41">
            <w:pPr>
              <w:rPr>
                <w:sz w:val="24"/>
              </w:rPr>
            </w:pPr>
            <w:r w:rsidRPr="00EF1E43">
              <w:rPr>
                <w:sz w:val="24"/>
              </w:rPr>
              <w:t>Norman SA, Berlin JA, Weber AL, et al (2003). Combined effect of oral contraceptive use and hormone replacement therapy on breast cancer risk in postmenopausal women. Cancer Causes and Control, 14: 933-43.</w:t>
            </w:r>
          </w:p>
        </w:tc>
      </w:tr>
      <w:tr w:rsidR="00EF1E43" w:rsidRPr="00EF1E43" w14:paraId="309F7F50" w14:textId="77777777" w:rsidTr="00CC61F1">
        <w:trPr>
          <w:cantSplit/>
        </w:trPr>
        <w:tc>
          <w:tcPr>
            <w:tcW w:w="1555" w:type="dxa"/>
            <w:shd w:val="clear" w:color="auto" w:fill="FFFFFF" w:themeFill="background1"/>
            <w:noWrap/>
            <w:vAlign w:val="center"/>
            <w:hideMark/>
          </w:tcPr>
          <w:p w14:paraId="60138191" w14:textId="77777777" w:rsidR="00FF0F9B" w:rsidRPr="00EF1E43" w:rsidRDefault="00FF0F9B" w:rsidP="00374F41">
            <w:pPr>
              <w:jc w:val="center"/>
              <w:rPr>
                <w:sz w:val="24"/>
              </w:rPr>
            </w:pPr>
            <w:r w:rsidRPr="00EF1E43">
              <w:rPr>
                <w:sz w:val="24"/>
              </w:rPr>
              <w:t>35744</w:t>
            </w:r>
          </w:p>
        </w:tc>
        <w:tc>
          <w:tcPr>
            <w:tcW w:w="7371" w:type="dxa"/>
            <w:shd w:val="clear" w:color="auto" w:fill="FFFFFF" w:themeFill="background1"/>
            <w:vAlign w:val="center"/>
            <w:hideMark/>
          </w:tcPr>
          <w:p w14:paraId="675E884A" w14:textId="77777777" w:rsidR="00FF0F9B" w:rsidRPr="00EF1E43" w:rsidRDefault="00FF0F9B" w:rsidP="00374F41">
            <w:pPr>
              <w:rPr>
                <w:sz w:val="24"/>
              </w:rPr>
            </w:pPr>
            <w:r w:rsidRPr="00EF1E43">
              <w:rPr>
                <w:sz w:val="24"/>
              </w:rPr>
              <w:t>Norod SA, Dube MP, Klijn J, et al (2002). Oral contraceptives and the risk of breast cancer in BRCA1 and BRACA2 mutation carriers. Journal of the National Cancer Institute, 94(23): 1773-9.</w:t>
            </w:r>
          </w:p>
        </w:tc>
      </w:tr>
      <w:tr w:rsidR="00EF1E43" w:rsidRPr="00EF1E43" w14:paraId="359AD7A4" w14:textId="77777777" w:rsidTr="00CC61F1">
        <w:trPr>
          <w:cantSplit/>
        </w:trPr>
        <w:tc>
          <w:tcPr>
            <w:tcW w:w="1555" w:type="dxa"/>
            <w:shd w:val="clear" w:color="auto" w:fill="FFFFFF" w:themeFill="background1"/>
            <w:noWrap/>
            <w:vAlign w:val="center"/>
            <w:hideMark/>
          </w:tcPr>
          <w:p w14:paraId="71E3E046" w14:textId="77777777" w:rsidR="00FF0F9B" w:rsidRPr="00EF1E43" w:rsidRDefault="00FF0F9B" w:rsidP="00374F41">
            <w:pPr>
              <w:jc w:val="center"/>
              <w:rPr>
                <w:sz w:val="24"/>
              </w:rPr>
            </w:pPr>
            <w:r w:rsidRPr="00EF1E43">
              <w:rPr>
                <w:sz w:val="24"/>
              </w:rPr>
              <w:t>19965</w:t>
            </w:r>
          </w:p>
        </w:tc>
        <w:tc>
          <w:tcPr>
            <w:tcW w:w="7371" w:type="dxa"/>
            <w:shd w:val="clear" w:color="auto" w:fill="FFFFFF" w:themeFill="background1"/>
            <w:vAlign w:val="center"/>
            <w:hideMark/>
          </w:tcPr>
          <w:p w14:paraId="4E1FD0D2" w14:textId="77777777" w:rsidR="00FF0F9B" w:rsidRPr="00EF1E43" w:rsidRDefault="00FF0F9B" w:rsidP="00374F41">
            <w:pPr>
              <w:rPr>
                <w:sz w:val="24"/>
              </w:rPr>
            </w:pPr>
            <w:r w:rsidRPr="00EF1E43">
              <w:rPr>
                <w:sz w:val="24"/>
              </w:rPr>
              <w:t>NPS MedicineWise (2021). NuvaRing. Retrieved 1 March 2021, from https://www.nps.org.au/assets/medicines/35cfe675-9d47-494a-a9d5-a53300fee313.pdf</w:t>
            </w:r>
          </w:p>
        </w:tc>
      </w:tr>
      <w:tr w:rsidR="00EF1E43" w:rsidRPr="00EF1E43" w14:paraId="025491DD" w14:textId="77777777" w:rsidTr="00CC61F1">
        <w:trPr>
          <w:cantSplit/>
        </w:trPr>
        <w:tc>
          <w:tcPr>
            <w:tcW w:w="1555" w:type="dxa"/>
            <w:shd w:val="clear" w:color="auto" w:fill="FFFFFF" w:themeFill="background1"/>
            <w:noWrap/>
            <w:vAlign w:val="center"/>
            <w:hideMark/>
          </w:tcPr>
          <w:p w14:paraId="104F6FC5" w14:textId="77777777" w:rsidR="00FF0F9B" w:rsidRPr="00EF1E43" w:rsidRDefault="00FF0F9B" w:rsidP="00374F41">
            <w:pPr>
              <w:jc w:val="center"/>
              <w:rPr>
                <w:sz w:val="24"/>
              </w:rPr>
            </w:pPr>
            <w:r w:rsidRPr="00EF1E43">
              <w:rPr>
                <w:sz w:val="24"/>
              </w:rPr>
              <w:t>37803</w:t>
            </w:r>
          </w:p>
        </w:tc>
        <w:tc>
          <w:tcPr>
            <w:tcW w:w="7371" w:type="dxa"/>
            <w:shd w:val="clear" w:color="auto" w:fill="FFFFFF" w:themeFill="background1"/>
            <w:vAlign w:val="center"/>
            <w:hideMark/>
          </w:tcPr>
          <w:p w14:paraId="527F8D17" w14:textId="77777777" w:rsidR="00FF0F9B" w:rsidRPr="00EF1E43" w:rsidRDefault="00FF0F9B" w:rsidP="00374F41">
            <w:pPr>
              <w:rPr>
                <w:sz w:val="24"/>
              </w:rPr>
            </w:pPr>
            <w:r w:rsidRPr="00EF1E43">
              <w:rPr>
                <w:sz w:val="24"/>
              </w:rPr>
              <w:t>NSW Dept of Health (2004). Full body scan and virtual colonoscopy health risks.  Retrieved 6 March 2006, from www.health.nsw.gov.au</w:t>
            </w:r>
          </w:p>
        </w:tc>
      </w:tr>
      <w:tr w:rsidR="00EF1E43" w:rsidRPr="00EF1E43" w14:paraId="3779EED8" w14:textId="77777777" w:rsidTr="00CC61F1">
        <w:trPr>
          <w:cantSplit/>
        </w:trPr>
        <w:tc>
          <w:tcPr>
            <w:tcW w:w="1555" w:type="dxa"/>
            <w:shd w:val="clear" w:color="auto" w:fill="FFFFFF" w:themeFill="background1"/>
            <w:noWrap/>
            <w:vAlign w:val="center"/>
            <w:hideMark/>
          </w:tcPr>
          <w:p w14:paraId="016C6AFC" w14:textId="77777777" w:rsidR="00FF0F9B" w:rsidRPr="00EF1E43" w:rsidRDefault="00FF0F9B" w:rsidP="00374F41">
            <w:pPr>
              <w:jc w:val="center"/>
              <w:rPr>
                <w:sz w:val="24"/>
              </w:rPr>
            </w:pPr>
            <w:r w:rsidRPr="00EF1E43">
              <w:rPr>
                <w:sz w:val="24"/>
              </w:rPr>
              <w:t>36019</w:t>
            </w:r>
          </w:p>
        </w:tc>
        <w:tc>
          <w:tcPr>
            <w:tcW w:w="7371" w:type="dxa"/>
            <w:shd w:val="clear" w:color="auto" w:fill="FFFFFF" w:themeFill="background1"/>
            <w:vAlign w:val="center"/>
            <w:hideMark/>
          </w:tcPr>
          <w:p w14:paraId="3750F2A8" w14:textId="77777777" w:rsidR="00FF0F9B" w:rsidRPr="00EF1E43" w:rsidRDefault="00FF0F9B" w:rsidP="00374F41">
            <w:pPr>
              <w:rPr>
                <w:sz w:val="24"/>
              </w:rPr>
            </w:pPr>
            <w:r w:rsidRPr="00EF1E43">
              <w:rPr>
                <w:sz w:val="24"/>
              </w:rPr>
              <w:t>O'Brien PC, Barton MB, Fisher R (1995). Breast cancer following treatment for Hodgkin's disease: The need for screening in a young population. Australasian Radiology, 39: 271-6.</w:t>
            </w:r>
          </w:p>
        </w:tc>
      </w:tr>
      <w:tr w:rsidR="00EF1E43" w:rsidRPr="00EF1E43" w14:paraId="6D867057" w14:textId="77777777" w:rsidTr="00CC61F1">
        <w:trPr>
          <w:cantSplit/>
        </w:trPr>
        <w:tc>
          <w:tcPr>
            <w:tcW w:w="1555" w:type="dxa"/>
            <w:shd w:val="clear" w:color="auto" w:fill="FFFFFF" w:themeFill="background1"/>
            <w:noWrap/>
            <w:vAlign w:val="center"/>
            <w:hideMark/>
          </w:tcPr>
          <w:p w14:paraId="5BCC96B4" w14:textId="77777777" w:rsidR="00FF0F9B" w:rsidRPr="00EF1E43" w:rsidRDefault="00FF0F9B" w:rsidP="00374F41">
            <w:pPr>
              <w:jc w:val="center"/>
              <w:rPr>
                <w:sz w:val="24"/>
              </w:rPr>
            </w:pPr>
            <w:r w:rsidRPr="00EF1E43">
              <w:rPr>
                <w:sz w:val="24"/>
              </w:rPr>
              <w:t>87192</w:t>
            </w:r>
          </w:p>
        </w:tc>
        <w:tc>
          <w:tcPr>
            <w:tcW w:w="7371" w:type="dxa"/>
            <w:shd w:val="clear" w:color="auto" w:fill="FFFFFF" w:themeFill="background1"/>
            <w:vAlign w:val="center"/>
            <w:hideMark/>
          </w:tcPr>
          <w:p w14:paraId="52BE671C" w14:textId="77777777" w:rsidR="00FF0F9B" w:rsidRPr="00EF1E43" w:rsidRDefault="00FF0F9B" w:rsidP="00374F41">
            <w:pPr>
              <w:rPr>
                <w:sz w:val="24"/>
              </w:rPr>
            </w:pPr>
            <w:r w:rsidRPr="00EF1E43">
              <w:rPr>
                <w:sz w:val="24"/>
              </w:rPr>
              <w:t>Oliver NT, Chiao EY (2017). Malignancies in women with HIV infection. Curr Opin HIV AIDS, 12(1): 69-76.</w:t>
            </w:r>
          </w:p>
        </w:tc>
      </w:tr>
      <w:tr w:rsidR="00EF1E43" w:rsidRPr="00EF1E43" w14:paraId="1CBBE47C" w14:textId="77777777" w:rsidTr="00CC61F1">
        <w:trPr>
          <w:cantSplit/>
        </w:trPr>
        <w:tc>
          <w:tcPr>
            <w:tcW w:w="1555" w:type="dxa"/>
            <w:shd w:val="clear" w:color="auto" w:fill="FFFFFF" w:themeFill="background1"/>
            <w:noWrap/>
            <w:vAlign w:val="center"/>
            <w:hideMark/>
          </w:tcPr>
          <w:p w14:paraId="5990AB45" w14:textId="77777777" w:rsidR="00FF0F9B" w:rsidRPr="00EF1E43" w:rsidRDefault="00FF0F9B" w:rsidP="00374F41">
            <w:pPr>
              <w:jc w:val="center"/>
              <w:rPr>
                <w:sz w:val="24"/>
              </w:rPr>
            </w:pPr>
            <w:r w:rsidRPr="00EF1E43">
              <w:rPr>
                <w:sz w:val="24"/>
              </w:rPr>
              <w:t>19971</w:t>
            </w:r>
          </w:p>
        </w:tc>
        <w:tc>
          <w:tcPr>
            <w:tcW w:w="7371" w:type="dxa"/>
            <w:shd w:val="clear" w:color="auto" w:fill="FFFFFF" w:themeFill="background1"/>
            <w:vAlign w:val="center"/>
            <w:hideMark/>
          </w:tcPr>
          <w:p w14:paraId="1E07650A" w14:textId="77777777" w:rsidR="00FF0F9B" w:rsidRPr="00EF1E43" w:rsidRDefault="00FF0F9B" w:rsidP="00374F41">
            <w:pPr>
              <w:rPr>
                <w:sz w:val="24"/>
              </w:rPr>
            </w:pPr>
            <w:r w:rsidRPr="00EF1E43">
              <w:rPr>
                <w:sz w:val="24"/>
              </w:rPr>
              <w:t>Ostroot MK, Heslin K, Kram JJ, et al (2021). Breast cancer recurrence risk after hormonal contraceptive use in survivors of reproductive age. Eur J Obstet Gynecol Reprod Biol, 258: 174-8.</w:t>
            </w:r>
          </w:p>
        </w:tc>
      </w:tr>
      <w:tr w:rsidR="00EF1E43" w:rsidRPr="00EF1E43" w14:paraId="13A02150" w14:textId="77777777" w:rsidTr="00CC61F1">
        <w:trPr>
          <w:cantSplit/>
        </w:trPr>
        <w:tc>
          <w:tcPr>
            <w:tcW w:w="1555" w:type="dxa"/>
            <w:shd w:val="clear" w:color="auto" w:fill="FFFFFF" w:themeFill="background1"/>
            <w:noWrap/>
            <w:vAlign w:val="center"/>
            <w:hideMark/>
          </w:tcPr>
          <w:p w14:paraId="6F393732" w14:textId="77777777" w:rsidR="00FF0F9B" w:rsidRPr="00EF1E43" w:rsidRDefault="00FF0F9B" w:rsidP="00374F41">
            <w:pPr>
              <w:jc w:val="center"/>
              <w:rPr>
                <w:sz w:val="24"/>
              </w:rPr>
            </w:pPr>
            <w:r w:rsidRPr="00EF1E43">
              <w:rPr>
                <w:sz w:val="24"/>
              </w:rPr>
              <w:lastRenderedPageBreak/>
              <w:t>70194</w:t>
            </w:r>
          </w:p>
        </w:tc>
        <w:tc>
          <w:tcPr>
            <w:tcW w:w="7371" w:type="dxa"/>
            <w:shd w:val="clear" w:color="auto" w:fill="FFFFFF" w:themeFill="background1"/>
            <w:vAlign w:val="center"/>
            <w:hideMark/>
          </w:tcPr>
          <w:p w14:paraId="01076451" w14:textId="77777777" w:rsidR="00FF0F9B" w:rsidRPr="00EF1E43" w:rsidRDefault="00FF0F9B" w:rsidP="00374F41">
            <w:pPr>
              <w:rPr>
                <w:sz w:val="24"/>
              </w:rPr>
            </w:pPr>
            <w:r w:rsidRPr="00EF1E43">
              <w:rPr>
                <w:sz w:val="24"/>
              </w:rPr>
              <w:t>Ozasa K, Shimizu Y, Suyama A, et al (2012). Studies of the mortality of atomic bomb survivors, Report 14, 1950-2003: an overview of cancer and noncancer diseases. Radiat Res, 177(3): 229-43; Erratum: 179(4): e40-1.</w:t>
            </w:r>
          </w:p>
        </w:tc>
      </w:tr>
      <w:tr w:rsidR="00EF1E43" w:rsidRPr="00EF1E43" w14:paraId="65C8AC4E" w14:textId="77777777" w:rsidTr="00CC61F1">
        <w:trPr>
          <w:cantSplit/>
        </w:trPr>
        <w:tc>
          <w:tcPr>
            <w:tcW w:w="1555" w:type="dxa"/>
            <w:shd w:val="clear" w:color="auto" w:fill="FFFFFF" w:themeFill="background1"/>
            <w:noWrap/>
            <w:vAlign w:val="center"/>
            <w:hideMark/>
          </w:tcPr>
          <w:p w14:paraId="012AC226" w14:textId="77777777" w:rsidR="00FF0F9B" w:rsidRPr="00EF1E43" w:rsidRDefault="00FF0F9B" w:rsidP="00374F41">
            <w:pPr>
              <w:jc w:val="center"/>
              <w:rPr>
                <w:sz w:val="24"/>
              </w:rPr>
            </w:pPr>
            <w:r w:rsidRPr="00EF1E43">
              <w:rPr>
                <w:sz w:val="24"/>
              </w:rPr>
              <w:t>9240</w:t>
            </w:r>
          </w:p>
        </w:tc>
        <w:tc>
          <w:tcPr>
            <w:tcW w:w="7371" w:type="dxa"/>
            <w:shd w:val="clear" w:color="auto" w:fill="FFFFFF" w:themeFill="background1"/>
            <w:vAlign w:val="center"/>
            <w:hideMark/>
          </w:tcPr>
          <w:p w14:paraId="6066E0BD" w14:textId="77777777" w:rsidR="00FF0F9B" w:rsidRPr="00EF1E43" w:rsidRDefault="00FF0F9B" w:rsidP="00374F41">
            <w:pPr>
              <w:rPr>
                <w:sz w:val="24"/>
              </w:rPr>
            </w:pPr>
            <w:r w:rsidRPr="00EF1E43">
              <w:rPr>
                <w:sz w:val="24"/>
              </w:rPr>
              <w:t>Palmer JR, Rosenberg L (1993). Cigarette smoking and the risk of breast cancer. Epidemiologic Reviews, 15(1): 145-56.</w:t>
            </w:r>
          </w:p>
        </w:tc>
      </w:tr>
      <w:tr w:rsidR="00EF1E43" w:rsidRPr="00EF1E43" w14:paraId="259F7665" w14:textId="77777777" w:rsidTr="00CC61F1">
        <w:trPr>
          <w:cantSplit/>
        </w:trPr>
        <w:tc>
          <w:tcPr>
            <w:tcW w:w="1555" w:type="dxa"/>
            <w:shd w:val="clear" w:color="auto" w:fill="FFFFFF" w:themeFill="background1"/>
            <w:noWrap/>
            <w:vAlign w:val="center"/>
            <w:hideMark/>
          </w:tcPr>
          <w:p w14:paraId="5E8720C6" w14:textId="77777777" w:rsidR="00FF0F9B" w:rsidRPr="00EF1E43" w:rsidRDefault="00FF0F9B" w:rsidP="00374F41">
            <w:pPr>
              <w:jc w:val="center"/>
              <w:rPr>
                <w:sz w:val="24"/>
              </w:rPr>
            </w:pPr>
            <w:r w:rsidRPr="00EF1E43">
              <w:rPr>
                <w:sz w:val="24"/>
              </w:rPr>
              <w:t>80756</w:t>
            </w:r>
          </w:p>
        </w:tc>
        <w:tc>
          <w:tcPr>
            <w:tcW w:w="7371" w:type="dxa"/>
            <w:shd w:val="clear" w:color="auto" w:fill="FFFFFF" w:themeFill="background1"/>
            <w:vAlign w:val="center"/>
            <w:hideMark/>
          </w:tcPr>
          <w:p w14:paraId="0101301D" w14:textId="77777777" w:rsidR="00FF0F9B" w:rsidRPr="00EF1E43" w:rsidRDefault="00FF0F9B" w:rsidP="00374F41">
            <w:pPr>
              <w:rPr>
                <w:sz w:val="24"/>
              </w:rPr>
            </w:pPr>
            <w:r w:rsidRPr="00EF1E43">
              <w:rPr>
                <w:sz w:val="24"/>
              </w:rPr>
              <w:t>Paquet F, Etherington G, Bailey MR, et al (2015). Occupational Intakes of Radionuclides: Part 1. Annals of the ICRP, ICRP Publication 130, Sage Publications Inc.</w:t>
            </w:r>
          </w:p>
        </w:tc>
      </w:tr>
      <w:tr w:rsidR="00EF1E43" w:rsidRPr="00EF1E43" w14:paraId="1003BCA4" w14:textId="77777777" w:rsidTr="00CC61F1">
        <w:trPr>
          <w:cantSplit/>
        </w:trPr>
        <w:tc>
          <w:tcPr>
            <w:tcW w:w="1555" w:type="dxa"/>
            <w:shd w:val="clear" w:color="auto" w:fill="FFFFFF" w:themeFill="background1"/>
            <w:noWrap/>
            <w:vAlign w:val="center"/>
            <w:hideMark/>
          </w:tcPr>
          <w:p w14:paraId="718DBA76" w14:textId="77777777" w:rsidR="00FF0F9B" w:rsidRPr="00EF1E43" w:rsidRDefault="00FF0F9B" w:rsidP="00374F41">
            <w:pPr>
              <w:jc w:val="center"/>
              <w:rPr>
                <w:sz w:val="24"/>
              </w:rPr>
            </w:pPr>
            <w:r w:rsidRPr="00EF1E43">
              <w:rPr>
                <w:sz w:val="24"/>
              </w:rPr>
              <w:t>9241</w:t>
            </w:r>
          </w:p>
        </w:tc>
        <w:tc>
          <w:tcPr>
            <w:tcW w:w="7371" w:type="dxa"/>
            <w:shd w:val="clear" w:color="auto" w:fill="FFFFFF" w:themeFill="background1"/>
            <w:vAlign w:val="center"/>
            <w:hideMark/>
          </w:tcPr>
          <w:p w14:paraId="653727EE" w14:textId="77777777" w:rsidR="00FF0F9B" w:rsidRPr="00EF1E43" w:rsidRDefault="00FF0F9B" w:rsidP="00374F41">
            <w:pPr>
              <w:rPr>
                <w:sz w:val="24"/>
              </w:rPr>
            </w:pPr>
            <w:r w:rsidRPr="00EF1E43">
              <w:rPr>
                <w:sz w:val="24"/>
              </w:rPr>
              <w:t>Park AJ, Black RJ, Watson AC (1993). Silicone gel breast implants, breast cancer and connective tissue disorders. British Journal of Surgery, 80(9): 1097-100.</w:t>
            </w:r>
          </w:p>
        </w:tc>
      </w:tr>
      <w:tr w:rsidR="00EF1E43" w:rsidRPr="00EF1E43" w14:paraId="6ABA9445" w14:textId="77777777" w:rsidTr="00CC61F1">
        <w:trPr>
          <w:cantSplit/>
        </w:trPr>
        <w:tc>
          <w:tcPr>
            <w:tcW w:w="1555" w:type="dxa"/>
            <w:shd w:val="clear" w:color="auto" w:fill="FFFFFF" w:themeFill="background1"/>
            <w:noWrap/>
            <w:vAlign w:val="center"/>
            <w:hideMark/>
          </w:tcPr>
          <w:p w14:paraId="7A68979F" w14:textId="77777777" w:rsidR="00FF0F9B" w:rsidRPr="00EF1E43" w:rsidRDefault="00FF0F9B" w:rsidP="00374F41">
            <w:pPr>
              <w:jc w:val="center"/>
              <w:rPr>
                <w:sz w:val="24"/>
              </w:rPr>
            </w:pPr>
            <w:r w:rsidRPr="00EF1E43">
              <w:rPr>
                <w:sz w:val="24"/>
              </w:rPr>
              <w:t>10297</w:t>
            </w:r>
          </w:p>
        </w:tc>
        <w:tc>
          <w:tcPr>
            <w:tcW w:w="7371" w:type="dxa"/>
            <w:shd w:val="clear" w:color="auto" w:fill="FFFFFF" w:themeFill="background1"/>
            <w:vAlign w:val="center"/>
            <w:hideMark/>
          </w:tcPr>
          <w:p w14:paraId="198DA9DF" w14:textId="77777777" w:rsidR="00FF0F9B" w:rsidRPr="00EF1E43" w:rsidRDefault="00FF0F9B" w:rsidP="00374F41">
            <w:pPr>
              <w:rPr>
                <w:sz w:val="24"/>
              </w:rPr>
            </w:pPr>
            <w:r w:rsidRPr="00EF1E43">
              <w:rPr>
                <w:sz w:val="24"/>
              </w:rPr>
              <w:t>Parkin DM, Vizcaino AP, Skinner ME, et al (1994). Cancer patterns and risk factors in the African population of southwestern Zimbabwe, 1963-1977. Cancer Epidemiology, Biomarkers &amp; Prevention, 3: 537-47.</w:t>
            </w:r>
          </w:p>
        </w:tc>
      </w:tr>
      <w:tr w:rsidR="00EF1E43" w:rsidRPr="00EF1E43" w14:paraId="4158A276" w14:textId="77777777" w:rsidTr="00CC61F1">
        <w:trPr>
          <w:cantSplit/>
        </w:trPr>
        <w:tc>
          <w:tcPr>
            <w:tcW w:w="1555" w:type="dxa"/>
            <w:shd w:val="clear" w:color="auto" w:fill="FFFFFF" w:themeFill="background1"/>
            <w:noWrap/>
            <w:vAlign w:val="center"/>
            <w:hideMark/>
          </w:tcPr>
          <w:p w14:paraId="12D7071E" w14:textId="77777777" w:rsidR="00FF0F9B" w:rsidRPr="00EF1E43" w:rsidRDefault="00FF0F9B" w:rsidP="00374F41">
            <w:pPr>
              <w:jc w:val="center"/>
              <w:rPr>
                <w:sz w:val="24"/>
              </w:rPr>
            </w:pPr>
            <w:r w:rsidRPr="00EF1E43">
              <w:rPr>
                <w:sz w:val="24"/>
              </w:rPr>
              <w:t>36985</w:t>
            </w:r>
          </w:p>
        </w:tc>
        <w:tc>
          <w:tcPr>
            <w:tcW w:w="7371" w:type="dxa"/>
            <w:shd w:val="clear" w:color="auto" w:fill="FFFFFF" w:themeFill="background1"/>
            <w:vAlign w:val="center"/>
            <w:hideMark/>
          </w:tcPr>
          <w:p w14:paraId="5E38BA86" w14:textId="77777777" w:rsidR="00FF0F9B" w:rsidRPr="00EF1E43" w:rsidRDefault="00FF0F9B" w:rsidP="00374F41">
            <w:pPr>
              <w:rPr>
                <w:sz w:val="24"/>
              </w:rPr>
            </w:pPr>
            <w:r w:rsidRPr="00EF1E43">
              <w:rPr>
                <w:sz w:val="24"/>
              </w:rPr>
              <w:t>Patel AV, Calle EE, Bernstein L, et al (2003). Recreational physical activity and risk of postmenopausal breast cancer in a large cohort of US women. Cancer Causes &amp; Control, 14(14): 519-529.</w:t>
            </w:r>
          </w:p>
        </w:tc>
      </w:tr>
      <w:tr w:rsidR="00EF1E43" w:rsidRPr="00EF1E43" w14:paraId="40F8920D" w14:textId="77777777" w:rsidTr="00CC61F1">
        <w:trPr>
          <w:cantSplit/>
        </w:trPr>
        <w:tc>
          <w:tcPr>
            <w:tcW w:w="1555" w:type="dxa"/>
            <w:shd w:val="clear" w:color="auto" w:fill="FFFFFF" w:themeFill="background1"/>
            <w:noWrap/>
            <w:vAlign w:val="center"/>
            <w:hideMark/>
          </w:tcPr>
          <w:p w14:paraId="005D6568" w14:textId="77777777" w:rsidR="00FF0F9B" w:rsidRPr="00EF1E43" w:rsidRDefault="00FF0F9B" w:rsidP="00374F41">
            <w:pPr>
              <w:jc w:val="center"/>
              <w:rPr>
                <w:sz w:val="24"/>
              </w:rPr>
            </w:pPr>
            <w:r w:rsidRPr="00EF1E43">
              <w:rPr>
                <w:sz w:val="24"/>
              </w:rPr>
              <w:t>37126</w:t>
            </w:r>
          </w:p>
        </w:tc>
        <w:tc>
          <w:tcPr>
            <w:tcW w:w="7371" w:type="dxa"/>
            <w:shd w:val="clear" w:color="auto" w:fill="FFFFFF" w:themeFill="background1"/>
            <w:vAlign w:val="center"/>
            <w:hideMark/>
          </w:tcPr>
          <w:p w14:paraId="1A0806C6" w14:textId="77777777" w:rsidR="00FF0F9B" w:rsidRPr="00EF1E43" w:rsidRDefault="00FF0F9B" w:rsidP="00374F41">
            <w:pPr>
              <w:rPr>
                <w:sz w:val="24"/>
              </w:rPr>
            </w:pPr>
            <w:r w:rsidRPr="00EF1E43">
              <w:rPr>
                <w:sz w:val="24"/>
              </w:rPr>
              <w:t>Patel AV, Press MF, Meeske K, et al (2003). Lifetime recreational exercise activity and risk of breast carcinoma in situ. Cancer, 98(10): 2161-9.</w:t>
            </w:r>
          </w:p>
        </w:tc>
      </w:tr>
      <w:tr w:rsidR="00EF1E43" w:rsidRPr="00EF1E43" w14:paraId="1BF333B5" w14:textId="77777777" w:rsidTr="00CC61F1">
        <w:trPr>
          <w:cantSplit/>
        </w:trPr>
        <w:tc>
          <w:tcPr>
            <w:tcW w:w="1555" w:type="dxa"/>
            <w:shd w:val="clear" w:color="auto" w:fill="FFFFFF" w:themeFill="background1"/>
            <w:noWrap/>
            <w:vAlign w:val="center"/>
            <w:hideMark/>
          </w:tcPr>
          <w:p w14:paraId="1B07E6CE" w14:textId="77777777" w:rsidR="00FF0F9B" w:rsidRPr="00EF1E43" w:rsidRDefault="00FF0F9B" w:rsidP="00374F41">
            <w:pPr>
              <w:jc w:val="center"/>
              <w:rPr>
                <w:sz w:val="24"/>
              </w:rPr>
            </w:pPr>
            <w:r w:rsidRPr="00EF1E43">
              <w:rPr>
                <w:sz w:val="24"/>
              </w:rPr>
              <w:t>9242</w:t>
            </w:r>
          </w:p>
        </w:tc>
        <w:tc>
          <w:tcPr>
            <w:tcW w:w="7371" w:type="dxa"/>
            <w:shd w:val="clear" w:color="auto" w:fill="FFFFFF" w:themeFill="background1"/>
            <w:vAlign w:val="center"/>
            <w:hideMark/>
          </w:tcPr>
          <w:p w14:paraId="192E2FF9" w14:textId="77777777" w:rsidR="00FF0F9B" w:rsidRPr="00EF1E43" w:rsidRDefault="00FF0F9B" w:rsidP="00374F41">
            <w:pPr>
              <w:rPr>
                <w:sz w:val="24"/>
              </w:rPr>
            </w:pPr>
            <w:r w:rsidRPr="00EF1E43">
              <w:rPr>
                <w:sz w:val="24"/>
              </w:rPr>
              <w:t>Pathak DR, Speizer FE, Willett WC, et al (1986). Parity and breast cancer risk: possible effect on age at diagnosis. Int J Cancer, 37(1): 21-5.</w:t>
            </w:r>
          </w:p>
        </w:tc>
      </w:tr>
      <w:tr w:rsidR="00EF1E43" w:rsidRPr="00EF1E43" w14:paraId="594CB421" w14:textId="77777777" w:rsidTr="00CC61F1">
        <w:trPr>
          <w:cantSplit/>
        </w:trPr>
        <w:tc>
          <w:tcPr>
            <w:tcW w:w="1555" w:type="dxa"/>
            <w:shd w:val="clear" w:color="auto" w:fill="FFFFFF" w:themeFill="background1"/>
            <w:noWrap/>
            <w:vAlign w:val="center"/>
            <w:hideMark/>
          </w:tcPr>
          <w:p w14:paraId="5C136ED5" w14:textId="77777777" w:rsidR="00FF0F9B" w:rsidRPr="00EF1E43" w:rsidRDefault="00FF0F9B" w:rsidP="00374F41">
            <w:pPr>
              <w:jc w:val="center"/>
              <w:rPr>
                <w:sz w:val="24"/>
              </w:rPr>
            </w:pPr>
            <w:r w:rsidRPr="00EF1E43">
              <w:rPr>
                <w:sz w:val="24"/>
              </w:rPr>
              <w:t>9353</w:t>
            </w:r>
          </w:p>
        </w:tc>
        <w:tc>
          <w:tcPr>
            <w:tcW w:w="7371" w:type="dxa"/>
            <w:shd w:val="clear" w:color="auto" w:fill="FFFFFF" w:themeFill="background1"/>
            <w:vAlign w:val="center"/>
            <w:hideMark/>
          </w:tcPr>
          <w:p w14:paraId="708FD78A" w14:textId="77777777" w:rsidR="00FF0F9B" w:rsidRPr="00EF1E43" w:rsidRDefault="00FF0F9B" w:rsidP="00374F41">
            <w:pPr>
              <w:rPr>
                <w:sz w:val="24"/>
              </w:rPr>
            </w:pPr>
            <w:r w:rsidRPr="00EF1E43">
              <w:rPr>
                <w:sz w:val="24"/>
              </w:rPr>
              <w:t>Paul C, Skegg DC, Spears GF (1989). Depot medroxyprogesterone (Depo-Provera) and risk of breast cancer. BMJ, 299: 759-62.</w:t>
            </w:r>
          </w:p>
        </w:tc>
      </w:tr>
      <w:tr w:rsidR="00EF1E43" w:rsidRPr="00EF1E43" w14:paraId="667DB10B" w14:textId="77777777" w:rsidTr="00CC61F1">
        <w:trPr>
          <w:cantSplit/>
        </w:trPr>
        <w:tc>
          <w:tcPr>
            <w:tcW w:w="1555" w:type="dxa"/>
            <w:shd w:val="clear" w:color="auto" w:fill="FFFFFF" w:themeFill="background1"/>
            <w:noWrap/>
            <w:vAlign w:val="center"/>
            <w:hideMark/>
          </w:tcPr>
          <w:p w14:paraId="6EA73E83" w14:textId="77777777" w:rsidR="00FF0F9B" w:rsidRPr="00EF1E43" w:rsidRDefault="00FF0F9B" w:rsidP="00374F41">
            <w:pPr>
              <w:jc w:val="center"/>
              <w:rPr>
                <w:sz w:val="24"/>
              </w:rPr>
            </w:pPr>
            <w:r w:rsidRPr="00EF1E43">
              <w:rPr>
                <w:sz w:val="24"/>
              </w:rPr>
              <w:t>9243</w:t>
            </w:r>
          </w:p>
        </w:tc>
        <w:tc>
          <w:tcPr>
            <w:tcW w:w="7371" w:type="dxa"/>
            <w:shd w:val="clear" w:color="auto" w:fill="FFFFFF" w:themeFill="background1"/>
            <w:vAlign w:val="center"/>
            <w:hideMark/>
          </w:tcPr>
          <w:p w14:paraId="21161058" w14:textId="77777777" w:rsidR="00FF0F9B" w:rsidRPr="00EF1E43" w:rsidRDefault="00FF0F9B" w:rsidP="00374F41">
            <w:pPr>
              <w:rPr>
                <w:sz w:val="24"/>
              </w:rPr>
            </w:pPr>
            <w:r w:rsidRPr="00EF1E43">
              <w:rPr>
                <w:sz w:val="24"/>
              </w:rPr>
              <w:t>Pawlega J (1992). Breast cancer and smoking, vodka drinking and dietary habits: a case-control study. Acta Oncologica, 31(4): 387-92.</w:t>
            </w:r>
          </w:p>
        </w:tc>
      </w:tr>
      <w:tr w:rsidR="00EF1E43" w:rsidRPr="00EF1E43" w14:paraId="603EC669" w14:textId="77777777" w:rsidTr="00CC61F1">
        <w:trPr>
          <w:cantSplit/>
        </w:trPr>
        <w:tc>
          <w:tcPr>
            <w:tcW w:w="1555" w:type="dxa"/>
            <w:shd w:val="clear" w:color="auto" w:fill="FFFFFF" w:themeFill="background1"/>
            <w:noWrap/>
            <w:vAlign w:val="center"/>
            <w:hideMark/>
          </w:tcPr>
          <w:p w14:paraId="7EFDF239" w14:textId="77777777" w:rsidR="00FF0F9B" w:rsidRPr="00EF1E43" w:rsidRDefault="00FF0F9B" w:rsidP="00374F41">
            <w:pPr>
              <w:jc w:val="center"/>
              <w:rPr>
                <w:sz w:val="24"/>
              </w:rPr>
            </w:pPr>
            <w:r w:rsidRPr="00EF1E43">
              <w:rPr>
                <w:sz w:val="24"/>
              </w:rPr>
              <w:t>40524</w:t>
            </w:r>
          </w:p>
        </w:tc>
        <w:tc>
          <w:tcPr>
            <w:tcW w:w="7371" w:type="dxa"/>
            <w:shd w:val="clear" w:color="auto" w:fill="FFFFFF" w:themeFill="background1"/>
            <w:vAlign w:val="center"/>
            <w:hideMark/>
          </w:tcPr>
          <w:p w14:paraId="6F425EE1" w14:textId="77777777" w:rsidR="00FF0F9B" w:rsidRPr="00EF1E43" w:rsidRDefault="00FF0F9B" w:rsidP="00374F41">
            <w:pPr>
              <w:rPr>
                <w:sz w:val="24"/>
              </w:rPr>
            </w:pPr>
            <w:r w:rsidRPr="00EF1E43">
              <w:rPr>
                <w:sz w:val="24"/>
              </w:rPr>
              <w:t>Peacock SL, White E, Daling JR, et al (1999). Relation between obesity and breast cancer in young women. Am J Epidemiol, 149: 339-46.</w:t>
            </w:r>
          </w:p>
        </w:tc>
      </w:tr>
      <w:tr w:rsidR="00EF1E43" w:rsidRPr="00EF1E43" w14:paraId="711AE387" w14:textId="77777777" w:rsidTr="00CC61F1">
        <w:trPr>
          <w:cantSplit/>
        </w:trPr>
        <w:tc>
          <w:tcPr>
            <w:tcW w:w="1555" w:type="dxa"/>
            <w:shd w:val="clear" w:color="auto" w:fill="FFFFFF" w:themeFill="background1"/>
            <w:noWrap/>
            <w:vAlign w:val="center"/>
            <w:hideMark/>
          </w:tcPr>
          <w:p w14:paraId="634EA0E7" w14:textId="77777777" w:rsidR="00FF0F9B" w:rsidRPr="00EF1E43" w:rsidRDefault="00FF0F9B" w:rsidP="00374F41">
            <w:pPr>
              <w:jc w:val="center"/>
              <w:rPr>
                <w:sz w:val="24"/>
              </w:rPr>
            </w:pPr>
            <w:r w:rsidRPr="00EF1E43">
              <w:rPr>
                <w:sz w:val="24"/>
              </w:rPr>
              <w:t>77288</w:t>
            </w:r>
          </w:p>
        </w:tc>
        <w:tc>
          <w:tcPr>
            <w:tcW w:w="7371" w:type="dxa"/>
            <w:shd w:val="clear" w:color="auto" w:fill="FFFFFF" w:themeFill="background1"/>
            <w:vAlign w:val="center"/>
            <w:hideMark/>
          </w:tcPr>
          <w:p w14:paraId="5A7FBA4C" w14:textId="77777777" w:rsidR="00FF0F9B" w:rsidRPr="00EF1E43" w:rsidRDefault="00FF0F9B" w:rsidP="00374F41">
            <w:pPr>
              <w:rPr>
                <w:sz w:val="24"/>
              </w:rPr>
            </w:pPr>
            <w:r w:rsidRPr="00EF1E43">
              <w:rPr>
                <w:sz w:val="24"/>
              </w:rPr>
              <w:t>Peplonska B, Stewart P, Szeszenia-Dabrowska N, et al (2010). Occupational exposure to organic solvents and breast cancer in women. Occup Environ Health, 67(11): 722-9.</w:t>
            </w:r>
          </w:p>
        </w:tc>
      </w:tr>
      <w:tr w:rsidR="00EF1E43" w:rsidRPr="00EF1E43" w14:paraId="5177D6EE" w14:textId="77777777" w:rsidTr="00CC61F1">
        <w:trPr>
          <w:cantSplit/>
        </w:trPr>
        <w:tc>
          <w:tcPr>
            <w:tcW w:w="1555" w:type="dxa"/>
            <w:shd w:val="clear" w:color="auto" w:fill="FFFFFF" w:themeFill="background1"/>
            <w:noWrap/>
            <w:vAlign w:val="center"/>
            <w:hideMark/>
          </w:tcPr>
          <w:p w14:paraId="2F979DCB" w14:textId="77777777" w:rsidR="00FF0F9B" w:rsidRPr="00EF1E43" w:rsidRDefault="00FF0F9B" w:rsidP="00374F41">
            <w:pPr>
              <w:jc w:val="center"/>
              <w:rPr>
                <w:sz w:val="24"/>
              </w:rPr>
            </w:pPr>
            <w:r w:rsidRPr="00EF1E43">
              <w:rPr>
                <w:sz w:val="24"/>
              </w:rPr>
              <w:t>9244</w:t>
            </w:r>
          </w:p>
        </w:tc>
        <w:tc>
          <w:tcPr>
            <w:tcW w:w="7371" w:type="dxa"/>
            <w:shd w:val="clear" w:color="auto" w:fill="FFFFFF" w:themeFill="background1"/>
            <w:vAlign w:val="center"/>
            <w:hideMark/>
          </w:tcPr>
          <w:p w14:paraId="668D3003" w14:textId="77777777" w:rsidR="00FF0F9B" w:rsidRPr="00EF1E43" w:rsidRDefault="00FF0F9B" w:rsidP="00374F41">
            <w:pPr>
              <w:rPr>
                <w:sz w:val="24"/>
              </w:rPr>
            </w:pPr>
            <w:r w:rsidRPr="00EF1E43">
              <w:rPr>
                <w:sz w:val="24"/>
              </w:rPr>
              <w:t>Peters MH, Sonpal IM, Batra MK (1995). Breast cancer in women following mantle irradiation for Hodgkin's disease. Am Surg, 61: 763-6.</w:t>
            </w:r>
          </w:p>
        </w:tc>
      </w:tr>
      <w:tr w:rsidR="00EF1E43" w:rsidRPr="00EF1E43" w14:paraId="51B8929C" w14:textId="77777777" w:rsidTr="00CC61F1">
        <w:trPr>
          <w:cantSplit/>
        </w:trPr>
        <w:tc>
          <w:tcPr>
            <w:tcW w:w="1555" w:type="dxa"/>
            <w:shd w:val="clear" w:color="auto" w:fill="FFFFFF" w:themeFill="background1"/>
            <w:noWrap/>
            <w:vAlign w:val="center"/>
            <w:hideMark/>
          </w:tcPr>
          <w:p w14:paraId="7D7D3B41" w14:textId="77777777" w:rsidR="00FF0F9B" w:rsidRPr="00EF1E43" w:rsidRDefault="00FF0F9B" w:rsidP="00374F41">
            <w:pPr>
              <w:jc w:val="center"/>
              <w:rPr>
                <w:sz w:val="24"/>
              </w:rPr>
            </w:pPr>
            <w:r w:rsidRPr="00EF1E43">
              <w:rPr>
                <w:sz w:val="24"/>
              </w:rPr>
              <w:t>29935</w:t>
            </w:r>
          </w:p>
        </w:tc>
        <w:tc>
          <w:tcPr>
            <w:tcW w:w="7371" w:type="dxa"/>
            <w:shd w:val="clear" w:color="auto" w:fill="FFFFFF" w:themeFill="background1"/>
            <w:vAlign w:val="center"/>
            <w:hideMark/>
          </w:tcPr>
          <w:p w14:paraId="485721CD" w14:textId="77777777" w:rsidR="00FF0F9B" w:rsidRPr="00EF1E43" w:rsidRDefault="00FF0F9B" w:rsidP="00374F41">
            <w:pPr>
              <w:rPr>
                <w:sz w:val="24"/>
              </w:rPr>
            </w:pPr>
            <w:r w:rsidRPr="00EF1E43">
              <w:rPr>
                <w:sz w:val="24"/>
              </w:rPr>
              <w:t>Petralia SA, Vena JE, Freudenheim JL, et al (1999). Risk of premenopausal breast cancer in association with occupational exposure to polycyclic aromatic hydrocarbons and benzene. Scand J Work Environ Health, 25(3): 215-21.</w:t>
            </w:r>
          </w:p>
        </w:tc>
      </w:tr>
      <w:tr w:rsidR="00EF1E43" w:rsidRPr="00EF1E43" w14:paraId="0ECC5116" w14:textId="77777777" w:rsidTr="00CC61F1">
        <w:trPr>
          <w:cantSplit/>
        </w:trPr>
        <w:tc>
          <w:tcPr>
            <w:tcW w:w="1555" w:type="dxa"/>
            <w:shd w:val="clear" w:color="auto" w:fill="FFFFFF" w:themeFill="background1"/>
            <w:noWrap/>
            <w:vAlign w:val="center"/>
            <w:hideMark/>
          </w:tcPr>
          <w:p w14:paraId="30DD3C0C" w14:textId="77777777" w:rsidR="00FF0F9B" w:rsidRPr="00EF1E43" w:rsidRDefault="00FF0F9B" w:rsidP="00374F41">
            <w:pPr>
              <w:jc w:val="center"/>
              <w:rPr>
                <w:sz w:val="24"/>
              </w:rPr>
            </w:pPr>
            <w:r w:rsidRPr="00EF1E43">
              <w:rPr>
                <w:sz w:val="24"/>
              </w:rPr>
              <w:t>35637</w:t>
            </w:r>
          </w:p>
        </w:tc>
        <w:tc>
          <w:tcPr>
            <w:tcW w:w="7371" w:type="dxa"/>
            <w:shd w:val="clear" w:color="auto" w:fill="FFFFFF" w:themeFill="background1"/>
            <w:vAlign w:val="center"/>
            <w:hideMark/>
          </w:tcPr>
          <w:p w14:paraId="325555E0" w14:textId="77777777" w:rsidR="00FF0F9B" w:rsidRPr="00EF1E43" w:rsidRDefault="00FF0F9B" w:rsidP="00374F41">
            <w:pPr>
              <w:rPr>
                <w:sz w:val="24"/>
              </w:rPr>
            </w:pPr>
            <w:r w:rsidRPr="00EF1E43">
              <w:rPr>
                <w:sz w:val="24"/>
              </w:rPr>
              <w:t>Petri AL, Tjonneland A, Gamborg M, et al (2004). Alcohol intake, type of beverage and risk of breast cancer in pre- and postmenopausal women. Alcoholism: Clinical and Experimental Research, 28(7): 1084-90.</w:t>
            </w:r>
          </w:p>
        </w:tc>
      </w:tr>
      <w:tr w:rsidR="00EF1E43" w:rsidRPr="00EF1E43" w14:paraId="776B0DDA" w14:textId="77777777" w:rsidTr="00CC61F1">
        <w:trPr>
          <w:cantSplit/>
        </w:trPr>
        <w:tc>
          <w:tcPr>
            <w:tcW w:w="1555" w:type="dxa"/>
            <w:shd w:val="clear" w:color="auto" w:fill="FFFFFF" w:themeFill="background1"/>
            <w:noWrap/>
            <w:vAlign w:val="center"/>
            <w:hideMark/>
          </w:tcPr>
          <w:p w14:paraId="4F4F833F" w14:textId="77777777" w:rsidR="00FF0F9B" w:rsidRPr="00EF1E43" w:rsidRDefault="00FF0F9B" w:rsidP="00374F41">
            <w:pPr>
              <w:jc w:val="center"/>
              <w:rPr>
                <w:sz w:val="24"/>
              </w:rPr>
            </w:pPr>
            <w:r w:rsidRPr="00EF1E43">
              <w:rPr>
                <w:sz w:val="24"/>
              </w:rPr>
              <w:lastRenderedPageBreak/>
              <w:t>10272</w:t>
            </w:r>
          </w:p>
        </w:tc>
        <w:tc>
          <w:tcPr>
            <w:tcW w:w="7371" w:type="dxa"/>
            <w:shd w:val="clear" w:color="auto" w:fill="FFFFFF" w:themeFill="background1"/>
            <w:vAlign w:val="center"/>
            <w:hideMark/>
          </w:tcPr>
          <w:p w14:paraId="386AE1F4" w14:textId="77777777" w:rsidR="00FF0F9B" w:rsidRPr="00EF1E43" w:rsidRDefault="00FF0F9B" w:rsidP="00374F41">
            <w:pPr>
              <w:rPr>
                <w:sz w:val="24"/>
              </w:rPr>
            </w:pPr>
            <w:r w:rsidRPr="00EF1E43">
              <w:rPr>
                <w:sz w:val="24"/>
              </w:rPr>
              <w:t>Pidcock NB, Cooper EH, Al-Aaser A, et al (1984). Immunoglobulin A, G &amp; E levels in Egyptians with cancer: influence of schistosomiasis. International Journal of Cancer, 33: 771-5.</w:t>
            </w:r>
          </w:p>
        </w:tc>
      </w:tr>
      <w:tr w:rsidR="00EF1E43" w:rsidRPr="00EF1E43" w14:paraId="488AF3A8" w14:textId="77777777" w:rsidTr="00CC61F1">
        <w:trPr>
          <w:cantSplit/>
        </w:trPr>
        <w:tc>
          <w:tcPr>
            <w:tcW w:w="1555" w:type="dxa"/>
            <w:shd w:val="clear" w:color="auto" w:fill="FFFFFF" w:themeFill="background1"/>
            <w:noWrap/>
            <w:vAlign w:val="center"/>
            <w:hideMark/>
          </w:tcPr>
          <w:p w14:paraId="60FF5795" w14:textId="77777777" w:rsidR="00FF0F9B" w:rsidRPr="00EF1E43" w:rsidRDefault="00FF0F9B" w:rsidP="00374F41">
            <w:pPr>
              <w:jc w:val="center"/>
              <w:rPr>
                <w:sz w:val="24"/>
              </w:rPr>
            </w:pPr>
            <w:r w:rsidRPr="00EF1E43">
              <w:rPr>
                <w:sz w:val="24"/>
              </w:rPr>
              <w:t>16850</w:t>
            </w:r>
          </w:p>
        </w:tc>
        <w:tc>
          <w:tcPr>
            <w:tcW w:w="7371" w:type="dxa"/>
            <w:shd w:val="clear" w:color="auto" w:fill="FFFFFF" w:themeFill="background1"/>
            <w:vAlign w:val="center"/>
            <w:hideMark/>
          </w:tcPr>
          <w:p w14:paraId="3ECFE4D7" w14:textId="77777777" w:rsidR="00FF0F9B" w:rsidRPr="00EF1E43" w:rsidRDefault="00FF0F9B" w:rsidP="00374F41">
            <w:pPr>
              <w:rPr>
                <w:sz w:val="24"/>
              </w:rPr>
            </w:pPr>
            <w:r w:rsidRPr="00EF1E43">
              <w:rPr>
                <w:sz w:val="24"/>
              </w:rPr>
              <w:t>Pierce DA, Shimizu Y, Preston DL, et al (1996). Studies of the mortality of atomic bomb survivors. Report 12. Part 1. Cancer: 1950-1990. Radiat Res, 146(1): 1-27.</w:t>
            </w:r>
          </w:p>
        </w:tc>
      </w:tr>
      <w:tr w:rsidR="00EF1E43" w:rsidRPr="00EF1E43" w14:paraId="7E8C1E6E" w14:textId="77777777" w:rsidTr="00CC61F1">
        <w:trPr>
          <w:cantSplit/>
        </w:trPr>
        <w:tc>
          <w:tcPr>
            <w:tcW w:w="1555" w:type="dxa"/>
            <w:shd w:val="clear" w:color="auto" w:fill="FFFFFF" w:themeFill="background1"/>
            <w:noWrap/>
            <w:vAlign w:val="center"/>
            <w:hideMark/>
          </w:tcPr>
          <w:p w14:paraId="15B24EEC" w14:textId="77777777" w:rsidR="00FF0F9B" w:rsidRPr="00EF1E43" w:rsidRDefault="00FF0F9B" w:rsidP="00374F41">
            <w:pPr>
              <w:jc w:val="center"/>
              <w:rPr>
                <w:sz w:val="24"/>
              </w:rPr>
            </w:pPr>
            <w:r w:rsidRPr="00EF1E43">
              <w:rPr>
                <w:sz w:val="24"/>
              </w:rPr>
              <w:t>70819</w:t>
            </w:r>
          </w:p>
        </w:tc>
        <w:tc>
          <w:tcPr>
            <w:tcW w:w="7371" w:type="dxa"/>
            <w:shd w:val="clear" w:color="auto" w:fill="FFFFFF" w:themeFill="background1"/>
            <w:vAlign w:val="center"/>
            <w:hideMark/>
          </w:tcPr>
          <w:p w14:paraId="748A73DF" w14:textId="77777777" w:rsidR="00FF0F9B" w:rsidRPr="00EF1E43" w:rsidRDefault="00FF0F9B" w:rsidP="00374F41">
            <w:pPr>
              <w:rPr>
                <w:sz w:val="24"/>
              </w:rPr>
            </w:pPr>
            <w:r w:rsidRPr="00EF1E43">
              <w:rPr>
                <w:sz w:val="24"/>
              </w:rPr>
              <w:t>Pirie K, Peto R, Reeves GK, et al (2013). The 21st century hazards of smoking and benefits of stopping: a prospective study of one million women in the UK. Lancet, 381(9861): 133-41.</w:t>
            </w:r>
          </w:p>
        </w:tc>
      </w:tr>
      <w:tr w:rsidR="00EF1E43" w:rsidRPr="00EF1E43" w14:paraId="5510C2E8" w14:textId="77777777" w:rsidTr="00CC61F1">
        <w:trPr>
          <w:cantSplit/>
        </w:trPr>
        <w:tc>
          <w:tcPr>
            <w:tcW w:w="1555" w:type="dxa"/>
            <w:shd w:val="clear" w:color="auto" w:fill="FFFFFF" w:themeFill="background1"/>
            <w:noWrap/>
            <w:vAlign w:val="center"/>
            <w:hideMark/>
          </w:tcPr>
          <w:p w14:paraId="60785BDE" w14:textId="77777777" w:rsidR="00FF0F9B" w:rsidRPr="00EF1E43" w:rsidRDefault="00FF0F9B" w:rsidP="00374F41">
            <w:pPr>
              <w:jc w:val="center"/>
              <w:rPr>
                <w:sz w:val="24"/>
              </w:rPr>
            </w:pPr>
            <w:r w:rsidRPr="00EF1E43">
              <w:rPr>
                <w:sz w:val="24"/>
              </w:rPr>
              <w:t>100813</w:t>
            </w:r>
          </w:p>
        </w:tc>
        <w:tc>
          <w:tcPr>
            <w:tcW w:w="7371" w:type="dxa"/>
            <w:shd w:val="clear" w:color="auto" w:fill="FFFFFF" w:themeFill="background1"/>
            <w:vAlign w:val="center"/>
            <w:hideMark/>
          </w:tcPr>
          <w:p w14:paraId="046941DF" w14:textId="77777777" w:rsidR="00FF0F9B" w:rsidRPr="00EF1E43" w:rsidRDefault="00FF0F9B" w:rsidP="00374F41">
            <w:pPr>
              <w:rPr>
                <w:sz w:val="24"/>
              </w:rPr>
            </w:pPr>
            <w:r w:rsidRPr="00EF1E43">
              <w:rPr>
                <w:sz w:val="24"/>
              </w:rPr>
              <w:t>Poosari A, Promthet S, Kamsa-ard S, et al (2014). Hormonal contraceptive use and breast cancer in Thai women. J Epidemiol, 24(3): 216-20.</w:t>
            </w:r>
          </w:p>
        </w:tc>
      </w:tr>
      <w:tr w:rsidR="00EF1E43" w:rsidRPr="00EF1E43" w14:paraId="3C84911E" w14:textId="77777777" w:rsidTr="00CC61F1">
        <w:trPr>
          <w:cantSplit/>
        </w:trPr>
        <w:tc>
          <w:tcPr>
            <w:tcW w:w="1555" w:type="dxa"/>
            <w:shd w:val="clear" w:color="auto" w:fill="FFFFFF" w:themeFill="background1"/>
            <w:noWrap/>
            <w:vAlign w:val="center"/>
            <w:hideMark/>
          </w:tcPr>
          <w:p w14:paraId="7F120F46" w14:textId="77777777" w:rsidR="00FF0F9B" w:rsidRPr="00EF1E43" w:rsidRDefault="00FF0F9B" w:rsidP="00374F41">
            <w:pPr>
              <w:jc w:val="center"/>
              <w:rPr>
                <w:sz w:val="24"/>
              </w:rPr>
            </w:pPr>
            <w:r w:rsidRPr="00EF1E43">
              <w:rPr>
                <w:sz w:val="24"/>
              </w:rPr>
              <w:t>38259</w:t>
            </w:r>
          </w:p>
        </w:tc>
        <w:tc>
          <w:tcPr>
            <w:tcW w:w="7371" w:type="dxa"/>
            <w:shd w:val="clear" w:color="auto" w:fill="FFFFFF" w:themeFill="background1"/>
            <w:vAlign w:val="center"/>
            <w:hideMark/>
          </w:tcPr>
          <w:p w14:paraId="72E0FE31" w14:textId="77777777" w:rsidR="00FF0F9B" w:rsidRPr="00EF1E43" w:rsidRDefault="00FF0F9B" w:rsidP="00374F41">
            <w:pPr>
              <w:rPr>
                <w:sz w:val="24"/>
              </w:rPr>
            </w:pPr>
            <w:r w:rsidRPr="00EF1E43">
              <w:rPr>
                <w:sz w:val="24"/>
              </w:rPr>
              <w:t>Prentice RL, Caan B, Chlebowski RT, et al (2006). Low-fat dietary pattern and risk of invasive breast cancer. The women's health initiative randomized controlled dietary modification trial. JAMA, 295(6): 629-642.</w:t>
            </w:r>
          </w:p>
        </w:tc>
      </w:tr>
      <w:tr w:rsidR="00EF1E43" w:rsidRPr="00EF1E43" w14:paraId="1E08A0A3" w14:textId="77777777" w:rsidTr="00CC61F1">
        <w:trPr>
          <w:cantSplit/>
        </w:trPr>
        <w:tc>
          <w:tcPr>
            <w:tcW w:w="1555" w:type="dxa"/>
            <w:shd w:val="clear" w:color="auto" w:fill="FFFFFF" w:themeFill="background1"/>
            <w:noWrap/>
            <w:vAlign w:val="center"/>
            <w:hideMark/>
          </w:tcPr>
          <w:p w14:paraId="44BFF45B" w14:textId="77777777" w:rsidR="00FF0F9B" w:rsidRPr="00EF1E43" w:rsidRDefault="00FF0F9B" w:rsidP="00374F41">
            <w:pPr>
              <w:jc w:val="center"/>
              <w:rPr>
                <w:sz w:val="24"/>
              </w:rPr>
            </w:pPr>
            <w:r w:rsidRPr="00EF1E43">
              <w:rPr>
                <w:sz w:val="24"/>
              </w:rPr>
              <w:t>35580</w:t>
            </w:r>
          </w:p>
        </w:tc>
        <w:tc>
          <w:tcPr>
            <w:tcW w:w="7371" w:type="dxa"/>
            <w:shd w:val="clear" w:color="auto" w:fill="FFFFFF" w:themeFill="background1"/>
            <w:vAlign w:val="center"/>
            <w:hideMark/>
          </w:tcPr>
          <w:p w14:paraId="130E1357" w14:textId="77777777" w:rsidR="00FF0F9B" w:rsidRPr="00EF1E43" w:rsidRDefault="00FF0F9B" w:rsidP="00374F41">
            <w:pPr>
              <w:rPr>
                <w:sz w:val="24"/>
              </w:rPr>
            </w:pPr>
            <w:r w:rsidRPr="00EF1E43">
              <w:rPr>
                <w:sz w:val="24"/>
              </w:rPr>
              <w:t>Preston DL, Mattsson A, Holmberg E, et al (2002). Radiation effects on breast cancer risk: a pooled analysis of eight cohorts. Radiation Research, 158: 220-35.</w:t>
            </w:r>
          </w:p>
        </w:tc>
      </w:tr>
      <w:tr w:rsidR="00EF1E43" w:rsidRPr="00EF1E43" w14:paraId="4E216EAF" w14:textId="77777777" w:rsidTr="00CC61F1">
        <w:trPr>
          <w:cantSplit/>
        </w:trPr>
        <w:tc>
          <w:tcPr>
            <w:tcW w:w="1555" w:type="dxa"/>
            <w:shd w:val="clear" w:color="auto" w:fill="FFFFFF" w:themeFill="background1"/>
            <w:noWrap/>
            <w:vAlign w:val="center"/>
            <w:hideMark/>
          </w:tcPr>
          <w:p w14:paraId="4C075140" w14:textId="77777777" w:rsidR="00FF0F9B" w:rsidRPr="00EF1E43" w:rsidRDefault="00FF0F9B" w:rsidP="00374F41">
            <w:pPr>
              <w:jc w:val="center"/>
              <w:rPr>
                <w:sz w:val="24"/>
              </w:rPr>
            </w:pPr>
            <w:r w:rsidRPr="00EF1E43">
              <w:rPr>
                <w:sz w:val="24"/>
              </w:rPr>
              <w:t>45968</w:t>
            </w:r>
          </w:p>
        </w:tc>
        <w:tc>
          <w:tcPr>
            <w:tcW w:w="7371" w:type="dxa"/>
            <w:shd w:val="clear" w:color="auto" w:fill="FFFFFF" w:themeFill="background1"/>
            <w:vAlign w:val="center"/>
            <w:hideMark/>
          </w:tcPr>
          <w:p w14:paraId="4FC4DB64" w14:textId="77777777" w:rsidR="00FF0F9B" w:rsidRPr="00EF1E43" w:rsidRDefault="00FF0F9B" w:rsidP="00374F41">
            <w:pPr>
              <w:rPr>
                <w:sz w:val="24"/>
              </w:rPr>
            </w:pPr>
            <w:r w:rsidRPr="00EF1E43">
              <w:rPr>
                <w:sz w:val="24"/>
              </w:rPr>
              <w:t>Preston DL, Ron E, Tokuoka S, et al (2007). Solid cancer incidence in atomic bomb survivors: 1958-1998. Radiat Res, 168(1): 1-64.</w:t>
            </w:r>
          </w:p>
        </w:tc>
      </w:tr>
      <w:tr w:rsidR="00EF1E43" w:rsidRPr="00EF1E43" w14:paraId="7D2A9730" w14:textId="77777777" w:rsidTr="00CC61F1">
        <w:trPr>
          <w:cantSplit/>
        </w:trPr>
        <w:tc>
          <w:tcPr>
            <w:tcW w:w="1555" w:type="dxa"/>
            <w:shd w:val="clear" w:color="auto" w:fill="FFFFFF" w:themeFill="background1"/>
            <w:noWrap/>
            <w:vAlign w:val="center"/>
            <w:hideMark/>
          </w:tcPr>
          <w:p w14:paraId="73A003DE" w14:textId="77777777" w:rsidR="00FF0F9B" w:rsidRPr="00EF1E43" w:rsidRDefault="00FF0F9B" w:rsidP="00374F41">
            <w:pPr>
              <w:jc w:val="center"/>
              <w:rPr>
                <w:sz w:val="24"/>
              </w:rPr>
            </w:pPr>
            <w:r w:rsidRPr="00EF1E43">
              <w:rPr>
                <w:sz w:val="24"/>
              </w:rPr>
              <w:t>35442</w:t>
            </w:r>
          </w:p>
        </w:tc>
        <w:tc>
          <w:tcPr>
            <w:tcW w:w="7371" w:type="dxa"/>
            <w:shd w:val="clear" w:color="auto" w:fill="FFFFFF" w:themeFill="background1"/>
            <w:vAlign w:val="center"/>
            <w:hideMark/>
          </w:tcPr>
          <w:p w14:paraId="5CC142C0" w14:textId="77777777" w:rsidR="00FF0F9B" w:rsidRPr="00EF1E43" w:rsidRDefault="00FF0F9B" w:rsidP="00374F41">
            <w:pPr>
              <w:rPr>
                <w:sz w:val="24"/>
              </w:rPr>
            </w:pPr>
            <w:r w:rsidRPr="00EF1E43">
              <w:rPr>
                <w:sz w:val="24"/>
              </w:rPr>
              <w:t>Preston DL, Shimizu Y, Pierce DA, et al (2003). Studies of mortality of atomic bomb survivors. Report 13: Solid cancer and noncancer disease mortality: 1950-1997. Radiat Res, 160(4): 381-407.</w:t>
            </w:r>
          </w:p>
        </w:tc>
      </w:tr>
      <w:tr w:rsidR="00EF1E43" w:rsidRPr="00EF1E43" w14:paraId="51F0ECCD" w14:textId="77777777" w:rsidTr="00CC61F1">
        <w:trPr>
          <w:cantSplit/>
        </w:trPr>
        <w:tc>
          <w:tcPr>
            <w:tcW w:w="1555" w:type="dxa"/>
            <w:shd w:val="clear" w:color="auto" w:fill="FFFFFF" w:themeFill="background1"/>
            <w:noWrap/>
            <w:vAlign w:val="center"/>
            <w:hideMark/>
          </w:tcPr>
          <w:p w14:paraId="65F70BAA" w14:textId="77777777" w:rsidR="00FF0F9B" w:rsidRPr="00EF1E43" w:rsidRDefault="00FF0F9B" w:rsidP="00374F41">
            <w:pPr>
              <w:jc w:val="center"/>
              <w:rPr>
                <w:sz w:val="24"/>
              </w:rPr>
            </w:pPr>
            <w:r w:rsidRPr="00EF1E43">
              <w:rPr>
                <w:sz w:val="24"/>
              </w:rPr>
              <w:t>9245</w:t>
            </w:r>
          </w:p>
        </w:tc>
        <w:tc>
          <w:tcPr>
            <w:tcW w:w="7371" w:type="dxa"/>
            <w:shd w:val="clear" w:color="auto" w:fill="FFFFFF" w:themeFill="background1"/>
            <w:vAlign w:val="center"/>
            <w:hideMark/>
          </w:tcPr>
          <w:p w14:paraId="51876315" w14:textId="77777777" w:rsidR="00FF0F9B" w:rsidRPr="00EF1E43" w:rsidRDefault="00FF0F9B" w:rsidP="00374F41">
            <w:pPr>
              <w:rPr>
                <w:sz w:val="24"/>
              </w:rPr>
            </w:pPr>
            <w:r w:rsidRPr="00EF1E43">
              <w:rPr>
                <w:sz w:val="24"/>
              </w:rPr>
              <w:t>Pukkala E, Auvinen A, Wahlberg G (1995). Incidence of cancer among Finnish airline cabin attendant, 1967-92. BMJ, 311: 649-52.</w:t>
            </w:r>
          </w:p>
        </w:tc>
      </w:tr>
      <w:tr w:rsidR="00EF1E43" w:rsidRPr="00EF1E43" w14:paraId="4BE361C9" w14:textId="77777777" w:rsidTr="00CC61F1">
        <w:trPr>
          <w:cantSplit/>
        </w:trPr>
        <w:tc>
          <w:tcPr>
            <w:tcW w:w="1555" w:type="dxa"/>
            <w:shd w:val="clear" w:color="auto" w:fill="FFFFFF" w:themeFill="background1"/>
            <w:noWrap/>
            <w:vAlign w:val="center"/>
            <w:hideMark/>
          </w:tcPr>
          <w:p w14:paraId="22B95BF3" w14:textId="77777777" w:rsidR="00FF0F9B" w:rsidRPr="00EF1E43" w:rsidRDefault="00FF0F9B" w:rsidP="00374F41">
            <w:pPr>
              <w:jc w:val="center"/>
              <w:rPr>
                <w:sz w:val="24"/>
              </w:rPr>
            </w:pPr>
            <w:r w:rsidRPr="00EF1E43">
              <w:rPr>
                <w:sz w:val="24"/>
              </w:rPr>
              <w:t>71064</w:t>
            </w:r>
          </w:p>
        </w:tc>
        <w:tc>
          <w:tcPr>
            <w:tcW w:w="7371" w:type="dxa"/>
            <w:shd w:val="clear" w:color="auto" w:fill="FFFFFF" w:themeFill="background1"/>
            <w:vAlign w:val="center"/>
            <w:hideMark/>
          </w:tcPr>
          <w:p w14:paraId="3C094D33" w14:textId="77777777" w:rsidR="00FF0F9B" w:rsidRPr="00EF1E43" w:rsidRDefault="00FF0F9B" w:rsidP="00374F41">
            <w:pPr>
              <w:rPr>
                <w:sz w:val="24"/>
              </w:rPr>
            </w:pPr>
            <w:r w:rsidRPr="00EF1E43">
              <w:rPr>
                <w:sz w:val="24"/>
              </w:rPr>
              <w:t>Pukkala E, Martinsen JI, Weiderpass E, et al (2014). Cancer incidence among firefighters: 45 years of follow-up in five Nordic countries. Occup Environ Med, 71(6): 398-404.</w:t>
            </w:r>
          </w:p>
        </w:tc>
      </w:tr>
      <w:tr w:rsidR="00EF1E43" w:rsidRPr="00EF1E43" w14:paraId="1B7FC61E" w14:textId="77777777" w:rsidTr="00CC61F1">
        <w:trPr>
          <w:cantSplit/>
        </w:trPr>
        <w:tc>
          <w:tcPr>
            <w:tcW w:w="1555" w:type="dxa"/>
            <w:shd w:val="clear" w:color="auto" w:fill="FFFFFF" w:themeFill="background1"/>
            <w:noWrap/>
            <w:vAlign w:val="center"/>
            <w:hideMark/>
          </w:tcPr>
          <w:p w14:paraId="6D2B4810" w14:textId="77777777" w:rsidR="00FF0F9B" w:rsidRPr="00EF1E43" w:rsidRDefault="00FF0F9B" w:rsidP="00374F41">
            <w:pPr>
              <w:jc w:val="center"/>
              <w:rPr>
                <w:sz w:val="24"/>
              </w:rPr>
            </w:pPr>
            <w:r w:rsidRPr="00EF1E43">
              <w:rPr>
                <w:sz w:val="24"/>
              </w:rPr>
              <w:t>58630</w:t>
            </w:r>
          </w:p>
        </w:tc>
        <w:tc>
          <w:tcPr>
            <w:tcW w:w="7371" w:type="dxa"/>
            <w:shd w:val="clear" w:color="auto" w:fill="FFFFFF" w:themeFill="background1"/>
            <w:vAlign w:val="center"/>
            <w:hideMark/>
          </w:tcPr>
          <w:p w14:paraId="30788B2B" w14:textId="77777777" w:rsidR="00FF0F9B" w:rsidRPr="00EF1E43" w:rsidRDefault="00FF0F9B" w:rsidP="00374F41">
            <w:pPr>
              <w:rPr>
                <w:sz w:val="24"/>
              </w:rPr>
            </w:pPr>
            <w:r w:rsidRPr="00EF1E43">
              <w:rPr>
                <w:sz w:val="24"/>
              </w:rPr>
              <w:t>Raabe OG (2010). Concerning the health effects of internally deposited radionuclides. Health Phys, 98(3): 515-36.</w:t>
            </w:r>
          </w:p>
        </w:tc>
      </w:tr>
      <w:tr w:rsidR="00EF1E43" w:rsidRPr="00EF1E43" w14:paraId="5DD03425" w14:textId="77777777" w:rsidTr="00CC61F1">
        <w:trPr>
          <w:cantSplit/>
        </w:trPr>
        <w:tc>
          <w:tcPr>
            <w:tcW w:w="1555" w:type="dxa"/>
            <w:shd w:val="clear" w:color="auto" w:fill="FFFFFF" w:themeFill="background1"/>
            <w:noWrap/>
            <w:vAlign w:val="center"/>
            <w:hideMark/>
          </w:tcPr>
          <w:p w14:paraId="0FE02A0B" w14:textId="77777777" w:rsidR="00FF0F9B" w:rsidRPr="00EF1E43" w:rsidRDefault="00FF0F9B" w:rsidP="00374F41">
            <w:pPr>
              <w:jc w:val="center"/>
              <w:rPr>
                <w:sz w:val="24"/>
              </w:rPr>
            </w:pPr>
            <w:r w:rsidRPr="00EF1E43">
              <w:rPr>
                <w:sz w:val="24"/>
              </w:rPr>
              <w:t>80733</w:t>
            </w:r>
          </w:p>
        </w:tc>
        <w:tc>
          <w:tcPr>
            <w:tcW w:w="7371" w:type="dxa"/>
            <w:shd w:val="clear" w:color="auto" w:fill="FFFFFF" w:themeFill="background1"/>
            <w:vAlign w:val="center"/>
            <w:hideMark/>
          </w:tcPr>
          <w:p w14:paraId="25B9A3DE" w14:textId="77777777" w:rsidR="00FF0F9B" w:rsidRPr="00EF1E43" w:rsidRDefault="00FF0F9B" w:rsidP="00374F41">
            <w:pPr>
              <w:rPr>
                <w:sz w:val="24"/>
              </w:rPr>
            </w:pPr>
            <w:r w:rsidRPr="00EF1E43">
              <w:rPr>
                <w:sz w:val="24"/>
              </w:rPr>
              <w:t>Radiation Effects Research Foundation (2007). Frequently asked questions. Retrieved 6 February 2017, from http://www.rerf.jp/general/qa_e/qa12.html</w:t>
            </w:r>
          </w:p>
        </w:tc>
      </w:tr>
      <w:tr w:rsidR="00EF1E43" w:rsidRPr="00EF1E43" w14:paraId="046824D0" w14:textId="77777777" w:rsidTr="00CC61F1">
        <w:trPr>
          <w:cantSplit/>
        </w:trPr>
        <w:tc>
          <w:tcPr>
            <w:tcW w:w="1555" w:type="dxa"/>
            <w:shd w:val="clear" w:color="auto" w:fill="FFFFFF" w:themeFill="background1"/>
            <w:noWrap/>
            <w:vAlign w:val="center"/>
            <w:hideMark/>
          </w:tcPr>
          <w:p w14:paraId="176D47A3" w14:textId="77777777" w:rsidR="00FF0F9B" w:rsidRPr="00EF1E43" w:rsidRDefault="00FF0F9B" w:rsidP="00374F41">
            <w:pPr>
              <w:jc w:val="center"/>
              <w:rPr>
                <w:sz w:val="24"/>
              </w:rPr>
            </w:pPr>
            <w:r w:rsidRPr="00EF1E43">
              <w:rPr>
                <w:sz w:val="24"/>
              </w:rPr>
              <w:t>55725</w:t>
            </w:r>
          </w:p>
        </w:tc>
        <w:tc>
          <w:tcPr>
            <w:tcW w:w="7371" w:type="dxa"/>
            <w:shd w:val="clear" w:color="auto" w:fill="FFFFFF" w:themeFill="background1"/>
            <w:vAlign w:val="center"/>
            <w:hideMark/>
          </w:tcPr>
          <w:p w14:paraId="5661E3AC" w14:textId="77777777" w:rsidR="00FF0F9B" w:rsidRPr="00EF1E43" w:rsidRDefault="00FF0F9B" w:rsidP="00374F41">
            <w:pPr>
              <w:rPr>
                <w:sz w:val="24"/>
              </w:rPr>
            </w:pPr>
            <w:r w:rsidRPr="00EF1E43">
              <w:rPr>
                <w:sz w:val="24"/>
              </w:rPr>
              <w:t>Radican L, Blair A, Stewart P, et al (2008). Mortality of aircraft maintenance workers exposed to trichloroethylene and other hydrocarbons and chemicals: extended follow-up. J Occup Environ Med, 50(11): 1306-19.</w:t>
            </w:r>
          </w:p>
        </w:tc>
      </w:tr>
      <w:tr w:rsidR="00EF1E43" w:rsidRPr="00EF1E43" w14:paraId="2D7FECB8" w14:textId="77777777" w:rsidTr="00CC61F1">
        <w:trPr>
          <w:cantSplit/>
        </w:trPr>
        <w:tc>
          <w:tcPr>
            <w:tcW w:w="1555" w:type="dxa"/>
            <w:shd w:val="clear" w:color="auto" w:fill="FFFFFF" w:themeFill="background1"/>
            <w:noWrap/>
            <w:vAlign w:val="center"/>
            <w:hideMark/>
          </w:tcPr>
          <w:p w14:paraId="2A59058C" w14:textId="77777777" w:rsidR="00FF0F9B" w:rsidRPr="00EF1E43" w:rsidRDefault="00FF0F9B" w:rsidP="00374F41">
            <w:pPr>
              <w:jc w:val="center"/>
              <w:rPr>
                <w:sz w:val="24"/>
              </w:rPr>
            </w:pPr>
            <w:r w:rsidRPr="00EF1E43">
              <w:rPr>
                <w:sz w:val="24"/>
              </w:rPr>
              <w:t>9246</w:t>
            </w:r>
          </w:p>
        </w:tc>
        <w:tc>
          <w:tcPr>
            <w:tcW w:w="7371" w:type="dxa"/>
            <w:shd w:val="clear" w:color="auto" w:fill="FFFFFF" w:themeFill="background1"/>
            <w:vAlign w:val="center"/>
            <w:hideMark/>
          </w:tcPr>
          <w:p w14:paraId="3436985D" w14:textId="77777777" w:rsidR="00FF0F9B" w:rsidRPr="00EF1E43" w:rsidRDefault="00FF0F9B" w:rsidP="00374F41">
            <w:pPr>
              <w:rPr>
                <w:sz w:val="24"/>
              </w:rPr>
            </w:pPr>
            <w:r w:rsidRPr="00EF1E43">
              <w:rPr>
                <w:sz w:val="24"/>
              </w:rPr>
              <w:t>Radimer K, Siskind V, Bain C, et al (1993). Relation between anthropometric indicators and risk of breast cancer among Australian women. Am J Epidemiol, 138(2): 77-89.</w:t>
            </w:r>
          </w:p>
        </w:tc>
      </w:tr>
      <w:tr w:rsidR="00EF1E43" w:rsidRPr="00EF1E43" w14:paraId="79A6DB26" w14:textId="77777777" w:rsidTr="00CC61F1">
        <w:trPr>
          <w:cantSplit/>
        </w:trPr>
        <w:tc>
          <w:tcPr>
            <w:tcW w:w="1555" w:type="dxa"/>
            <w:shd w:val="clear" w:color="auto" w:fill="FFFFFF" w:themeFill="background1"/>
            <w:noWrap/>
            <w:vAlign w:val="center"/>
            <w:hideMark/>
          </w:tcPr>
          <w:p w14:paraId="1FA92CE2" w14:textId="77777777" w:rsidR="00FF0F9B" w:rsidRPr="00EF1E43" w:rsidRDefault="00FF0F9B" w:rsidP="00374F41">
            <w:pPr>
              <w:jc w:val="center"/>
              <w:rPr>
                <w:sz w:val="24"/>
              </w:rPr>
            </w:pPr>
            <w:r w:rsidRPr="00EF1E43">
              <w:rPr>
                <w:sz w:val="24"/>
              </w:rPr>
              <w:t>37099</w:t>
            </w:r>
          </w:p>
        </w:tc>
        <w:tc>
          <w:tcPr>
            <w:tcW w:w="7371" w:type="dxa"/>
            <w:shd w:val="clear" w:color="auto" w:fill="FFFFFF" w:themeFill="background1"/>
            <w:vAlign w:val="center"/>
            <w:hideMark/>
          </w:tcPr>
          <w:p w14:paraId="382B8C01" w14:textId="77777777" w:rsidR="00FF0F9B" w:rsidRPr="00EF1E43" w:rsidRDefault="00FF0F9B" w:rsidP="00374F41">
            <w:pPr>
              <w:rPr>
                <w:sz w:val="24"/>
              </w:rPr>
            </w:pPr>
            <w:r w:rsidRPr="00EF1E43">
              <w:rPr>
                <w:sz w:val="24"/>
              </w:rPr>
              <w:t>Radimer KL, Ballard-Barbash R, Miller JS, et al (2004). Weight change and the risk of late-onset breast cancer in the original Framingham cohort. Nutrition &amp; Cancer, 4991: 7-13.</w:t>
            </w:r>
          </w:p>
        </w:tc>
      </w:tr>
      <w:tr w:rsidR="00EF1E43" w:rsidRPr="00EF1E43" w14:paraId="5327C5C7" w14:textId="77777777" w:rsidTr="00CC61F1">
        <w:trPr>
          <w:cantSplit/>
        </w:trPr>
        <w:tc>
          <w:tcPr>
            <w:tcW w:w="1555" w:type="dxa"/>
            <w:shd w:val="clear" w:color="auto" w:fill="FFFFFF" w:themeFill="background1"/>
            <w:noWrap/>
            <w:vAlign w:val="center"/>
            <w:hideMark/>
          </w:tcPr>
          <w:p w14:paraId="11324A60" w14:textId="77777777" w:rsidR="00FF0F9B" w:rsidRPr="00EF1E43" w:rsidRDefault="00FF0F9B" w:rsidP="00374F41">
            <w:pPr>
              <w:jc w:val="center"/>
              <w:rPr>
                <w:sz w:val="24"/>
              </w:rPr>
            </w:pPr>
            <w:r w:rsidRPr="00EF1E43">
              <w:rPr>
                <w:sz w:val="24"/>
              </w:rPr>
              <w:t>71672</w:t>
            </w:r>
          </w:p>
        </w:tc>
        <w:tc>
          <w:tcPr>
            <w:tcW w:w="7371" w:type="dxa"/>
            <w:shd w:val="clear" w:color="auto" w:fill="FFFFFF" w:themeFill="background1"/>
            <w:vAlign w:val="center"/>
            <w:hideMark/>
          </w:tcPr>
          <w:p w14:paraId="515C0B3B" w14:textId="77777777" w:rsidR="00FF0F9B" w:rsidRPr="00EF1E43" w:rsidRDefault="00FF0F9B" w:rsidP="00374F41">
            <w:pPr>
              <w:rPr>
                <w:sz w:val="24"/>
              </w:rPr>
            </w:pPr>
            <w:r w:rsidRPr="00EF1E43">
              <w:rPr>
                <w:sz w:val="24"/>
              </w:rPr>
              <w:t>Rahim F, Jalali A, Tangestani R (2013). Breast cancer frequency and exposure to cadmium: a meta-analysis and systematic review. Asian Pac J Cancer Prev, 14(7): 4283-7.</w:t>
            </w:r>
          </w:p>
        </w:tc>
      </w:tr>
      <w:tr w:rsidR="00EF1E43" w:rsidRPr="00EF1E43" w14:paraId="3BEA4729" w14:textId="77777777" w:rsidTr="00CC61F1">
        <w:trPr>
          <w:cantSplit/>
        </w:trPr>
        <w:tc>
          <w:tcPr>
            <w:tcW w:w="1555" w:type="dxa"/>
            <w:shd w:val="clear" w:color="auto" w:fill="FFFFFF" w:themeFill="background1"/>
            <w:noWrap/>
            <w:vAlign w:val="center"/>
            <w:hideMark/>
          </w:tcPr>
          <w:p w14:paraId="37DB39FC" w14:textId="77777777" w:rsidR="00FF0F9B" w:rsidRPr="00EF1E43" w:rsidRDefault="00FF0F9B" w:rsidP="00374F41">
            <w:pPr>
              <w:jc w:val="center"/>
              <w:rPr>
                <w:sz w:val="24"/>
              </w:rPr>
            </w:pPr>
            <w:r w:rsidRPr="00EF1E43">
              <w:rPr>
                <w:sz w:val="24"/>
              </w:rPr>
              <w:lastRenderedPageBreak/>
              <w:t>9297</w:t>
            </w:r>
          </w:p>
        </w:tc>
        <w:tc>
          <w:tcPr>
            <w:tcW w:w="7371" w:type="dxa"/>
            <w:shd w:val="clear" w:color="auto" w:fill="FFFFFF" w:themeFill="background1"/>
            <w:vAlign w:val="center"/>
            <w:hideMark/>
          </w:tcPr>
          <w:p w14:paraId="704C5874" w14:textId="77777777" w:rsidR="00FF0F9B" w:rsidRPr="00EF1E43" w:rsidRDefault="00FF0F9B" w:rsidP="00374F41">
            <w:pPr>
              <w:rPr>
                <w:sz w:val="24"/>
              </w:rPr>
            </w:pPr>
            <w:r w:rsidRPr="00EF1E43">
              <w:rPr>
                <w:sz w:val="24"/>
              </w:rPr>
              <w:t>Ranstam J, Olsson H (1995). Alcohol, cigarette smoking, and the risk of breast cancer. Cancer Detection &amp; Prevention, 19(6): 487-93.</w:t>
            </w:r>
          </w:p>
        </w:tc>
      </w:tr>
      <w:tr w:rsidR="00EF1E43" w:rsidRPr="00EF1E43" w14:paraId="50D3F54D" w14:textId="77777777" w:rsidTr="00CC61F1">
        <w:trPr>
          <w:cantSplit/>
        </w:trPr>
        <w:tc>
          <w:tcPr>
            <w:tcW w:w="1555" w:type="dxa"/>
            <w:shd w:val="clear" w:color="auto" w:fill="FFFFFF" w:themeFill="background1"/>
            <w:noWrap/>
            <w:vAlign w:val="center"/>
            <w:hideMark/>
          </w:tcPr>
          <w:p w14:paraId="25B8D4D3" w14:textId="77777777" w:rsidR="00FF0F9B" w:rsidRPr="00EF1E43" w:rsidRDefault="00FF0F9B" w:rsidP="00374F41">
            <w:pPr>
              <w:jc w:val="center"/>
              <w:rPr>
                <w:sz w:val="24"/>
              </w:rPr>
            </w:pPr>
            <w:r w:rsidRPr="00EF1E43">
              <w:rPr>
                <w:sz w:val="24"/>
              </w:rPr>
              <w:t>71715</w:t>
            </w:r>
          </w:p>
        </w:tc>
        <w:tc>
          <w:tcPr>
            <w:tcW w:w="7371" w:type="dxa"/>
            <w:shd w:val="clear" w:color="auto" w:fill="FFFFFF" w:themeFill="background1"/>
            <w:vAlign w:val="center"/>
            <w:hideMark/>
          </w:tcPr>
          <w:p w14:paraId="3EC96FD4" w14:textId="77777777" w:rsidR="00FF0F9B" w:rsidRPr="00EF1E43" w:rsidRDefault="00FF0F9B" w:rsidP="00374F41">
            <w:pPr>
              <w:rPr>
                <w:sz w:val="24"/>
              </w:rPr>
            </w:pPr>
            <w:r w:rsidRPr="00EF1E43">
              <w:rPr>
                <w:sz w:val="24"/>
              </w:rPr>
              <w:t>Reis LO, Dias FG, Castro MA, et al (2011). Male breast cancer. The Aging Male, 14(2): 99-109.</w:t>
            </w:r>
          </w:p>
        </w:tc>
      </w:tr>
      <w:tr w:rsidR="00EF1E43" w:rsidRPr="00EF1E43" w14:paraId="327B7648" w14:textId="77777777" w:rsidTr="00CC61F1">
        <w:trPr>
          <w:cantSplit/>
        </w:trPr>
        <w:tc>
          <w:tcPr>
            <w:tcW w:w="1555" w:type="dxa"/>
            <w:shd w:val="clear" w:color="auto" w:fill="FFFFFF" w:themeFill="background1"/>
            <w:noWrap/>
            <w:vAlign w:val="center"/>
            <w:hideMark/>
          </w:tcPr>
          <w:p w14:paraId="6E766A47" w14:textId="77777777" w:rsidR="00FF0F9B" w:rsidRPr="00EF1E43" w:rsidRDefault="00FF0F9B" w:rsidP="00374F41">
            <w:pPr>
              <w:jc w:val="center"/>
              <w:rPr>
                <w:sz w:val="24"/>
              </w:rPr>
            </w:pPr>
            <w:r w:rsidRPr="00EF1E43">
              <w:rPr>
                <w:sz w:val="24"/>
              </w:rPr>
              <w:t>38250</w:t>
            </w:r>
          </w:p>
        </w:tc>
        <w:tc>
          <w:tcPr>
            <w:tcW w:w="7371" w:type="dxa"/>
            <w:shd w:val="clear" w:color="auto" w:fill="FFFFFF" w:themeFill="background1"/>
            <w:vAlign w:val="center"/>
            <w:hideMark/>
          </w:tcPr>
          <w:p w14:paraId="4FD827CB" w14:textId="77777777" w:rsidR="00FF0F9B" w:rsidRPr="00EF1E43" w:rsidRDefault="00FF0F9B" w:rsidP="00374F41">
            <w:pPr>
              <w:rPr>
                <w:sz w:val="24"/>
              </w:rPr>
            </w:pPr>
            <w:r w:rsidRPr="00EF1E43">
              <w:rPr>
                <w:sz w:val="24"/>
              </w:rPr>
              <w:t>Rennix CP, Quinn MM, Amoroso PJ, et al (2005). Risk of breast cancer among enlisted army women occupationally exposed to volatile organic compounds. Am J Ind Med, 48: 157-167.</w:t>
            </w:r>
          </w:p>
        </w:tc>
      </w:tr>
      <w:tr w:rsidR="00EF1E43" w:rsidRPr="00EF1E43" w14:paraId="10D56DF1" w14:textId="77777777" w:rsidTr="00CC61F1">
        <w:trPr>
          <w:cantSplit/>
        </w:trPr>
        <w:tc>
          <w:tcPr>
            <w:tcW w:w="1555" w:type="dxa"/>
            <w:shd w:val="clear" w:color="auto" w:fill="FFFFFF" w:themeFill="background1"/>
            <w:noWrap/>
            <w:vAlign w:val="center"/>
            <w:hideMark/>
          </w:tcPr>
          <w:p w14:paraId="45757256" w14:textId="77777777" w:rsidR="00FF0F9B" w:rsidRPr="00EF1E43" w:rsidRDefault="00FF0F9B" w:rsidP="00374F41">
            <w:pPr>
              <w:jc w:val="center"/>
              <w:rPr>
                <w:sz w:val="24"/>
              </w:rPr>
            </w:pPr>
            <w:r w:rsidRPr="00EF1E43">
              <w:rPr>
                <w:sz w:val="24"/>
              </w:rPr>
              <w:t>37103</w:t>
            </w:r>
          </w:p>
        </w:tc>
        <w:tc>
          <w:tcPr>
            <w:tcW w:w="7371" w:type="dxa"/>
            <w:shd w:val="clear" w:color="auto" w:fill="FFFFFF" w:themeFill="background1"/>
            <w:vAlign w:val="center"/>
            <w:hideMark/>
          </w:tcPr>
          <w:p w14:paraId="45B02056" w14:textId="77777777" w:rsidR="00FF0F9B" w:rsidRPr="00EF1E43" w:rsidRDefault="00FF0F9B" w:rsidP="00374F41">
            <w:pPr>
              <w:rPr>
                <w:sz w:val="24"/>
              </w:rPr>
            </w:pPr>
            <w:r w:rsidRPr="00EF1E43">
              <w:rPr>
                <w:sz w:val="24"/>
              </w:rPr>
              <w:t>Resta F, Triggiani V, Sabba C, et al (2004). The impact of body mass index and Type 2 diabetes on breast cancer: current therapeutic measures of prevention. Current Drug Targets - Immune Endocrine &amp; Metabolic Disorders, 4(4): 327-33.</w:t>
            </w:r>
          </w:p>
        </w:tc>
      </w:tr>
      <w:tr w:rsidR="00EF1E43" w:rsidRPr="00EF1E43" w14:paraId="7571F2A1" w14:textId="77777777" w:rsidTr="00CC61F1">
        <w:trPr>
          <w:cantSplit/>
        </w:trPr>
        <w:tc>
          <w:tcPr>
            <w:tcW w:w="1555" w:type="dxa"/>
            <w:shd w:val="clear" w:color="auto" w:fill="FFFFFF" w:themeFill="background1"/>
            <w:noWrap/>
            <w:vAlign w:val="center"/>
            <w:hideMark/>
          </w:tcPr>
          <w:p w14:paraId="66E78333" w14:textId="77777777" w:rsidR="00FF0F9B" w:rsidRPr="00EF1E43" w:rsidRDefault="00FF0F9B" w:rsidP="00374F41">
            <w:pPr>
              <w:jc w:val="center"/>
              <w:rPr>
                <w:sz w:val="24"/>
              </w:rPr>
            </w:pPr>
            <w:r w:rsidRPr="00EF1E43">
              <w:rPr>
                <w:sz w:val="24"/>
              </w:rPr>
              <w:t>71678</w:t>
            </w:r>
          </w:p>
        </w:tc>
        <w:tc>
          <w:tcPr>
            <w:tcW w:w="7371" w:type="dxa"/>
            <w:shd w:val="clear" w:color="auto" w:fill="FFFFFF" w:themeFill="background1"/>
            <w:vAlign w:val="center"/>
            <w:hideMark/>
          </w:tcPr>
          <w:p w14:paraId="5AA134C3" w14:textId="77777777" w:rsidR="00FF0F9B" w:rsidRPr="00EF1E43" w:rsidRDefault="00FF0F9B" w:rsidP="00374F41">
            <w:pPr>
              <w:rPr>
                <w:sz w:val="24"/>
              </w:rPr>
            </w:pPr>
            <w:r w:rsidRPr="00EF1E43">
              <w:rPr>
                <w:sz w:val="24"/>
              </w:rPr>
              <w:t>Reynolds P (2013). Smoking and breast cancer. J Mammory Glad Biol Neoplasia, 18: 15-23.</w:t>
            </w:r>
          </w:p>
        </w:tc>
      </w:tr>
      <w:tr w:rsidR="00EF1E43" w:rsidRPr="00EF1E43" w14:paraId="7170120C" w14:textId="77777777" w:rsidTr="00CC61F1">
        <w:trPr>
          <w:cantSplit/>
        </w:trPr>
        <w:tc>
          <w:tcPr>
            <w:tcW w:w="1555" w:type="dxa"/>
            <w:shd w:val="clear" w:color="auto" w:fill="FFFFFF" w:themeFill="background1"/>
            <w:noWrap/>
            <w:vAlign w:val="center"/>
            <w:hideMark/>
          </w:tcPr>
          <w:p w14:paraId="2F7609DE" w14:textId="77777777" w:rsidR="00FF0F9B" w:rsidRPr="00EF1E43" w:rsidRDefault="00FF0F9B" w:rsidP="00374F41">
            <w:pPr>
              <w:jc w:val="center"/>
              <w:rPr>
                <w:sz w:val="24"/>
              </w:rPr>
            </w:pPr>
            <w:r w:rsidRPr="00EF1E43">
              <w:rPr>
                <w:sz w:val="24"/>
              </w:rPr>
              <w:t>35670</w:t>
            </w:r>
          </w:p>
        </w:tc>
        <w:tc>
          <w:tcPr>
            <w:tcW w:w="7371" w:type="dxa"/>
            <w:shd w:val="clear" w:color="auto" w:fill="FFFFFF" w:themeFill="background1"/>
            <w:vAlign w:val="center"/>
            <w:hideMark/>
          </w:tcPr>
          <w:p w14:paraId="5E655B65" w14:textId="77777777" w:rsidR="00FF0F9B" w:rsidRPr="00EF1E43" w:rsidRDefault="00FF0F9B" w:rsidP="00374F41">
            <w:pPr>
              <w:rPr>
                <w:sz w:val="24"/>
              </w:rPr>
            </w:pPr>
            <w:r w:rsidRPr="00EF1E43">
              <w:rPr>
                <w:sz w:val="24"/>
              </w:rPr>
              <w:t>Reynolds P, Hurley S, Goldberg DE, et al (2004). Active smoking, household passive smoking, and breast cancer: Evidence from the California Teachers Study. Journal of the National Cancer Institute, 96(1): 29-37.</w:t>
            </w:r>
          </w:p>
        </w:tc>
      </w:tr>
      <w:tr w:rsidR="00EF1E43" w:rsidRPr="00EF1E43" w14:paraId="1669D6D8" w14:textId="77777777" w:rsidTr="00CC61F1">
        <w:trPr>
          <w:cantSplit/>
        </w:trPr>
        <w:tc>
          <w:tcPr>
            <w:tcW w:w="1555" w:type="dxa"/>
            <w:shd w:val="clear" w:color="auto" w:fill="FFFFFF" w:themeFill="background1"/>
            <w:noWrap/>
            <w:vAlign w:val="center"/>
            <w:hideMark/>
          </w:tcPr>
          <w:p w14:paraId="737146D3" w14:textId="77777777" w:rsidR="00FF0F9B" w:rsidRPr="00EF1E43" w:rsidRDefault="00FF0F9B" w:rsidP="00374F41">
            <w:pPr>
              <w:jc w:val="center"/>
              <w:rPr>
                <w:sz w:val="24"/>
              </w:rPr>
            </w:pPr>
            <w:r w:rsidRPr="00EF1E43">
              <w:rPr>
                <w:sz w:val="24"/>
              </w:rPr>
              <w:t>9941</w:t>
            </w:r>
          </w:p>
        </w:tc>
        <w:tc>
          <w:tcPr>
            <w:tcW w:w="7371" w:type="dxa"/>
            <w:shd w:val="clear" w:color="auto" w:fill="FFFFFF" w:themeFill="background1"/>
            <w:vAlign w:val="center"/>
            <w:hideMark/>
          </w:tcPr>
          <w:p w14:paraId="5BB6FF37" w14:textId="77777777" w:rsidR="00FF0F9B" w:rsidRPr="00EF1E43" w:rsidRDefault="00FF0F9B" w:rsidP="00374F41">
            <w:pPr>
              <w:rPr>
                <w:sz w:val="24"/>
              </w:rPr>
            </w:pPr>
            <w:r w:rsidRPr="00EF1E43">
              <w:rPr>
                <w:sz w:val="24"/>
              </w:rPr>
              <w:t>Rich-Edwards JW, Hennekens CH (1996). Postmenopausal hormones and coronary heart disease. Curr Opin Cardiol, 11(4): 440-6.</w:t>
            </w:r>
          </w:p>
        </w:tc>
      </w:tr>
      <w:tr w:rsidR="00EF1E43" w:rsidRPr="00EF1E43" w14:paraId="04C51D9D" w14:textId="77777777" w:rsidTr="00CC61F1">
        <w:trPr>
          <w:cantSplit/>
        </w:trPr>
        <w:tc>
          <w:tcPr>
            <w:tcW w:w="1555" w:type="dxa"/>
            <w:shd w:val="clear" w:color="auto" w:fill="FFFFFF" w:themeFill="background1"/>
            <w:noWrap/>
            <w:vAlign w:val="center"/>
            <w:hideMark/>
          </w:tcPr>
          <w:p w14:paraId="7563EB97" w14:textId="77777777" w:rsidR="00FF0F9B" w:rsidRPr="00EF1E43" w:rsidRDefault="00FF0F9B" w:rsidP="00374F41">
            <w:pPr>
              <w:jc w:val="center"/>
              <w:rPr>
                <w:sz w:val="24"/>
              </w:rPr>
            </w:pPr>
            <w:r w:rsidRPr="00EF1E43">
              <w:rPr>
                <w:sz w:val="24"/>
              </w:rPr>
              <w:t>37118</w:t>
            </w:r>
          </w:p>
        </w:tc>
        <w:tc>
          <w:tcPr>
            <w:tcW w:w="7371" w:type="dxa"/>
            <w:shd w:val="clear" w:color="auto" w:fill="FFFFFF" w:themeFill="background1"/>
            <w:vAlign w:val="center"/>
            <w:hideMark/>
          </w:tcPr>
          <w:p w14:paraId="1551F8DE" w14:textId="77777777" w:rsidR="00FF0F9B" w:rsidRPr="00EF1E43" w:rsidRDefault="00FF0F9B" w:rsidP="00374F41">
            <w:pPr>
              <w:rPr>
                <w:sz w:val="24"/>
              </w:rPr>
            </w:pPr>
            <w:r w:rsidRPr="00EF1E43">
              <w:rPr>
                <w:sz w:val="24"/>
              </w:rPr>
              <w:t>Rintala P, Pukkala E, Laara E, et al (2003). Physical activity and breast cancer risk among female physical education and language teachers: a 34-year follow-up. Int J Cancer, 107: 268-270.</w:t>
            </w:r>
          </w:p>
        </w:tc>
      </w:tr>
      <w:tr w:rsidR="00EF1E43" w:rsidRPr="00EF1E43" w14:paraId="7EA7F0B8" w14:textId="77777777" w:rsidTr="00CC61F1">
        <w:trPr>
          <w:cantSplit/>
        </w:trPr>
        <w:tc>
          <w:tcPr>
            <w:tcW w:w="1555" w:type="dxa"/>
            <w:shd w:val="clear" w:color="auto" w:fill="FFFFFF" w:themeFill="background1"/>
            <w:noWrap/>
            <w:vAlign w:val="center"/>
            <w:hideMark/>
          </w:tcPr>
          <w:p w14:paraId="190DD605" w14:textId="77777777" w:rsidR="00FF0F9B" w:rsidRPr="00EF1E43" w:rsidRDefault="00FF0F9B" w:rsidP="00374F41">
            <w:pPr>
              <w:jc w:val="center"/>
              <w:rPr>
                <w:sz w:val="24"/>
              </w:rPr>
            </w:pPr>
            <w:r w:rsidRPr="00EF1E43">
              <w:rPr>
                <w:sz w:val="24"/>
              </w:rPr>
              <w:t>37692</w:t>
            </w:r>
          </w:p>
        </w:tc>
        <w:tc>
          <w:tcPr>
            <w:tcW w:w="7371" w:type="dxa"/>
            <w:shd w:val="clear" w:color="auto" w:fill="FFFFFF" w:themeFill="background1"/>
            <w:vAlign w:val="center"/>
            <w:hideMark/>
          </w:tcPr>
          <w:p w14:paraId="42D84A51" w14:textId="77777777" w:rsidR="00FF0F9B" w:rsidRPr="00EF1E43" w:rsidRDefault="00FF0F9B" w:rsidP="00374F41">
            <w:pPr>
              <w:rPr>
                <w:sz w:val="24"/>
              </w:rPr>
            </w:pPr>
            <w:r w:rsidRPr="00EF1E43">
              <w:rPr>
                <w:sz w:val="24"/>
              </w:rPr>
              <w:t>Rintala PE, Pukkala E, Paakkulainen HT, et al (2002). Self-experienced physical workload and risk of breast cancer. Scand J Work Environ Health, 28(3): 158-62.</w:t>
            </w:r>
          </w:p>
        </w:tc>
      </w:tr>
      <w:tr w:rsidR="00EF1E43" w:rsidRPr="00EF1E43" w14:paraId="2B65970C" w14:textId="77777777" w:rsidTr="00CC61F1">
        <w:trPr>
          <w:cantSplit/>
        </w:trPr>
        <w:tc>
          <w:tcPr>
            <w:tcW w:w="1555" w:type="dxa"/>
            <w:shd w:val="clear" w:color="auto" w:fill="FFFFFF" w:themeFill="background1"/>
            <w:noWrap/>
            <w:vAlign w:val="center"/>
            <w:hideMark/>
          </w:tcPr>
          <w:p w14:paraId="0BCAC73F" w14:textId="77777777" w:rsidR="00FF0F9B" w:rsidRPr="00EF1E43" w:rsidRDefault="00FF0F9B" w:rsidP="00374F41">
            <w:pPr>
              <w:jc w:val="center"/>
              <w:rPr>
                <w:sz w:val="24"/>
              </w:rPr>
            </w:pPr>
            <w:r w:rsidRPr="00EF1E43">
              <w:rPr>
                <w:sz w:val="24"/>
              </w:rPr>
              <w:t>4696</w:t>
            </w:r>
          </w:p>
        </w:tc>
        <w:tc>
          <w:tcPr>
            <w:tcW w:w="7371" w:type="dxa"/>
            <w:shd w:val="clear" w:color="auto" w:fill="FFFFFF" w:themeFill="background1"/>
            <w:vAlign w:val="center"/>
            <w:hideMark/>
          </w:tcPr>
          <w:p w14:paraId="7D4A6DDC" w14:textId="77777777" w:rsidR="00FF0F9B" w:rsidRPr="00EF1E43" w:rsidRDefault="00FF0F9B" w:rsidP="00374F41">
            <w:pPr>
              <w:rPr>
                <w:sz w:val="24"/>
              </w:rPr>
            </w:pPr>
            <w:r w:rsidRPr="00EF1E43">
              <w:rPr>
                <w:sz w:val="24"/>
              </w:rPr>
              <w:t>Risch HA, Howe GR (1994). Menopausal hormone usage and breast cancer in Saskatchewan: A record-linkage cohort study. Am J Epidemiol, 139(7): 670-83.</w:t>
            </w:r>
          </w:p>
        </w:tc>
      </w:tr>
      <w:tr w:rsidR="00EF1E43" w:rsidRPr="00EF1E43" w14:paraId="0703A52E" w14:textId="77777777" w:rsidTr="00CC61F1">
        <w:trPr>
          <w:cantSplit/>
        </w:trPr>
        <w:tc>
          <w:tcPr>
            <w:tcW w:w="1555" w:type="dxa"/>
            <w:shd w:val="clear" w:color="auto" w:fill="FFFFFF" w:themeFill="background1"/>
            <w:noWrap/>
            <w:vAlign w:val="center"/>
            <w:hideMark/>
          </w:tcPr>
          <w:p w14:paraId="7360603A" w14:textId="77777777" w:rsidR="00FF0F9B" w:rsidRPr="00EF1E43" w:rsidRDefault="00FF0F9B" w:rsidP="00374F41">
            <w:pPr>
              <w:jc w:val="center"/>
              <w:rPr>
                <w:sz w:val="24"/>
              </w:rPr>
            </w:pPr>
            <w:r w:rsidRPr="00EF1E43">
              <w:rPr>
                <w:sz w:val="24"/>
              </w:rPr>
              <w:t>35616</w:t>
            </w:r>
          </w:p>
        </w:tc>
        <w:tc>
          <w:tcPr>
            <w:tcW w:w="7371" w:type="dxa"/>
            <w:shd w:val="clear" w:color="auto" w:fill="FFFFFF" w:themeFill="background1"/>
            <w:vAlign w:val="center"/>
            <w:hideMark/>
          </w:tcPr>
          <w:p w14:paraId="53588C1A" w14:textId="77777777" w:rsidR="00FF0F9B" w:rsidRPr="00EF1E43" w:rsidRDefault="00FF0F9B" w:rsidP="00374F41">
            <w:pPr>
              <w:rPr>
                <w:sz w:val="24"/>
              </w:rPr>
            </w:pPr>
            <w:r w:rsidRPr="00EF1E43">
              <w:rPr>
                <w:sz w:val="24"/>
              </w:rPr>
              <w:t>Robb-Nicholson C (2005). How risky are birth control pills?  Retrieved 14 July 2005, from http://web2.infotrac.galegroup.com.ezproxy.library.uq.edu.au/itw/infomark/891/899/6</w:t>
            </w:r>
          </w:p>
        </w:tc>
      </w:tr>
      <w:tr w:rsidR="00EF1E43" w:rsidRPr="00EF1E43" w14:paraId="6714A6CA" w14:textId="77777777" w:rsidTr="00CC61F1">
        <w:trPr>
          <w:cantSplit/>
        </w:trPr>
        <w:tc>
          <w:tcPr>
            <w:tcW w:w="1555" w:type="dxa"/>
            <w:shd w:val="clear" w:color="auto" w:fill="FFFFFF" w:themeFill="background1"/>
            <w:noWrap/>
            <w:vAlign w:val="center"/>
            <w:hideMark/>
          </w:tcPr>
          <w:p w14:paraId="31E4801F" w14:textId="77777777" w:rsidR="00FF0F9B" w:rsidRPr="00EF1E43" w:rsidRDefault="00FF0F9B" w:rsidP="00374F41">
            <w:pPr>
              <w:jc w:val="center"/>
              <w:rPr>
                <w:sz w:val="24"/>
              </w:rPr>
            </w:pPr>
            <w:r w:rsidRPr="00EF1E43">
              <w:rPr>
                <w:sz w:val="24"/>
              </w:rPr>
              <w:t>21869</w:t>
            </w:r>
          </w:p>
        </w:tc>
        <w:tc>
          <w:tcPr>
            <w:tcW w:w="7371" w:type="dxa"/>
            <w:shd w:val="clear" w:color="auto" w:fill="FFFFFF" w:themeFill="background1"/>
            <w:vAlign w:val="center"/>
            <w:hideMark/>
          </w:tcPr>
          <w:p w14:paraId="2613F7C2" w14:textId="77777777" w:rsidR="00FF0F9B" w:rsidRPr="00EF1E43" w:rsidRDefault="00FF0F9B" w:rsidP="00374F41">
            <w:pPr>
              <w:rPr>
                <w:sz w:val="24"/>
              </w:rPr>
            </w:pPr>
            <w:r w:rsidRPr="00EF1E43">
              <w:rPr>
                <w:sz w:val="24"/>
              </w:rPr>
              <w:t>Roberts K, Merkatz RB, Vieira CS (2018). Contemporary hormonal contraception and the risk of breast cancer. N Engl J Med, 378(13): 1264.</w:t>
            </w:r>
          </w:p>
        </w:tc>
      </w:tr>
      <w:tr w:rsidR="00EF1E43" w:rsidRPr="00EF1E43" w14:paraId="18F896C4" w14:textId="77777777" w:rsidTr="00CC61F1">
        <w:trPr>
          <w:cantSplit/>
        </w:trPr>
        <w:tc>
          <w:tcPr>
            <w:tcW w:w="1555" w:type="dxa"/>
            <w:shd w:val="clear" w:color="auto" w:fill="FFFFFF" w:themeFill="background1"/>
            <w:noWrap/>
            <w:vAlign w:val="center"/>
            <w:hideMark/>
          </w:tcPr>
          <w:p w14:paraId="1E4F8101" w14:textId="77777777" w:rsidR="00FF0F9B" w:rsidRPr="00EF1E43" w:rsidRDefault="00FF0F9B" w:rsidP="00374F41">
            <w:pPr>
              <w:jc w:val="center"/>
              <w:rPr>
                <w:sz w:val="24"/>
              </w:rPr>
            </w:pPr>
            <w:r w:rsidRPr="00EF1E43">
              <w:rPr>
                <w:sz w:val="24"/>
              </w:rPr>
              <w:t>37527</w:t>
            </w:r>
          </w:p>
        </w:tc>
        <w:tc>
          <w:tcPr>
            <w:tcW w:w="7371" w:type="dxa"/>
            <w:shd w:val="clear" w:color="auto" w:fill="FFFFFF" w:themeFill="background1"/>
            <w:vAlign w:val="center"/>
            <w:hideMark/>
          </w:tcPr>
          <w:p w14:paraId="6B14D33C" w14:textId="77777777" w:rsidR="00FF0F9B" w:rsidRPr="00EF1E43" w:rsidRDefault="00FF0F9B" w:rsidP="00374F41">
            <w:pPr>
              <w:rPr>
                <w:sz w:val="24"/>
              </w:rPr>
            </w:pPr>
            <w:r w:rsidRPr="00EF1E43">
              <w:rPr>
                <w:sz w:val="24"/>
              </w:rPr>
              <w:t>Robsahm TE, Tretli S (2005). Weak associations between sociodemographic factors and breast cancer: possible effects of early detection. Eur J Cancer Prev, 14: 7-12.</w:t>
            </w:r>
          </w:p>
        </w:tc>
      </w:tr>
      <w:tr w:rsidR="00EF1E43" w:rsidRPr="00EF1E43" w14:paraId="0E9357F8" w14:textId="77777777" w:rsidTr="00CC61F1">
        <w:trPr>
          <w:cantSplit/>
        </w:trPr>
        <w:tc>
          <w:tcPr>
            <w:tcW w:w="1555" w:type="dxa"/>
            <w:shd w:val="clear" w:color="auto" w:fill="FFFFFF" w:themeFill="background1"/>
            <w:noWrap/>
            <w:vAlign w:val="center"/>
            <w:hideMark/>
          </w:tcPr>
          <w:p w14:paraId="13BC9B52" w14:textId="77777777" w:rsidR="00FF0F9B" w:rsidRPr="00EF1E43" w:rsidRDefault="00FF0F9B" w:rsidP="00374F41">
            <w:pPr>
              <w:jc w:val="center"/>
              <w:rPr>
                <w:sz w:val="24"/>
              </w:rPr>
            </w:pPr>
            <w:r w:rsidRPr="00EF1E43">
              <w:rPr>
                <w:sz w:val="24"/>
              </w:rPr>
              <w:t>36909</w:t>
            </w:r>
          </w:p>
        </w:tc>
        <w:tc>
          <w:tcPr>
            <w:tcW w:w="7371" w:type="dxa"/>
            <w:shd w:val="clear" w:color="auto" w:fill="FFFFFF" w:themeFill="background1"/>
            <w:vAlign w:val="center"/>
            <w:hideMark/>
          </w:tcPr>
          <w:p w14:paraId="459F6285" w14:textId="77777777" w:rsidR="00FF0F9B" w:rsidRPr="00EF1E43" w:rsidRDefault="00FF0F9B" w:rsidP="00374F41">
            <w:pPr>
              <w:rPr>
                <w:sz w:val="24"/>
              </w:rPr>
            </w:pPr>
            <w:r w:rsidRPr="00EF1E43">
              <w:rPr>
                <w:sz w:val="24"/>
              </w:rPr>
              <w:t>Rock CL, Demark-Wahnefried W (2002). Nutrition and survival after the diagnosis of breast cancer: a review of the evidence. Journal of Clinical Oncology, 20(15): 3302-16.</w:t>
            </w:r>
          </w:p>
        </w:tc>
      </w:tr>
      <w:tr w:rsidR="00EF1E43" w:rsidRPr="00EF1E43" w14:paraId="4A2ACACE" w14:textId="77777777" w:rsidTr="00CC61F1">
        <w:trPr>
          <w:cantSplit/>
        </w:trPr>
        <w:tc>
          <w:tcPr>
            <w:tcW w:w="1555" w:type="dxa"/>
            <w:shd w:val="clear" w:color="auto" w:fill="FFFFFF" w:themeFill="background1"/>
            <w:noWrap/>
            <w:vAlign w:val="center"/>
            <w:hideMark/>
          </w:tcPr>
          <w:p w14:paraId="45A27BCB" w14:textId="77777777" w:rsidR="00FF0F9B" w:rsidRPr="00EF1E43" w:rsidRDefault="00FF0F9B" w:rsidP="00374F41">
            <w:pPr>
              <w:jc w:val="center"/>
              <w:rPr>
                <w:sz w:val="24"/>
              </w:rPr>
            </w:pPr>
            <w:r w:rsidRPr="00EF1E43">
              <w:rPr>
                <w:sz w:val="24"/>
              </w:rPr>
              <w:t>37947</w:t>
            </w:r>
          </w:p>
        </w:tc>
        <w:tc>
          <w:tcPr>
            <w:tcW w:w="7371" w:type="dxa"/>
            <w:shd w:val="clear" w:color="auto" w:fill="FFFFFF" w:themeFill="background1"/>
            <w:vAlign w:val="center"/>
            <w:hideMark/>
          </w:tcPr>
          <w:p w14:paraId="0573E527" w14:textId="77777777" w:rsidR="00FF0F9B" w:rsidRPr="00EF1E43" w:rsidRDefault="00FF0F9B" w:rsidP="00374F41">
            <w:pPr>
              <w:rPr>
                <w:sz w:val="24"/>
              </w:rPr>
            </w:pPr>
            <w:r w:rsidRPr="00EF1E43">
              <w:rPr>
                <w:sz w:val="24"/>
              </w:rPr>
              <w:t>Rockhill B, Willett WC, Hunter DJ, et al (1999). A prospective study of recreational physical activity and breast cancer risk. Arch Intern Med, 159: 2290-2296.</w:t>
            </w:r>
          </w:p>
        </w:tc>
      </w:tr>
      <w:tr w:rsidR="00EF1E43" w:rsidRPr="00EF1E43" w14:paraId="53BA0925" w14:textId="77777777" w:rsidTr="00CC61F1">
        <w:trPr>
          <w:cantSplit/>
        </w:trPr>
        <w:tc>
          <w:tcPr>
            <w:tcW w:w="1555" w:type="dxa"/>
            <w:shd w:val="clear" w:color="auto" w:fill="FFFFFF" w:themeFill="background1"/>
            <w:noWrap/>
            <w:vAlign w:val="center"/>
            <w:hideMark/>
          </w:tcPr>
          <w:p w14:paraId="66B31F2B" w14:textId="77777777" w:rsidR="00FF0F9B" w:rsidRPr="00EF1E43" w:rsidRDefault="00FF0F9B" w:rsidP="00374F41">
            <w:pPr>
              <w:jc w:val="center"/>
              <w:rPr>
                <w:sz w:val="24"/>
              </w:rPr>
            </w:pPr>
            <w:r w:rsidRPr="00EF1E43">
              <w:rPr>
                <w:sz w:val="24"/>
              </w:rPr>
              <w:t>37863</w:t>
            </w:r>
          </w:p>
        </w:tc>
        <w:tc>
          <w:tcPr>
            <w:tcW w:w="7371" w:type="dxa"/>
            <w:shd w:val="clear" w:color="auto" w:fill="FFFFFF" w:themeFill="background1"/>
            <w:vAlign w:val="center"/>
            <w:hideMark/>
          </w:tcPr>
          <w:p w14:paraId="00BFA8C4" w14:textId="77777777" w:rsidR="00FF0F9B" w:rsidRPr="00EF1E43" w:rsidRDefault="00FF0F9B" w:rsidP="00374F41">
            <w:pPr>
              <w:rPr>
                <w:sz w:val="24"/>
              </w:rPr>
            </w:pPr>
            <w:r w:rsidRPr="00EF1E43">
              <w:rPr>
                <w:sz w:val="24"/>
              </w:rPr>
              <w:t>Rockhill, B Willett WC, Hunter DJ, et al (1998). Physical Activity and Breast Cancer Risk in a Cohort of Young Women. Jnl National Cancer Institute, 90(15): 1155-1160.</w:t>
            </w:r>
          </w:p>
        </w:tc>
      </w:tr>
      <w:tr w:rsidR="00EF1E43" w:rsidRPr="00EF1E43" w14:paraId="01082DC5" w14:textId="77777777" w:rsidTr="00CC61F1">
        <w:trPr>
          <w:cantSplit/>
        </w:trPr>
        <w:tc>
          <w:tcPr>
            <w:tcW w:w="1555" w:type="dxa"/>
            <w:shd w:val="clear" w:color="auto" w:fill="FFFFFF" w:themeFill="background1"/>
            <w:noWrap/>
            <w:vAlign w:val="center"/>
            <w:hideMark/>
          </w:tcPr>
          <w:p w14:paraId="22FDB526" w14:textId="77777777" w:rsidR="00FF0F9B" w:rsidRPr="00EF1E43" w:rsidRDefault="00FF0F9B" w:rsidP="00374F41">
            <w:pPr>
              <w:jc w:val="center"/>
              <w:rPr>
                <w:sz w:val="24"/>
              </w:rPr>
            </w:pPr>
            <w:r w:rsidRPr="00EF1E43">
              <w:rPr>
                <w:sz w:val="24"/>
              </w:rPr>
              <w:lastRenderedPageBreak/>
              <w:t>87202</w:t>
            </w:r>
          </w:p>
        </w:tc>
        <w:tc>
          <w:tcPr>
            <w:tcW w:w="7371" w:type="dxa"/>
            <w:shd w:val="clear" w:color="auto" w:fill="FFFFFF" w:themeFill="background1"/>
            <w:vAlign w:val="center"/>
            <w:hideMark/>
          </w:tcPr>
          <w:p w14:paraId="7A1B3689" w14:textId="77777777" w:rsidR="00FF0F9B" w:rsidRPr="00EF1E43" w:rsidRDefault="00FF0F9B" w:rsidP="00374F41">
            <w:pPr>
              <w:rPr>
                <w:sz w:val="24"/>
              </w:rPr>
            </w:pPr>
            <w:r w:rsidRPr="00EF1E43">
              <w:rPr>
                <w:sz w:val="24"/>
              </w:rPr>
              <w:t>Rodgers KM, Udesky JO, Rudel RA, et al (2018). Environmental chemicals and breast cancer: An updated review of epidemiological literature informed by biological mechanisms. Environmental Research, 160: 152-82.</w:t>
            </w:r>
          </w:p>
        </w:tc>
      </w:tr>
      <w:tr w:rsidR="00EF1E43" w:rsidRPr="00EF1E43" w14:paraId="76828BF1" w14:textId="77777777" w:rsidTr="00CC61F1">
        <w:trPr>
          <w:cantSplit/>
        </w:trPr>
        <w:tc>
          <w:tcPr>
            <w:tcW w:w="1555" w:type="dxa"/>
            <w:shd w:val="clear" w:color="auto" w:fill="FFFFFF" w:themeFill="background1"/>
            <w:noWrap/>
            <w:vAlign w:val="center"/>
            <w:hideMark/>
          </w:tcPr>
          <w:p w14:paraId="31D085C1" w14:textId="77777777" w:rsidR="00FF0F9B" w:rsidRPr="00EF1E43" w:rsidRDefault="00FF0F9B" w:rsidP="00374F41">
            <w:pPr>
              <w:jc w:val="center"/>
              <w:rPr>
                <w:sz w:val="24"/>
              </w:rPr>
            </w:pPr>
            <w:r w:rsidRPr="00EF1E43">
              <w:rPr>
                <w:sz w:val="24"/>
              </w:rPr>
              <w:t>35630</w:t>
            </w:r>
          </w:p>
        </w:tc>
        <w:tc>
          <w:tcPr>
            <w:tcW w:w="7371" w:type="dxa"/>
            <w:shd w:val="clear" w:color="auto" w:fill="FFFFFF" w:themeFill="background1"/>
            <w:vAlign w:val="center"/>
            <w:hideMark/>
          </w:tcPr>
          <w:p w14:paraId="27A816E1" w14:textId="77777777" w:rsidR="00FF0F9B" w:rsidRPr="00EF1E43" w:rsidRDefault="00FF0F9B" w:rsidP="00374F41">
            <w:pPr>
              <w:rPr>
                <w:sz w:val="24"/>
              </w:rPr>
            </w:pPr>
            <w:r w:rsidRPr="00EF1E43">
              <w:rPr>
                <w:sz w:val="24"/>
              </w:rPr>
              <w:t>Rohan TE, Jain M, Howe GR, et al (2000). Alcohol consumption and risk of breast cancer: a cohort study. Cancer Causes &amp; Control, 11: 239-47.</w:t>
            </w:r>
          </w:p>
        </w:tc>
      </w:tr>
      <w:tr w:rsidR="00EF1E43" w:rsidRPr="00EF1E43" w14:paraId="0DEDE798" w14:textId="77777777" w:rsidTr="00CC61F1">
        <w:trPr>
          <w:cantSplit/>
        </w:trPr>
        <w:tc>
          <w:tcPr>
            <w:tcW w:w="1555" w:type="dxa"/>
            <w:shd w:val="clear" w:color="auto" w:fill="FFFFFF" w:themeFill="background1"/>
            <w:noWrap/>
            <w:vAlign w:val="center"/>
            <w:hideMark/>
          </w:tcPr>
          <w:p w14:paraId="093F88B7" w14:textId="77777777" w:rsidR="00FF0F9B" w:rsidRPr="00EF1E43" w:rsidRDefault="00FF0F9B" w:rsidP="00374F41">
            <w:pPr>
              <w:jc w:val="center"/>
              <w:rPr>
                <w:sz w:val="24"/>
              </w:rPr>
            </w:pPr>
            <w:r w:rsidRPr="00EF1E43">
              <w:rPr>
                <w:sz w:val="24"/>
              </w:rPr>
              <w:t>71679</w:t>
            </w:r>
          </w:p>
        </w:tc>
        <w:tc>
          <w:tcPr>
            <w:tcW w:w="7371" w:type="dxa"/>
            <w:shd w:val="clear" w:color="auto" w:fill="FFFFFF" w:themeFill="background1"/>
            <w:vAlign w:val="center"/>
            <w:hideMark/>
          </w:tcPr>
          <w:p w14:paraId="656C7C6A" w14:textId="77777777" w:rsidR="00FF0F9B" w:rsidRPr="00EF1E43" w:rsidRDefault="00FF0F9B" w:rsidP="00374F41">
            <w:pPr>
              <w:rPr>
                <w:sz w:val="24"/>
              </w:rPr>
            </w:pPr>
            <w:r w:rsidRPr="00EF1E43">
              <w:rPr>
                <w:sz w:val="24"/>
              </w:rPr>
              <w:t>Romieu I (2011). Diet and breast cancer. Salud Publica Mex, 53: 430-9.</w:t>
            </w:r>
          </w:p>
        </w:tc>
      </w:tr>
      <w:tr w:rsidR="00EF1E43" w:rsidRPr="00EF1E43" w14:paraId="0D01520C" w14:textId="77777777" w:rsidTr="00CC61F1">
        <w:trPr>
          <w:cantSplit/>
        </w:trPr>
        <w:tc>
          <w:tcPr>
            <w:tcW w:w="1555" w:type="dxa"/>
            <w:shd w:val="clear" w:color="auto" w:fill="FFFFFF" w:themeFill="background1"/>
            <w:noWrap/>
            <w:vAlign w:val="center"/>
            <w:hideMark/>
          </w:tcPr>
          <w:p w14:paraId="7ADA7A12" w14:textId="77777777" w:rsidR="00FF0F9B" w:rsidRPr="00EF1E43" w:rsidRDefault="00FF0F9B" w:rsidP="00374F41">
            <w:pPr>
              <w:jc w:val="center"/>
              <w:rPr>
                <w:sz w:val="24"/>
              </w:rPr>
            </w:pPr>
            <w:r w:rsidRPr="00EF1E43">
              <w:rPr>
                <w:sz w:val="24"/>
              </w:rPr>
              <w:t>35837</w:t>
            </w:r>
          </w:p>
        </w:tc>
        <w:tc>
          <w:tcPr>
            <w:tcW w:w="7371" w:type="dxa"/>
            <w:shd w:val="clear" w:color="auto" w:fill="FFFFFF" w:themeFill="background1"/>
            <w:vAlign w:val="center"/>
            <w:hideMark/>
          </w:tcPr>
          <w:p w14:paraId="2A8A0C29" w14:textId="77777777" w:rsidR="00FF0F9B" w:rsidRPr="00EF1E43" w:rsidRDefault="00FF0F9B" w:rsidP="00374F41">
            <w:pPr>
              <w:rPr>
                <w:sz w:val="24"/>
              </w:rPr>
            </w:pPr>
            <w:r w:rsidRPr="00EF1E43">
              <w:rPr>
                <w:sz w:val="24"/>
              </w:rPr>
              <w:t>Ron E, Ikeda T, Preston DL, et al (2005). Male breast cancer incidence among atomic bomb survivors. Journal of the National Cancer Institute, 97(8): 603-605.</w:t>
            </w:r>
          </w:p>
        </w:tc>
      </w:tr>
      <w:tr w:rsidR="00EF1E43" w:rsidRPr="00EF1E43" w14:paraId="407689C0" w14:textId="77777777" w:rsidTr="00CC61F1">
        <w:trPr>
          <w:cantSplit/>
        </w:trPr>
        <w:tc>
          <w:tcPr>
            <w:tcW w:w="1555" w:type="dxa"/>
            <w:shd w:val="clear" w:color="auto" w:fill="FFFFFF" w:themeFill="background1"/>
            <w:noWrap/>
            <w:vAlign w:val="center"/>
            <w:hideMark/>
          </w:tcPr>
          <w:p w14:paraId="06B53EF9" w14:textId="77777777" w:rsidR="00FF0F9B" w:rsidRPr="00EF1E43" w:rsidRDefault="00FF0F9B" w:rsidP="00374F41">
            <w:pPr>
              <w:jc w:val="center"/>
              <w:rPr>
                <w:sz w:val="24"/>
              </w:rPr>
            </w:pPr>
            <w:r w:rsidRPr="00EF1E43">
              <w:rPr>
                <w:sz w:val="24"/>
              </w:rPr>
              <w:t>58681</w:t>
            </w:r>
          </w:p>
        </w:tc>
        <w:tc>
          <w:tcPr>
            <w:tcW w:w="7371" w:type="dxa"/>
            <w:shd w:val="clear" w:color="auto" w:fill="FFFFFF" w:themeFill="background1"/>
            <w:vAlign w:val="center"/>
            <w:hideMark/>
          </w:tcPr>
          <w:p w14:paraId="723D9B2A" w14:textId="77777777" w:rsidR="00FF0F9B" w:rsidRPr="00EF1E43" w:rsidRDefault="00FF0F9B" w:rsidP="00374F41">
            <w:pPr>
              <w:rPr>
                <w:sz w:val="24"/>
              </w:rPr>
            </w:pPr>
            <w:r w:rsidRPr="00EF1E43">
              <w:rPr>
                <w:sz w:val="24"/>
              </w:rPr>
              <w:t>Ronckers CM, Doody MM, Lonstein JE, et al (2008). Multiple diagnostic x-rays for spine deformities and risk of breast cancer. Cancer Epidemiol Biomarkers Prev, 17(3): 605-13.</w:t>
            </w:r>
          </w:p>
        </w:tc>
      </w:tr>
      <w:tr w:rsidR="00EF1E43" w:rsidRPr="00EF1E43" w14:paraId="38F292B0" w14:textId="77777777" w:rsidTr="00CC61F1">
        <w:trPr>
          <w:cantSplit/>
        </w:trPr>
        <w:tc>
          <w:tcPr>
            <w:tcW w:w="1555" w:type="dxa"/>
            <w:shd w:val="clear" w:color="auto" w:fill="FFFFFF" w:themeFill="background1"/>
            <w:noWrap/>
            <w:vAlign w:val="center"/>
            <w:hideMark/>
          </w:tcPr>
          <w:p w14:paraId="1E8F6F62" w14:textId="77777777" w:rsidR="00FF0F9B" w:rsidRPr="00EF1E43" w:rsidRDefault="00FF0F9B" w:rsidP="00374F41">
            <w:pPr>
              <w:jc w:val="center"/>
              <w:rPr>
                <w:sz w:val="24"/>
              </w:rPr>
            </w:pPr>
            <w:r w:rsidRPr="00EF1E43">
              <w:rPr>
                <w:sz w:val="24"/>
              </w:rPr>
              <w:t>9247</w:t>
            </w:r>
          </w:p>
        </w:tc>
        <w:tc>
          <w:tcPr>
            <w:tcW w:w="7371" w:type="dxa"/>
            <w:shd w:val="clear" w:color="auto" w:fill="FFFFFF" w:themeFill="background1"/>
            <w:vAlign w:val="center"/>
            <w:hideMark/>
          </w:tcPr>
          <w:p w14:paraId="7FB0B3E7" w14:textId="77777777" w:rsidR="00FF0F9B" w:rsidRPr="00EF1E43" w:rsidRDefault="00FF0F9B" w:rsidP="00374F41">
            <w:pPr>
              <w:rPr>
                <w:sz w:val="24"/>
              </w:rPr>
            </w:pPr>
            <w:r w:rsidRPr="00EF1E43">
              <w:rPr>
                <w:sz w:val="24"/>
              </w:rPr>
              <w:t>Rookus MA, van Leeuwen F (1994). Oral contraceptives and risk of breast cancer in women aged 20-54 years. The Lancet, 344: 844-51.</w:t>
            </w:r>
          </w:p>
        </w:tc>
      </w:tr>
      <w:tr w:rsidR="00EF1E43" w:rsidRPr="00EF1E43" w14:paraId="53690537" w14:textId="77777777" w:rsidTr="00CC61F1">
        <w:trPr>
          <w:cantSplit/>
        </w:trPr>
        <w:tc>
          <w:tcPr>
            <w:tcW w:w="1555" w:type="dxa"/>
            <w:shd w:val="clear" w:color="auto" w:fill="FFFFFF" w:themeFill="background1"/>
            <w:noWrap/>
            <w:vAlign w:val="center"/>
            <w:hideMark/>
          </w:tcPr>
          <w:p w14:paraId="4CF247D2" w14:textId="77777777" w:rsidR="00FF0F9B" w:rsidRPr="00EF1E43" w:rsidRDefault="00FF0F9B" w:rsidP="00374F41">
            <w:pPr>
              <w:jc w:val="center"/>
              <w:rPr>
                <w:sz w:val="24"/>
              </w:rPr>
            </w:pPr>
            <w:r w:rsidRPr="00EF1E43">
              <w:rPr>
                <w:sz w:val="24"/>
              </w:rPr>
              <w:t>9248</w:t>
            </w:r>
          </w:p>
        </w:tc>
        <w:tc>
          <w:tcPr>
            <w:tcW w:w="7371" w:type="dxa"/>
            <w:shd w:val="clear" w:color="auto" w:fill="FFFFFF" w:themeFill="background1"/>
            <w:vAlign w:val="center"/>
            <w:hideMark/>
          </w:tcPr>
          <w:p w14:paraId="05BA33FC" w14:textId="77777777" w:rsidR="00FF0F9B" w:rsidRPr="00EF1E43" w:rsidRDefault="00FF0F9B" w:rsidP="00374F41">
            <w:pPr>
              <w:rPr>
                <w:sz w:val="24"/>
              </w:rPr>
            </w:pPr>
            <w:r w:rsidRPr="00EF1E43">
              <w:rPr>
                <w:sz w:val="24"/>
              </w:rPr>
              <w:t>Rosenbaum PF, Vena JE, Zielezny MA, et al (1994). Occupational exposures associated with male breast cancer. American Journal of Epidemiology, 139(1): 30-6.</w:t>
            </w:r>
          </w:p>
        </w:tc>
      </w:tr>
      <w:tr w:rsidR="00EF1E43" w:rsidRPr="00EF1E43" w14:paraId="613EF542" w14:textId="77777777" w:rsidTr="00CC61F1">
        <w:trPr>
          <w:cantSplit/>
        </w:trPr>
        <w:tc>
          <w:tcPr>
            <w:tcW w:w="1555" w:type="dxa"/>
            <w:shd w:val="clear" w:color="auto" w:fill="FFFFFF" w:themeFill="background1"/>
            <w:noWrap/>
            <w:vAlign w:val="center"/>
            <w:hideMark/>
          </w:tcPr>
          <w:p w14:paraId="7EF9F16F" w14:textId="77777777" w:rsidR="00FF0F9B" w:rsidRPr="00EF1E43" w:rsidRDefault="00FF0F9B" w:rsidP="00374F41">
            <w:pPr>
              <w:jc w:val="center"/>
              <w:rPr>
                <w:sz w:val="24"/>
              </w:rPr>
            </w:pPr>
            <w:r w:rsidRPr="00EF1E43">
              <w:rPr>
                <w:sz w:val="24"/>
              </w:rPr>
              <w:t>9249</w:t>
            </w:r>
          </w:p>
        </w:tc>
        <w:tc>
          <w:tcPr>
            <w:tcW w:w="7371" w:type="dxa"/>
            <w:shd w:val="clear" w:color="auto" w:fill="FFFFFF" w:themeFill="background1"/>
            <w:vAlign w:val="center"/>
            <w:hideMark/>
          </w:tcPr>
          <w:p w14:paraId="55B02316" w14:textId="77777777" w:rsidR="00FF0F9B" w:rsidRPr="00EF1E43" w:rsidRDefault="00FF0F9B" w:rsidP="00374F41">
            <w:pPr>
              <w:rPr>
                <w:sz w:val="24"/>
              </w:rPr>
            </w:pPr>
            <w:r w:rsidRPr="00EF1E43">
              <w:rPr>
                <w:sz w:val="24"/>
              </w:rPr>
              <w:t>Rosenberg L, Palmer JR, Rao RS, et al (1996). Case-control study of oral contraceptive use and risk of breast cancer. American Journal of Epidemiology, 143(1): 25-37.</w:t>
            </w:r>
          </w:p>
        </w:tc>
      </w:tr>
      <w:tr w:rsidR="00EF1E43" w:rsidRPr="00EF1E43" w14:paraId="0BAB15DE" w14:textId="77777777" w:rsidTr="00CC61F1">
        <w:trPr>
          <w:cantSplit/>
        </w:trPr>
        <w:tc>
          <w:tcPr>
            <w:tcW w:w="1555" w:type="dxa"/>
            <w:shd w:val="clear" w:color="auto" w:fill="FFFFFF" w:themeFill="background1"/>
            <w:noWrap/>
            <w:vAlign w:val="center"/>
            <w:hideMark/>
          </w:tcPr>
          <w:p w14:paraId="4753BEE4" w14:textId="77777777" w:rsidR="00FF0F9B" w:rsidRPr="00EF1E43" w:rsidRDefault="00FF0F9B" w:rsidP="00374F41">
            <w:pPr>
              <w:jc w:val="center"/>
              <w:rPr>
                <w:sz w:val="24"/>
              </w:rPr>
            </w:pPr>
            <w:r w:rsidRPr="00EF1E43">
              <w:rPr>
                <w:sz w:val="24"/>
              </w:rPr>
              <w:t>9250</w:t>
            </w:r>
          </w:p>
        </w:tc>
        <w:tc>
          <w:tcPr>
            <w:tcW w:w="7371" w:type="dxa"/>
            <w:shd w:val="clear" w:color="auto" w:fill="FFFFFF" w:themeFill="background1"/>
            <w:vAlign w:val="center"/>
            <w:hideMark/>
          </w:tcPr>
          <w:p w14:paraId="72CF0977" w14:textId="77777777" w:rsidR="00FF0F9B" w:rsidRPr="00EF1E43" w:rsidRDefault="00FF0F9B" w:rsidP="00374F41">
            <w:pPr>
              <w:rPr>
                <w:sz w:val="24"/>
              </w:rPr>
            </w:pPr>
            <w:r w:rsidRPr="00EF1E43">
              <w:rPr>
                <w:sz w:val="24"/>
              </w:rPr>
              <w:t>Rossing MA, Stanford JL, Weiss NS, et al (1996). Oral contraceptive use and risk of breast cancer in middle-aged women. American Journal of Epidemiology, 144(2): 161-4.</w:t>
            </w:r>
          </w:p>
        </w:tc>
      </w:tr>
      <w:tr w:rsidR="00EF1E43" w:rsidRPr="00EF1E43" w14:paraId="4E062F2E" w14:textId="77777777" w:rsidTr="00CC61F1">
        <w:trPr>
          <w:cantSplit/>
        </w:trPr>
        <w:tc>
          <w:tcPr>
            <w:tcW w:w="1555" w:type="dxa"/>
            <w:shd w:val="clear" w:color="auto" w:fill="FFFFFF" w:themeFill="background1"/>
            <w:noWrap/>
            <w:vAlign w:val="center"/>
            <w:hideMark/>
          </w:tcPr>
          <w:p w14:paraId="3D728E09" w14:textId="77777777" w:rsidR="00FF0F9B" w:rsidRPr="00EF1E43" w:rsidRDefault="00FF0F9B" w:rsidP="00374F41">
            <w:pPr>
              <w:jc w:val="center"/>
              <w:rPr>
                <w:sz w:val="24"/>
              </w:rPr>
            </w:pPr>
            <w:r w:rsidRPr="00EF1E43">
              <w:rPr>
                <w:sz w:val="24"/>
              </w:rPr>
              <w:t>35723</w:t>
            </w:r>
          </w:p>
        </w:tc>
        <w:tc>
          <w:tcPr>
            <w:tcW w:w="7371" w:type="dxa"/>
            <w:shd w:val="clear" w:color="auto" w:fill="FFFFFF" w:themeFill="background1"/>
            <w:vAlign w:val="center"/>
            <w:hideMark/>
          </w:tcPr>
          <w:p w14:paraId="6EBFC56F" w14:textId="77777777" w:rsidR="00FF0F9B" w:rsidRPr="00EF1E43" w:rsidRDefault="00FF0F9B" w:rsidP="00374F41">
            <w:pPr>
              <w:rPr>
                <w:sz w:val="24"/>
              </w:rPr>
            </w:pPr>
            <w:r w:rsidRPr="00EF1E43">
              <w:rPr>
                <w:sz w:val="24"/>
              </w:rPr>
              <w:t>Rossouw JE, Anderson GL, Prentice RL, et al (2002). Risks and Benefits of Estrogen Plus Progestin in Healthy Postmenopausal Woman. JAMA, 288: 321-33.</w:t>
            </w:r>
          </w:p>
        </w:tc>
      </w:tr>
      <w:tr w:rsidR="00EF1E43" w:rsidRPr="00EF1E43" w14:paraId="2FCEF35E" w14:textId="77777777" w:rsidTr="00CC61F1">
        <w:trPr>
          <w:cantSplit/>
        </w:trPr>
        <w:tc>
          <w:tcPr>
            <w:tcW w:w="1555" w:type="dxa"/>
            <w:shd w:val="clear" w:color="auto" w:fill="FFFFFF" w:themeFill="background1"/>
            <w:noWrap/>
            <w:vAlign w:val="center"/>
            <w:hideMark/>
          </w:tcPr>
          <w:p w14:paraId="5E4CDB4A" w14:textId="77777777" w:rsidR="00FF0F9B" w:rsidRPr="00EF1E43" w:rsidRDefault="00FF0F9B" w:rsidP="00374F41">
            <w:pPr>
              <w:jc w:val="center"/>
              <w:rPr>
                <w:sz w:val="24"/>
              </w:rPr>
            </w:pPr>
            <w:r w:rsidRPr="00EF1E43">
              <w:rPr>
                <w:sz w:val="24"/>
              </w:rPr>
              <w:t>9251</w:t>
            </w:r>
          </w:p>
        </w:tc>
        <w:tc>
          <w:tcPr>
            <w:tcW w:w="7371" w:type="dxa"/>
            <w:shd w:val="clear" w:color="auto" w:fill="FFFFFF" w:themeFill="background1"/>
            <w:vAlign w:val="center"/>
            <w:hideMark/>
          </w:tcPr>
          <w:p w14:paraId="45858F15" w14:textId="77777777" w:rsidR="00FF0F9B" w:rsidRPr="00EF1E43" w:rsidRDefault="00FF0F9B" w:rsidP="00374F41">
            <w:pPr>
              <w:rPr>
                <w:sz w:val="24"/>
              </w:rPr>
            </w:pPr>
            <w:r w:rsidRPr="00EF1E43">
              <w:rPr>
                <w:sz w:val="24"/>
              </w:rPr>
              <w:t>Roth HD, Levy PS, Shi L, et al (1994). Alcoholic beverages and breast cancer: some observations on published case-control studies. J Clin Epidemiol, 47(2): 207-16.</w:t>
            </w:r>
          </w:p>
        </w:tc>
      </w:tr>
      <w:tr w:rsidR="00EF1E43" w:rsidRPr="00EF1E43" w14:paraId="13217A61" w14:textId="77777777" w:rsidTr="00CC61F1">
        <w:trPr>
          <w:cantSplit/>
        </w:trPr>
        <w:tc>
          <w:tcPr>
            <w:tcW w:w="1555" w:type="dxa"/>
            <w:shd w:val="clear" w:color="auto" w:fill="FFFFFF" w:themeFill="background1"/>
            <w:noWrap/>
            <w:vAlign w:val="center"/>
            <w:hideMark/>
          </w:tcPr>
          <w:p w14:paraId="315B35B7" w14:textId="77777777" w:rsidR="00FF0F9B" w:rsidRPr="00EF1E43" w:rsidRDefault="00FF0F9B" w:rsidP="00374F41">
            <w:pPr>
              <w:jc w:val="center"/>
              <w:rPr>
                <w:sz w:val="24"/>
              </w:rPr>
            </w:pPr>
            <w:r w:rsidRPr="00EF1E43">
              <w:rPr>
                <w:sz w:val="24"/>
              </w:rPr>
              <w:t>87216</w:t>
            </w:r>
          </w:p>
        </w:tc>
        <w:tc>
          <w:tcPr>
            <w:tcW w:w="7371" w:type="dxa"/>
            <w:shd w:val="clear" w:color="auto" w:fill="FFFFFF" w:themeFill="background1"/>
            <w:vAlign w:val="center"/>
            <w:hideMark/>
          </w:tcPr>
          <w:p w14:paraId="13287BC9" w14:textId="77777777" w:rsidR="00FF0F9B" w:rsidRPr="00EF1E43" w:rsidRDefault="00FF0F9B" w:rsidP="00374F41">
            <w:pPr>
              <w:rPr>
                <w:sz w:val="24"/>
              </w:rPr>
            </w:pPr>
            <w:r w:rsidRPr="00EF1E43">
              <w:rPr>
                <w:sz w:val="24"/>
              </w:rPr>
              <w:t>Roy D, Morgan M, Yoo C, et al (2015). Integrated bioinformatics, environmental epidemiologice and genomic approaches to identify environmental and molecular links between endometriosis and breast cancer. Int J Mol Sci, 16(10): 25285-322.</w:t>
            </w:r>
          </w:p>
        </w:tc>
      </w:tr>
      <w:tr w:rsidR="00EF1E43" w:rsidRPr="00EF1E43" w14:paraId="595B37D1" w14:textId="77777777" w:rsidTr="00CC61F1">
        <w:trPr>
          <w:cantSplit/>
        </w:trPr>
        <w:tc>
          <w:tcPr>
            <w:tcW w:w="1555" w:type="dxa"/>
            <w:shd w:val="clear" w:color="auto" w:fill="FFFFFF" w:themeFill="background1"/>
            <w:noWrap/>
            <w:vAlign w:val="center"/>
            <w:hideMark/>
          </w:tcPr>
          <w:p w14:paraId="0660A319" w14:textId="77777777" w:rsidR="00FF0F9B" w:rsidRPr="00EF1E43" w:rsidRDefault="00FF0F9B" w:rsidP="00374F41">
            <w:pPr>
              <w:jc w:val="center"/>
              <w:rPr>
                <w:sz w:val="24"/>
              </w:rPr>
            </w:pPr>
            <w:r w:rsidRPr="00EF1E43">
              <w:rPr>
                <w:sz w:val="24"/>
              </w:rPr>
              <w:t>9252</w:t>
            </w:r>
          </w:p>
        </w:tc>
        <w:tc>
          <w:tcPr>
            <w:tcW w:w="7371" w:type="dxa"/>
            <w:shd w:val="clear" w:color="auto" w:fill="FFFFFF" w:themeFill="background1"/>
            <w:vAlign w:val="center"/>
            <w:hideMark/>
          </w:tcPr>
          <w:p w14:paraId="445DB0FA" w14:textId="77777777" w:rsidR="00FF0F9B" w:rsidRPr="00EF1E43" w:rsidRDefault="00FF0F9B" w:rsidP="00374F41">
            <w:pPr>
              <w:rPr>
                <w:sz w:val="24"/>
              </w:rPr>
            </w:pPr>
            <w:r w:rsidRPr="00EF1E43">
              <w:rPr>
                <w:sz w:val="24"/>
              </w:rPr>
              <w:t>Roy JA, Sawka CA, Pritchard KI (1996). Hormone replacement therapy in women with breast cancer: do the risks outweigh the benefits? J Clin Oncology, 14(3): 997-1006.</w:t>
            </w:r>
          </w:p>
        </w:tc>
      </w:tr>
      <w:tr w:rsidR="00EF1E43" w:rsidRPr="00EF1E43" w14:paraId="11978EFA" w14:textId="77777777" w:rsidTr="00CC61F1">
        <w:trPr>
          <w:cantSplit/>
        </w:trPr>
        <w:tc>
          <w:tcPr>
            <w:tcW w:w="1555" w:type="dxa"/>
            <w:shd w:val="clear" w:color="auto" w:fill="FFFFFF" w:themeFill="background1"/>
            <w:noWrap/>
            <w:vAlign w:val="center"/>
            <w:hideMark/>
          </w:tcPr>
          <w:p w14:paraId="1B793454" w14:textId="77777777" w:rsidR="00FF0F9B" w:rsidRPr="00EF1E43" w:rsidRDefault="00FF0F9B" w:rsidP="00374F41">
            <w:pPr>
              <w:jc w:val="center"/>
              <w:rPr>
                <w:sz w:val="24"/>
              </w:rPr>
            </w:pPr>
            <w:r w:rsidRPr="00EF1E43">
              <w:rPr>
                <w:sz w:val="24"/>
              </w:rPr>
              <w:t>71680</w:t>
            </w:r>
          </w:p>
        </w:tc>
        <w:tc>
          <w:tcPr>
            <w:tcW w:w="7371" w:type="dxa"/>
            <w:shd w:val="clear" w:color="auto" w:fill="FFFFFF" w:themeFill="background1"/>
            <w:vAlign w:val="center"/>
            <w:hideMark/>
          </w:tcPr>
          <w:p w14:paraId="13D94778" w14:textId="77777777" w:rsidR="00FF0F9B" w:rsidRPr="00EF1E43" w:rsidRDefault="00FF0F9B" w:rsidP="00374F41">
            <w:pPr>
              <w:rPr>
                <w:sz w:val="24"/>
              </w:rPr>
            </w:pPr>
            <w:r w:rsidRPr="00EF1E43">
              <w:rPr>
                <w:sz w:val="24"/>
              </w:rPr>
              <w:t>Rudel RA, Fenton SE, Ackerman JM, et al (2011). Environmental exposures and mammary gland development: state of the science, public health implications, and research recommendations. Environ Health Perspect, 119(8): 1053-61.</w:t>
            </w:r>
          </w:p>
        </w:tc>
      </w:tr>
      <w:tr w:rsidR="00EF1E43" w:rsidRPr="00EF1E43" w14:paraId="12821687" w14:textId="77777777" w:rsidTr="00CC61F1">
        <w:trPr>
          <w:cantSplit/>
        </w:trPr>
        <w:tc>
          <w:tcPr>
            <w:tcW w:w="1555" w:type="dxa"/>
            <w:shd w:val="clear" w:color="auto" w:fill="FFFFFF" w:themeFill="background1"/>
            <w:noWrap/>
            <w:vAlign w:val="center"/>
            <w:hideMark/>
          </w:tcPr>
          <w:p w14:paraId="7E54D220" w14:textId="77777777" w:rsidR="00FF0F9B" w:rsidRPr="00EF1E43" w:rsidRDefault="00FF0F9B" w:rsidP="00374F41">
            <w:pPr>
              <w:jc w:val="center"/>
              <w:rPr>
                <w:sz w:val="24"/>
              </w:rPr>
            </w:pPr>
            <w:r w:rsidRPr="00EF1E43">
              <w:rPr>
                <w:sz w:val="24"/>
              </w:rPr>
              <w:t>71716</w:t>
            </w:r>
          </w:p>
        </w:tc>
        <w:tc>
          <w:tcPr>
            <w:tcW w:w="7371" w:type="dxa"/>
            <w:shd w:val="clear" w:color="auto" w:fill="FFFFFF" w:themeFill="background1"/>
            <w:vAlign w:val="center"/>
            <w:hideMark/>
          </w:tcPr>
          <w:p w14:paraId="170E1681" w14:textId="77777777" w:rsidR="00FF0F9B" w:rsidRPr="00EF1E43" w:rsidRDefault="00FF0F9B" w:rsidP="00374F41">
            <w:pPr>
              <w:rPr>
                <w:sz w:val="24"/>
              </w:rPr>
            </w:pPr>
            <w:r w:rsidRPr="00EF1E43">
              <w:rPr>
                <w:sz w:val="24"/>
              </w:rPr>
              <w:t>Ruder AM, Hein MJ, Hopf NB, et al (2014). Mortality among 24,865 workers exposed to polychlorinated biphenyls (PCBs) in three electrical capacitor manufacturing plants:  A ten-year update. Int J Hyg Environ Health, 217(2-3): 176-87.</w:t>
            </w:r>
          </w:p>
        </w:tc>
      </w:tr>
      <w:tr w:rsidR="00EF1E43" w:rsidRPr="00EF1E43" w14:paraId="5DC3FF18" w14:textId="77777777" w:rsidTr="00CC61F1">
        <w:trPr>
          <w:cantSplit/>
        </w:trPr>
        <w:tc>
          <w:tcPr>
            <w:tcW w:w="1555" w:type="dxa"/>
            <w:shd w:val="clear" w:color="auto" w:fill="FFFFFF" w:themeFill="background1"/>
            <w:noWrap/>
            <w:vAlign w:val="center"/>
            <w:hideMark/>
          </w:tcPr>
          <w:p w14:paraId="23A6ED58" w14:textId="77777777" w:rsidR="00FF0F9B" w:rsidRPr="00EF1E43" w:rsidRDefault="00FF0F9B" w:rsidP="00374F41">
            <w:pPr>
              <w:jc w:val="center"/>
              <w:rPr>
                <w:sz w:val="24"/>
              </w:rPr>
            </w:pPr>
            <w:r w:rsidRPr="00EF1E43">
              <w:rPr>
                <w:sz w:val="24"/>
              </w:rPr>
              <w:lastRenderedPageBreak/>
              <w:t>9253</w:t>
            </w:r>
          </w:p>
        </w:tc>
        <w:tc>
          <w:tcPr>
            <w:tcW w:w="7371" w:type="dxa"/>
            <w:shd w:val="clear" w:color="auto" w:fill="FFFFFF" w:themeFill="background1"/>
            <w:vAlign w:val="center"/>
            <w:hideMark/>
          </w:tcPr>
          <w:p w14:paraId="55EC1A91" w14:textId="77777777" w:rsidR="00FF0F9B" w:rsidRPr="00EF1E43" w:rsidRDefault="00FF0F9B" w:rsidP="00374F41">
            <w:pPr>
              <w:rPr>
                <w:sz w:val="24"/>
              </w:rPr>
            </w:pPr>
            <w:r w:rsidRPr="00EF1E43">
              <w:rPr>
                <w:sz w:val="24"/>
              </w:rPr>
              <w:t>Rushton L, Jones DR (1992). Oral contraceptive use and breast cancer risk: a meta-analysis of variations with age at diagnosis, parity and total duration of oral contraceptive use. British Journal of Obstetrics and Gynaecology, 99: 239-46.</w:t>
            </w:r>
          </w:p>
        </w:tc>
      </w:tr>
      <w:tr w:rsidR="00EF1E43" w:rsidRPr="00EF1E43" w14:paraId="1861781B" w14:textId="77777777" w:rsidTr="00CC61F1">
        <w:trPr>
          <w:cantSplit/>
        </w:trPr>
        <w:tc>
          <w:tcPr>
            <w:tcW w:w="1555" w:type="dxa"/>
            <w:shd w:val="clear" w:color="auto" w:fill="FFFFFF" w:themeFill="background1"/>
            <w:noWrap/>
            <w:vAlign w:val="center"/>
            <w:hideMark/>
          </w:tcPr>
          <w:p w14:paraId="431E346E" w14:textId="77777777" w:rsidR="00FF0F9B" w:rsidRPr="00EF1E43" w:rsidRDefault="00FF0F9B" w:rsidP="00374F41">
            <w:pPr>
              <w:jc w:val="center"/>
              <w:rPr>
                <w:sz w:val="24"/>
              </w:rPr>
            </w:pPr>
            <w:r w:rsidRPr="00EF1E43">
              <w:rPr>
                <w:sz w:val="24"/>
              </w:rPr>
              <w:t>71681</w:t>
            </w:r>
          </w:p>
        </w:tc>
        <w:tc>
          <w:tcPr>
            <w:tcW w:w="7371" w:type="dxa"/>
            <w:shd w:val="clear" w:color="auto" w:fill="FFFFFF" w:themeFill="background1"/>
            <w:vAlign w:val="center"/>
            <w:hideMark/>
          </w:tcPr>
          <w:p w14:paraId="78CE2B56" w14:textId="77777777" w:rsidR="00FF0F9B" w:rsidRPr="00EF1E43" w:rsidRDefault="00FF0F9B" w:rsidP="00374F41">
            <w:pPr>
              <w:rPr>
                <w:sz w:val="24"/>
              </w:rPr>
            </w:pPr>
            <w:r w:rsidRPr="00EF1E43">
              <w:rPr>
                <w:sz w:val="24"/>
              </w:rPr>
              <w:t>Russo IH, Russo J (2011). Pregnancy-induced changes in breast cancer risk. J Mammory Glad Biol Neoplasia, 16: 221-33.</w:t>
            </w:r>
          </w:p>
        </w:tc>
      </w:tr>
      <w:tr w:rsidR="00EF1E43" w:rsidRPr="00EF1E43" w14:paraId="011705BD" w14:textId="77777777" w:rsidTr="00CC61F1">
        <w:trPr>
          <w:cantSplit/>
        </w:trPr>
        <w:tc>
          <w:tcPr>
            <w:tcW w:w="1555" w:type="dxa"/>
            <w:shd w:val="clear" w:color="auto" w:fill="FFFFFF" w:themeFill="background1"/>
            <w:noWrap/>
            <w:vAlign w:val="center"/>
            <w:hideMark/>
          </w:tcPr>
          <w:p w14:paraId="6E497301" w14:textId="77777777" w:rsidR="00FF0F9B" w:rsidRPr="00EF1E43" w:rsidRDefault="00FF0F9B" w:rsidP="00374F41">
            <w:pPr>
              <w:jc w:val="center"/>
              <w:rPr>
                <w:sz w:val="24"/>
              </w:rPr>
            </w:pPr>
            <w:r w:rsidRPr="00EF1E43">
              <w:rPr>
                <w:sz w:val="24"/>
              </w:rPr>
              <w:t>25845</w:t>
            </w:r>
          </w:p>
        </w:tc>
        <w:tc>
          <w:tcPr>
            <w:tcW w:w="7371" w:type="dxa"/>
            <w:shd w:val="clear" w:color="auto" w:fill="FFFFFF" w:themeFill="background1"/>
            <w:vAlign w:val="center"/>
            <w:hideMark/>
          </w:tcPr>
          <w:p w14:paraId="12CDED58" w14:textId="77777777" w:rsidR="00FF0F9B" w:rsidRPr="00EF1E43" w:rsidRDefault="00FF0F9B" w:rsidP="00374F41">
            <w:pPr>
              <w:rPr>
                <w:sz w:val="24"/>
              </w:rPr>
            </w:pPr>
            <w:r w:rsidRPr="00EF1E43">
              <w:rPr>
                <w:sz w:val="24"/>
              </w:rPr>
              <w:t>Samson M, Porter N, Orekoya O, et al (2016). Progestin and breast cancer risk: a systematic review. Breast Cancer Res Treat, 155(1): 3-12.</w:t>
            </w:r>
          </w:p>
        </w:tc>
      </w:tr>
      <w:tr w:rsidR="00EF1E43" w:rsidRPr="00EF1E43" w14:paraId="53C61E95" w14:textId="77777777" w:rsidTr="00CC61F1">
        <w:trPr>
          <w:cantSplit/>
        </w:trPr>
        <w:tc>
          <w:tcPr>
            <w:tcW w:w="1555" w:type="dxa"/>
            <w:shd w:val="clear" w:color="auto" w:fill="FFFFFF" w:themeFill="background1"/>
            <w:noWrap/>
            <w:vAlign w:val="center"/>
            <w:hideMark/>
          </w:tcPr>
          <w:p w14:paraId="6B43E30C" w14:textId="77777777" w:rsidR="00FF0F9B" w:rsidRPr="00EF1E43" w:rsidRDefault="00FF0F9B" w:rsidP="00374F41">
            <w:pPr>
              <w:jc w:val="center"/>
              <w:rPr>
                <w:sz w:val="24"/>
              </w:rPr>
            </w:pPr>
            <w:r w:rsidRPr="00EF1E43">
              <w:rPr>
                <w:sz w:val="24"/>
              </w:rPr>
              <w:t>28075</w:t>
            </w:r>
          </w:p>
        </w:tc>
        <w:tc>
          <w:tcPr>
            <w:tcW w:w="7371" w:type="dxa"/>
            <w:shd w:val="clear" w:color="auto" w:fill="FFFFFF" w:themeFill="background1"/>
            <w:vAlign w:val="center"/>
            <w:hideMark/>
          </w:tcPr>
          <w:p w14:paraId="266A36D4" w14:textId="77777777" w:rsidR="00FF0F9B" w:rsidRPr="00EF1E43" w:rsidRDefault="00FF0F9B" w:rsidP="00374F41">
            <w:pPr>
              <w:rPr>
                <w:sz w:val="24"/>
              </w:rPr>
            </w:pPr>
            <w:r w:rsidRPr="00EF1E43">
              <w:rPr>
                <w:sz w:val="24"/>
              </w:rPr>
              <w:t>Samson ME, Adams SA, Mulatya CM, et al (2017). Types of oral contraceptives and breast cancer survival among women enrolled in Medicaid: A competing-risk model. Maturitas, 95: 42-9.</w:t>
            </w:r>
          </w:p>
        </w:tc>
      </w:tr>
      <w:tr w:rsidR="00EF1E43" w:rsidRPr="00EF1E43" w14:paraId="10A9F20A" w14:textId="77777777" w:rsidTr="00CC61F1">
        <w:trPr>
          <w:cantSplit/>
        </w:trPr>
        <w:tc>
          <w:tcPr>
            <w:tcW w:w="1555" w:type="dxa"/>
            <w:shd w:val="clear" w:color="auto" w:fill="FFFFFF" w:themeFill="background1"/>
            <w:noWrap/>
            <w:vAlign w:val="center"/>
            <w:hideMark/>
          </w:tcPr>
          <w:p w14:paraId="7290237A" w14:textId="77777777" w:rsidR="00FF0F9B" w:rsidRPr="00EF1E43" w:rsidRDefault="00FF0F9B" w:rsidP="00374F41">
            <w:pPr>
              <w:jc w:val="center"/>
              <w:rPr>
                <w:sz w:val="24"/>
              </w:rPr>
            </w:pPr>
            <w:r w:rsidRPr="00EF1E43">
              <w:rPr>
                <w:sz w:val="24"/>
              </w:rPr>
              <w:t>4722</w:t>
            </w:r>
          </w:p>
        </w:tc>
        <w:tc>
          <w:tcPr>
            <w:tcW w:w="7371" w:type="dxa"/>
            <w:shd w:val="clear" w:color="auto" w:fill="FFFFFF" w:themeFill="background1"/>
            <w:vAlign w:val="center"/>
            <w:hideMark/>
          </w:tcPr>
          <w:p w14:paraId="1EADE7FF" w14:textId="77777777" w:rsidR="00FF0F9B" w:rsidRPr="00EF1E43" w:rsidRDefault="00FF0F9B" w:rsidP="00374F41">
            <w:pPr>
              <w:rPr>
                <w:sz w:val="24"/>
              </w:rPr>
            </w:pPr>
            <w:r w:rsidRPr="00EF1E43">
              <w:rPr>
                <w:sz w:val="24"/>
              </w:rPr>
              <w:t>Sandler B, Carman C, Perry RR (1994). Cancer of the male breast. Am Surg, 60(11): 816-20.</w:t>
            </w:r>
          </w:p>
        </w:tc>
      </w:tr>
      <w:tr w:rsidR="00EF1E43" w:rsidRPr="00EF1E43" w14:paraId="53F4FB6F" w14:textId="77777777" w:rsidTr="00CC61F1">
        <w:trPr>
          <w:cantSplit/>
        </w:trPr>
        <w:tc>
          <w:tcPr>
            <w:tcW w:w="1555" w:type="dxa"/>
            <w:shd w:val="clear" w:color="auto" w:fill="FFFFFF" w:themeFill="background1"/>
            <w:noWrap/>
            <w:vAlign w:val="center"/>
            <w:hideMark/>
          </w:tcPr>
          <w:p w14:paraId="62B71949" w14:textId="77777777" w:rsidR="00FF0F9B" w:rsidRPr="00EF1E43" w:rsidRDefault="00FF0F9B" w:rsidP="00374F41">
            <w:pPr>
              <w:jc w:val="center"/>
              <w:rPr>
                <w:sz w:val="24"/>
              </w:rPr>
            </w:pPr>
            <w:r w:rsidRPr="00EF1E43">
              <w:rPr>
                <w:sz w:val="24"/>
              </w:rPr>
              <w:t>35600</w:t>
            </w:r>
          </w:p>
        </w:tc>
        <w:tc>
          <w:tcPr>
            <w:tcW w:w="7371" w:type="dxa"/>
            <w:shd w:val="clear" w:color="auto" w:fill="FFFFFF" w:themeFill="background1"/>
            <w:vAlign w:val="center"/>
            <w:hideMark/>
          </w:tcPr>
          <w:p w14:paraId="2551F371" w14:textId="77777777" w:rsidR="00FF0F9B" w:rsidRPr="00EF1E43" w:rsidRDefault="00FF0F9B" w:rsidP="00374F41">
            <w:pPr>
              <w:rPr>
                <w:sz w:val="24"/>
              </w:rPr>
            </w:pPr>
            <w:r w:rsidRPr="00EF1E43">
              <w:rPr>
                <w:sz w:val="24"/>
              </w:rPr>
              <w:t>Sandler DP (2003). On electric blankets and breast cancer [Editorial]. Epidemiology, 14(5): 509-10.</w:t>
            </w:r>
          </w:p>
        </w:tc>
      </w:tr>
      <w:tr w:rsidR="00EF1E43" w:rsidRPr="00EF1E43" w14:paraId="32EB23B3" w14:textId="77777777" w:rsidTr="00CC61F1">
        <w:trPr>
          <w:cantSplit/>
        </w:trPr>
        <w:tc>
          <w:tcPr>
            <w:tcW w:w="1555" w:type="dxa"/>
            <w:shd w:val="clear" w:color="auto" w:fill="FFFFFF" w:themeFill="background1"/>
            <w:noWrap/>
            <w:vAlign w:val="center"/>
            <w:hideMark/>
          </w:tcPr>
          <w:p w14:paraId="785EB2CE" w14:textId="77777777" w:rsidR="00FF0F9B" w:rsidRPr="00EF1E43" w:rsidRDefault="00FF0F9B" w:rsidP="00374F41">
            <w:pPr>
              <w:jc w:val="center"/>
              <w:rPr>
                <w:sz w:val="24"/>
              </w:rPr>
            </w:pPr>
            <w:r w:rsidRPr="00EF1E43">
              <w:rPr>
                <w:sz w:val="24"/>
              </w:rPr>
              <w:t>4771</w:t>
            </w:r>
          </w:p>
        </w:tc>
        <w:tc>
          <w:tcPr>
            <w:tcW w:w="7371" w:type="dxa"/>
            <w:shd w:val="clear" w:color="auto" w:fill="FFFFFF" w:themeFill="background1"/>
            <w:vAlign w:val="center"/>
            <w:hideMark/>
          </w:tcPr>
          <w:p w14:paraId="63FE6EBD" w14:textId="77777777" w:rsidR="00FF0F9B" w:rsidRPr="00EF1E43" w:rsidRDefault="00FF0F9B" w:rsidP="00374F41">
            <w:pPr>
              <w:rPr>
                <w:sz w:val="24"/>
              </w:rPr>
            </w:pPr>
            <w:r w:rsidRPr="00EF1E43">
              <w:rPr>
                <w:sz w:val="24"/>
              </w:rPr>
              <w:t>Sara AS, Gottfried MR (1987). Single case reports - benign papilloma of the male breast following chronic phenothiazine therapy. Am J Clin Pathol, 87: 649-50.</w:t>
            </w:r>
          </w:p>
        </w:tc>
      </w:tr>
      <w:tr w:rsidR="00EF1E43" w:rsidRPr="00EF1E43" w14:paraId="2BFDEB59" w14:textId="77777777" w:rsidTr="00CC61F1">
        <w:trPr>
          <w:cantSplit/>
        </w:trPr>
        <w:tc>
          <w:tcPr>
            <w:tcW w:w="1555" w:type="dxa"/>
            <w:shd w:val="clear" w:color="auto" w:fill="FFFFFF" w:themeFill="background1"/>
            <w:noWrap/>
            <w:vAlign w:val="center"/>
            <w:hideMark/>
          </w:tcPr>
          <w:p w14:paraId="01C5581B" w14:textId="77777777" w:rsidR="00FF0F9B" w:rsidRPr="00EF1E43" w:rsidRDefault="00FF0F9B" w:rsidP="00374F41">
            <w:pPr>
              <w:jc w:val="center"/>
              <w:rPr>
                <w:sz w:val="24"/>
              </w:rPr>
            </w:pPr>
            <w:r w:rsidRPr="00EF1E43">
              <w:rPr>
                <w:sz w:val="24"/>
              </w:rPr>
              <w:t>9546</w:t>
            </w:r>
          </w:p>
        </w:tc>
        <w:tc>
          <w:tcPr>
            <w:tcW w:w="7371" w:type="dxa"/>
            <w:shd w:val="clear" w:color="auto" w:fill="FFFFFF" w:themeFill="background1"/>
            <w:vAlign w:val="center"/>
            <w:hideMark/>
          </w:tcPr>
          <w:p w14:paraId="0AD1C1A1" w14:textId="77777777" w:rsidR="00FF0F9B" w:rsidRPr="00EF1E43" w:rsidRDefault="00FF0F9B" w:rsidP="00374F41">
            <w:pPr>
              <w:rPr>
                <w:sz w:val="24"/>
              </w:rPr>
            </w:pPr>
            <w:r w:rsidRPr="00EF1E43">
              <w:rPr>
                <w:sz w:val="24"/>
              </w:rPr>
              <w:t>Sasco AJ, Lowenfels AB, Pasker-De Jong P (1993). Review article: epidemiology of male breast cancer. A meta-analysis of published case-control studies and discussion of selected aetiological factors. Int J Cancer, 53: 538-49.</w:t>
            </w:r>
          </w:p>
        </w:tc>
      </w:tr>
      <w:tr w:rsidR="00EF1E43" w:rsidRPr="00EF1E43" w14:paraId="7F45F45B" w14:textId="77777777" w:rsidTr="00CC61F1">
        <w:trPr>
          <w:cantSplit/>
        </w:trPr>
        <w:tc>
          <w:tcPr>
            <w:tcW w:w="1555" w:type="dxa"/>
            <w:shd w:val="clear" w:color="auto" w:fill="FFFFFF" w:themeFill="background1"/>
            <w:noWrap/>
            <w:vAlign w:val="center"/>
            <w:hideMark/>
          </w:tcPr>
          <w:p w14:paraId="473A8618" w14:textId="77777777" w:rsidR="00FF0F9B" w:rsidRPr="00EF1E43" w:rsidRDefault="00FF0F9B" w:rsidP="00374F41">
            <w:pPr>
              <w:jc w:val="center"/>
              <w:rPr>
                <w:sz w:val="24"/>
              </w:rPr>
            </w:pPr>
            <w:r w:rsidRPr="00EF1E43">
              <w:rPr>
                <w:sz w:val="24"/>
              </w:rPr>
              <w:t>62247</w:t>
            </w:r>
          </w:p>
        </w:tc>
        <w:tc>
          <w:tcPr>
            <w:tcW w:w="7371" w:type="dxa"/>
            <w:shd w:val="clear" w:color="auto" w:fill="FFFFFF" w:themeFill="background1"/>
            <w:vAlign w:val="center"/>
            <w:hideMark/>
          </w:tcPr>
          <w:p w14:paraId="2B373055" w14:textId="77777777" w:rsidR="00FF0F9B" w:rsidRPr="00EF1E43" w:rsidRDefault="00FF0F9B" w:rsidP="00374F41">
            <w:pPr>
              <w:rPr>
                <w:sz w:val="24"/>
              </w:rPr>
            </w:pPr>
            <w:r w:rsidRPr="00EF1E43">
              <w:rPr>
                <w:sz w:val="24"/>
              </w:rPr>
              <w:t>Sathiakumar N, MacLennan PA, Mandel J, et al (2011). A review of epidemiologic studies of triazine herbicides and cancer. Crit Rev Toxicol, S1: 1-34.</w:t>
            </w:r>
          </w:p>
        </w:tc>
      </w:tr>
      <w:tr w:rsidR="00EF1E43" w:rsidRPr="00EF1E43" w14:paraId="096D3B64" w14:textId="77777777" w:rsidTr="00CC61F1">
        <w:trPr>
          <w:cantSplit/>
        </w:trPr>
        <w:tc>
          <w:tcPr>
            <w:tcW w:w="1555" w:type="dxa"/>
            <w:shd w:val="clear" w:color="auto" w:fill="FFFFFF" w:themeFill="background1"/>
            <w:noWrap/>
            <w:vAlign w:val="center"/>
            <w:hideMark/>
          </w:tcPr>
          <w:p w14:paraId="39BC5233" w14:textId="77777777" w:rsidR="00FF0F9B" w:rsidRPr="00EF1E43" w:rsidRDefault="00FF0F9B" w:rsidP="00374F41">
            <w:pPr>
              <w:jc w:val="center"/>
              <w:rPr>
                <w:sz w:val="24"/>
              </w:rPr>
            </w:pPr>
            <w:r w:rsidRPr="00EF1E43">
              <w:rPr>
                <w:sz w:val="24"/>
              </w:rPr>
              <w:t>9568</w:t>
            </w:r>
          </w:p>
        </w:tc>
        <w:tc>
          <w:tcPr>
            <w:tcW w:w="7371" w:type="dxa"/>
            <w:shd w:val="clear" w:color="auto" w:fill="FFFFFF" w:themeFill="background1"/>
            <w:vAlign w:val="center"/>
            <w:hideMark/>
          </w:tcPr>
          <w:p w14:paraId="08AA5435" w14:textId="77777777" w:rsidR="00FF0F9B" w:rsidRPr="00EF1E43" w:rsidRDefault="00FF0F9B" w:rsidP="00374F41">
            <w:pPr>
              <w:rPr>
                <w:sz w:val="24"/>
              </w:rPr>
            </w:pPr>
            <w:r w:rsidRPr="00EF1E43">
              <w:rPr>
                <w:sz w:val="24"/>
              </w:rPr>
              <w:t>Schatzkin A, Carter CL, Green SB, et al (1989). Is alcohol consumption related to breast cancer? Results from the Framingham Heart Study. JNCI, 81(1): 31-5.</w:t>
            </w:r>
          </w:p>
        </w:tc>
      </w:tr>
      <w:tr w:rsidR="00EF1E43" w:rsidRPr="00EF1E43" w14:paraId="587C21BD" w14:textId="77777777" w:rsidTr="00CC61F1">
        <w:trPr>
          <w:cantSplit/>
        </w:trPr>
        <w:tc>
          <w:tcPr>
            <w:tcW w:w="1555" w:type="dxa"/>
            <w:shd w:val="clear" w:color="auto" w:fill="FFFFFF" w:themeFill="background1"/>
            <w:noWrap/>
            <w:vAlign w:val="center"/>
            <w:hideMark/>
          </w:tcPr>
          <w:p w14:paraId="3E8C1F67" w14:textId="77777777" w:rsidR="00FF0F9B" w:rsidRPr="00EF1E43" w:rsidRDefault="00FF0F9B" w:rsidP="00374F41">
            <w:pPr>
              <w:jc w:val="center"/>
              <w:rPr>
                <w:sz w:val="24"/>
              </w:rPr>
            </w:pPr>
            <w:r w:rsidRPr="00EF1E43">
              <w:rPr>
                <w:sz w:val="24"/>
              </w:rPr>
              <w:t>45745</w:t>
            </w:r>
          </w:p>
        </w:tc>
        <w:tc>
          <w:tcPr>
            <w:tcW w:w="7371" w:type="dxa"/>
            <w:shd w:val="clear" w:color="auto" w:fill="FFFFFF" w:themeFill="background1"/>
            <w:vAlign w:val="center"/>
            <w:hideMark/>
          </w:tcPr>
          <w:p w14:paraId="209D957A" w14:textId="77777777" w:rsidR="00FF0F9B" w:rsidRPr="00EF1E43" w:rsidRDefault="00FF0F9B" w:rsidP="00374F41">
            <w:pPr>
              <w:rPr>
                <w:sz w:val="24"/>
              </w:rPr>
            </w:pPr>
            <w:r w:rsidRPr="00EF1E43">
              <w:rPr>
                <w:sz w:val="24"/>
              </w:rPr>
              <w:t>Schecter A, Birnbaum L, Ryan JJ, et al (2007). [Comment] To the editor. Environ Res, 103(1): 147-8. Comment on ID: 45705.</w:t>
            </w:r>
          </w:p>
        </w:tc>
      </w:tr>
      <w:tr w:rsidR="00EF1E43" w:rsidRPr="00EF1E43" w14:paraId="2CE9D8F8" w14:textId="77777777" w:rsidTr="00CC61F1">
        <w:trPr>
          <w:cantSplit/>
        </w:trPr>
        <w:tc>
          <w:tcPr>
            <w:tcW w:w="1555" w:type="dxa"/>
            <w:shd w:val="clear" w:color="auto" w:fill="FFFFFF" w:themeFill="background1"/>
            <w:noWrap/>
            <w:vAlign w:val="center"/>
            <w:hideMark/>
          </w:tcPr>
          <w:p w14:paraId="2D27473F" w14:textId="77777777" w:rsidR="00FF0F9B" w:rsidRPr="00EF1E43" w:rsidRDefault="00FF0F9B" w:rsidP="00374F41">
            <w:pPr>
              <w:jc w:val="center"/>
              <w:rPr>
                <w:sz w:val="24"/>
              </w:rPr>
            </w:pPr>
            <w:r w:rsidRPr="00EF1E43">
              <w:rPr>
                <w:sz w:val="24"/>
              </w:rPr>
              <w:t>4772</w:t>
            </w:r>
          </w:p>
        </w:tc>
        <w:tc>
          <w:tcPr>
            <w:tcW w:w="7371" w:type="dxa"/>
            <w:shd w:val="clear" w:color="auto" w:fill="FFFFFF" w:themeFill="background1"/>
            <w:vAlign w:val="center"/>
            <w:hideMark/>
          </w:tcPr>
          <w:p w14:paraId="56E511D4" w14:textId="77777777" w:rsidR="00FF0F9B" w:rsidRPr="00EF1E43" w:rsidRDefault="00FF0F9B" w:rsidP="00374F41">
            <w:pPr>
              <w:rPr>
                <w:sz w:val="24"/>
              </w:rPr>
            </w:pPr>
            <w:r w:rsidRPr="00EF1E43">
              <w:rPr>
                <w:sz w:val="24"/>
              </w:rPr>
              <w:t>Scheike O (1975). Male breast cancer. Acta Pathol Microbiol Scand Suppl, 251(Suppl): 11-35.</w:t>
            </w:r>
          </w:p>
        </w:tc>
      </w:tr>
      <w:tr w:rsidR="00EF1E43" w:rsidRPr="00EF1E43" w14:paraId="68AD225C" w14:textId="77777777" w:rsidTr="00CC61F1">
        <w:trPr>
          <w:cantSplit/>
        </w:trPr>
        <w:tc>
          <w:tcPr>
            <w:tcW w:w="1555" w:type="dxa"/>
            <w:shd w:val="clear" w:color="auto" w:fill="FFFFFF" w:themeFill="background1"/>
            <w:noWrap/>
            <w:vAlign w:val="center"/>
            <w:hideMark/>
          </w:tcPr>
          <w:p w14:paraId="22356B9A" w14:textId="77777777" w:rsidR="00FF0F9B" w:rsidRPr="00EF1E43" w:rsidRDefault="00FF0F9B" w:rsidP="00374F41">
            <w:pPr>
              <w:jc w:val="center"/>
              <w:rPr>
                <w:sz w:val="24"/>
              </w:rPr>
            </w:pPr>
            <w:r w:rsidRPr="00EF1E43">
              <w:rPr>
                <w:sz w:val="24"/>
              </w:rPr>
              <w:t>4769</w:t>
            </w:r>
          </w:p>
        </w:tc>
        <w:tc>
          <w:tcPr>
            <w:tcW w:w="7371" w:type="dxa"/>
            <w:shd w:val="clear" w:color="auto" w:fill="FFFFFF" w:themeFill="background1"/>
            <w:vAlign w:val="center"/>
            <w:hideMark/>
          </w:tcPr>
          <w:p w14:paraId="766DADB0" w14:textId="77777777" w:rsidR="00FF0F9B" w:rsidRPr="00EF1E43" w:rsidRDefault="00FF0F9B" w:rsidP="00374F41">
            <w:pPr>
              <w:rPr>
                <w:sz w:val="24"/>
              </w:rPr>
            </w:pPr>
            <w:r w:rsidRPr="00EF1E43">
              <w:rPr>
                <w:sz w:val="24"/>
              </w:rPr>
              <w:t>Scheike O, Visfeldt J (1973). Male breast cancer. Acta Path Microbiol Scand, A81(3): 359-365.</w:t>
            </w:r>
          </w:p>
        </w:tc>
      </w:tr>
      <w:tr w:rsidR="00EF1E43" w:rsidRPr="00EF1E43" w14:paraId="0286A58F" w14:textId="77777777" w:rsidTr="00CC61F1">
        <w:trPr>
          <w:cantSplit/>
        </w:trPr>
        <w:tc>
          <w:tcPr>
            <w:tcW w:w="1555" w:type="dxa"/>
            <w:shd w:val="clear" w:color="auto" w:fill="FFFFFF" w:themeFill="background1"/>
            <w:noWrap/>
            <w:vAlign w:val="center"/>
            <w:hideMark/>
          </w:tcPr>
          <w:p w14:paraId="550C1324" w14:textId="77777777" w:rsidR="00FF0F9B" w:rsidRPr="00EF1E43" w:rsidRDefault="00FF0F9B" w:rsidP="00374F41">
            <w:pPr>
              <w:jc w:val="center"/>
              <w:rPr>
                <w:sz w:val="24"/>
              </w:rPr>
            </w:pPr>
            <w:r w:rsidRPr="00EF1E43">
              <w:rPr>
                <w:sz w:val="24"/>
              </w:rPr>
              <w:t>35602</w:t>
            </w:r>
          </w:p>
        </w:tc>
        <w:tc>
          <w:tcPr>
            <w:tcW w:w="7371" w:type="dxa"/>
            <w:shd w:val="clear" w:color="auto" w:fill="FFFFFF" w:themeFill="background1"/>
            <w:vAlign w:val="center"/>
            <w:hideMark/>
          </w:tcPr>
          <w:p w14:paraId="4B471F40" w14:textId="77777777" w:rsidR="00FF0F9B" w:rsidRPr="00EF1E43" w:rsidRDefault="00FF0F9B" w:rsidP="00374F41">
            <w:pPr>
              <w:rPr>
                <w:sz w:val="24"/>
              </w:rPr>
            </w:pPr>
            <w:r w:rsidRPr="00EF1E43">
              <w:rPr>
                <w:sz w:val="24"/>
              </w:rPr>
              <w:t>Schoenfeld ER, O'Leary ES, Henderson K, et al (2003). Electromagnetic fields and breast cancer on Long Island: a case-control study. American Journal of Epidemiology, 158(1): 47-58.</w:t>
            </w:r>
          </w:p>
        </w:tc>
      </w:tr>
      <w:tr w:rsidR="00EF1E43" w:rsidRPr="00EF1E43" w14:paraId="22A107B7" w14:textId="77777777" w:rsidTr="00CC61F1">
        <w:trPr>
          <w:cantSplit/>
        </w:trPr>
        <w:tc>
          <w:tcPr>
            <w:tcW w:w="1555" w:type="dxa"/>
            <w:shd w:val="clear" w:color="auto" w:fill="FFFFFF" w:themeFill="background1"/>
            <w:noWrap/>
            <w:vAlign w:val="center"/>
            <w:hideMark/>
          </w:tcPr>
          <w:p w14:paraId="028A011F" w14:textId="77777777" w:rsidR="00FF0F9B" w:rsidRPr="00EF1E43" w:rsidRDefault="00FF0F9B" w:rsidP="00374F41">
            <w:pPr>
              <w:jc w:val="center"/>
              <w:rPr>
                <w:sz w:val="24"/>
              </w:rPr>
            </w:pPr>
            <w:r w:rsidRPr="00EF1E43">
              <w:rPr>
                <w:sz w:val="24"/>
              </w:rPr>
              <w:t>9604</w:t>
            </w:r>
          </w:p>
        </w:tc>
        <w:tc>
          <w:tcPr>
            <w:tcW w:w="7371" w:type="dxa"/>
            <w:shd w:val="clear" w:color="auto" w:fill="FFFFFF" w:themeFill="background1"/>
            <w:vAlign w:val="center"/>
            <w:hideMark/>
          </w:tcPr>
          <w:p w14:paraId="0359AF26" w14:textId="77777777" w:rsidR="00FF0F9B" w:rsidRPr="00EF1E43" w:rsidRDefault="00FF0F9B" w:rsidP="00374F41">
            <w:pPr>
              <w:rPr>
                <w:sz w:val="24"/>
              </w:rPr>
            </w:pPr>
            <w:r w:rsidRPr="00EF1E43">
              <w:rPr>
                <w:sz w:val="24"/>
              </w:rPr>
              <w:t>Schuurman AG, van den Brandt PA, Goldbohm RA (1995). Exogenous hormone use and the risk of postmenopausal breast cancer: Results from the Netherlands cohort study. Cancer Causes and Control, 6: 416-24.</w:t>
            </w:r>
          </w:p>
        </w:tc>
      </w:tr>
      <w:tr w:rsidR="00EF1E43" w:rsidRPr="00EF1E43" w14:paraId="07D647C2" w14:textId="77777777" w:rsidTr="00CC61F1">
        <w:trPr>
          <w:cantSplit/>
        </w:trPr>
        <w:tc>
          <w:tcPr>
            <w:tcW w:w="1555" w:type="dxa"/>
            <w:shd w:val="clear" w:color="auto" w:fill="FFFFFF" w:themeFill="background1"/>
            <w:noWrap/>
            <w:vAlign w:val="center"/>
            <w:hideMark/>
          </w:tcPr>
          <w:p w14:paraId="16B1AB33" w14:textId="77777777" w:rsidR="00FF0F9B" w:rsidRPr="00EF1E43" w:rsidRDefault="00FF0F9B" w:rsidP="00374F41">
            <w:pPr>
              <w:jc w:val="center"/>
              <w:rPr>
                <w:sz w:val="24"/>
              </w:rPr>
            </w:pPr>
            <w:r w:rsidRPr="00EF1E43">
              <w:rPr>
                <w:sz w:val="24"/>
              </w:rPr>
              <w:t>71682</w:t>
            </w:r>
          </w:p>
        </w:tc>
        <w:tc>
          <w:tcPr>
            <w:tcW w:w="7371" w:type="dxa"/>
            <w:shd w:val="clear" w:color="auto" w:fill="FFFFFF" w:themeFill="background1"/>
            <w:vAlign w:val="center"/>
            <w:hideMark/>
          </w:tcPr>
          <w:p w14:paraId="39017445" w14:textId="77777777" w:rsidR="00FF0F9B" w:rsidRPr="00EF1E43" w:rsidRDefault="00FF0F9B" w:rsidP="00374F41">
            <w:pPr>
              <w:rPr>
                <w:sz w:val="24"/>
              </w:rPr>
            </w:pPr>
            <w:r w:rsidRPr="00EF1E43">
              <w:rPr>
                <w:sz w:val="24"/>
              </w:rPr>
              <w:t>Seitz HK, Pelucchi C, Bagnardi V, et al (2012). Epidemiology and pathophysiology of alcohol and breast cancer: update 2012. Alcohol and Alcoholism, 47(3): 204-12.</w:t>
            </w:r>
          </w:p>
        </w:tc>
      </w:tr>
      <w:tr w:rsidR="00EF1E43" w:rsidRPr="00EF1E43" w14:paraId="10F5F39B" w14:textId="77777777" w:rsidTr="00CC61F1">
        <w:trPr>
          <w:cantSplit/>
        </w:trPr>
        <w:tc>
          <w:tcPr>
            <w:tcW w:w="1555" w:type="dxa"/>
            <w:shd w:val="clear" w:color="auto" w:fill="FFFFFF" w:themeFill="background1"/>
            <w:noWrap/>
            <w:vAlign w:val="center"/>
            <w:hideMark/>
          </w:tcPr>
          <w:p w14:paraId="428BA09D" w14:textId="77777777" w:rsidR="00FF0F9B" w:rsidRPr="00EF1E43" w:rsidRDefault="00FF0F9B" w:rsidP="00374F41">
            <w:pPr>
              <w:jc w:val="center"/>
              <w:rPr>
                <w:sz w:val="24"/>
              </w:rPr>
            </w:pPr>
            <w:r w:rsidRPr="00EF1E43">
              <w:rPr>
                <w:sz w:val="24"/>
              </w:rPr>
              <w:t>36931</w:t>
            </w:r>
          </w:p>
        </w:tc>
        <w:tc>
          <w:tcPr>
            <w:tcW w:w="7371" w:type="dxa"/>
            <w:shd w:val="clear" w:color="auto" w:fill="FFFFFF" w:themeFill="background1"/>
            <w:vAlign w:val="center"/>
            <w:hideMark/>
          </w:tcPr>
          <w:p w14:paraId="019D774A" w14:textId="77777777" w:rsidR="00FF0F9B" w:rsidRPr="00EF1E43" w:rsidRDefault="00FF0F9B" w:rsidP="00374F41">
            <w:pPr>
              <w:rPr>
                <w:sz w:val="24"/>
              </w:rPr>
            </w:pPr>
            <w:r w:rsidRPr="00EF1E43">
              <w:rPr>
                <w:sz w:val="24"/>
              </w:rPr>
              <w:t>Sellers TA, Davis J, Cerhan JR, et al (2002). Interaction of waist/hip ratio and family history on the risk of hormone receptor-defined breast cancer in a prospective study of postmenopausal women. American Journal of Epidemiology, 155(3): 225-32.</w:t>
            </w:r>
          </w:p>
        </w:tc>
      </w:tr>
      <w:tr w:rsidR="00EF1E43" w:rsidRPr="00EF1E43" w14:paraId="0E123275" w14:textId="77777777" w:rsidTr="00CC61F1">
        <w:trPr>
          <w:cantSplit/>
        </w:trPr>
        <w:tc>
          <w:tcPr>
            <w:tcW w:w="1555" w:type="dxa"/>
            <w:shd w:val="clear" w:color="auto" w:fill="FFFFFF" w:themeFill="background1"/>
            <w:noWrap/>
            <w:vAlign w:val="center"/>
            <w:hideMark/>
          </w:tcPr>
          <w:p w14:paraId="468F2ABF" w14:textId="77777777" w:rsidR="00FF0F9B" w:rsidRPr="00EF1E43" w:rsidRDefault="00FF0F9B" w:rsidP="00374F41">
            <w:pPr>
              <w:jc w:val="center"/>
              <w:rPr>
                <w:sz w:val="24"/>
              </w:rPr>
            </w:pPr>
            <w:r w:rsidRPr="00EF1E43">
              <w:rPr>
                <w:sz w:val="24"/>
              </w:rPr>
              <w:lastRenderedPageBreak/>
              <w:t>35641</w:t>
            </w:r>
          </w:p>
        </w:tc>
        <w:tc>
          <w:tcPr>
            <w:tcW w:w="7371" w:type="dxa"/>
            <w:shd w:val="clear" w:color="auto" w:fill="FFFFFF" w:themeFill="background1"/>
            <w:vAlign w:val="center"/>
            <w:hideMark/>
          </w:tcPr>
          <w:p w14:paraId="7D67B185" w14:textId="77777777" w:rsidR="00FF0F9B" w:rsidRPr="00EF1E43" w:rsidRDefault="00FF0F9B" w:rsidP="00374F41">
            <w:pPr>
              <w:rPr>
                <w:sz w:val="24"/>
              </w:rPr>
            </w:pPr>
            <w:r w:rsidRPr="00EF1E43">
              <w:rPr>
                <w:sz w:val="24"/>
              </w:rPr>
              <w:t>Sellers TA, Vierkant RA, Cerhan JR, et al (2002). Interaction of dietary folate intake, alcohol, and risk of hormone receptor-defined breast cancer in a prospective study of postmenopausal women. Cancer Epidemiology, Biomarkers &amp; Prevention, 11: 1104-7.</w:t>
            </w:r>
          </w:p>
        </w:tc>
      </w:tr>
      <w:tr w:rsidR="00EF1E43" w:rsidRPr="00EF1E43" w14:paraId="73223897" w14:textId="77777777" w:rsidTr="00CC61F1">
        <w:trPr>
          <w:cantSplit/>
        </w:trPr>
        <w:tc>
          <w:tcPr>
            <w:tcW w:w="1555" w:type="dxa"/>
            <w:shd w:val="clear" w:color="auto" w:fill="FFFFFF" w:themeFill="background1"/>
            <w:noWrap/>
            <w:vAlign w:val="center"/>
            <w:hideMark/>
          </w:tcPr>
          <w:p w14:paraId="6B265EC9" w14:textId="77777777" w:rsidR="00FF0F9B" w:rsidRPr="00EF1E43" w:rsidRDefault="00FF0F9B" w:rsidP="00374F41">
            <w:pPr>
              <w:jc w:val="center"/>
              <w:rPr>
                <w:sz w:val="24"/>
              </w:rPr>
            </w:pPr>
            <w:r w:rsidRPr="00EF1E43">
              <w:rPr>
                <w:sz w:val="24"/>
              </w:rPr>
              <w:t>3675</w:t>
            </w:r>
          </w:p>
        </w:tc>
        <w:tc>
          <w:tcPr>
            <w:tcW w:w="7371" w:type="dxa"/>
            <w:shd w:val="clear" w:color="auto" w:fill="FFFFFF" w:themeFill="background1"/>
            <w:vAlign w:val="center"/>
            <w:hideMark/>
          </w:tcPr>
          <w:p w14:paraId="3A0F2C45" w14:textId="77777777" w:rsidR="00FF0F9B" w:rsidRPr="00EF1E43" w:rsidRDefault="00FF0F9B" w:rsidP="00374F41">
            <w:pPr>
              <w:rPr>
                <w:sz w:val="24"/>
              </w:rPr>
            </w:pPr>
            <w:r w:rsidRPr="00EF1E43">
              <w:rPr>
                <w:sz w:val="24"/>
              </w:rPr>
              <w:t>Serra-Majem L, La Vecchia C, Ribas-Barba L, et al (1993). Changes in diet and mortality from selected cancers in southern Mediterranean countries, 1960-1989. Eur J Clin Nutr, 47(Suppl 1): S25-34.</w:t>
            </w:r>
          </w:p>
        </w:tc>
      </w:tr>
      <w:tr w:rsidR="00EF1E43" w:rsidRPr="00EF1E43" w14:paraId="2EABFB82" w14:textId="77777777" w:rsidTr="00CC61F1">
        <w:trPr>
          <w:cantSplit/>
        </w:trPr>
        <w:tc>
          <w:tcPr>
            <w:tcW w:w="1555" w:type="dxa"/>
            <w:shd w:val="clear" w:color="auto" w:fill="FFFFFF" w:themeFill="background1"/>
            <w:noWrap/>
            <w:vAlign w:val="center"/>
            <w:hideMark/>
          </w:tcPr>
          <w:p w14:paraId="02E1FDC8" w14:textId="77777777" w:rsidR="00FF0F9B" w:rsidRPr="00EF1E43" w:rsidRDefault="00FF0F9B" w:rsidP="00374F41">
            <w:pPr>
              <w:jc w:val="center"/>
              <w:rPr>
                <w:sz w:val="24"/>
              </w:rPr>
            </w:pPr>
            <w:r w:rsidRPr="00EF1E43">
              <w:rPr>
                <w:sz w:val="24"/>
              </w:rPr>
              <w:t>36979</w:t>
            </w:r>
          </w:p>
        </w:tc>
        <w:tc>
          <w:tcPr>
            <w:tcW w:w="7371" w:type="dxa"/>
            <w:shd w:val="clear" w:color="auto" w:fill="FFFFFF" w:themeFill="background1"/>
            <w:vAlign w:val="center"/>
            <w:hideMark/>
          </w:tcPr>
          <w:p w14:paraId="32D19E20" w14:textId="77777777" w:rsidR="00FF0F9B" w:rsidRPr="00EF1E43" w:rsidRDefault="00FF0F9B" w:rsidP="00374F41">
            <w:pPr>
              <w:rPr>
                <w:sz w:val="24"/>
              </w:rPr>
            </w:pPr>
            <w:r w:rsidRPr="00EF1E43">
              <w:rPr>
                <w:sz w:val="24"/>
              </w:rPr>
              <w:t>Sesso HD, Paffenbarger RS Jr, Lee IM (1998). Physical activity and breast cancer risk in the College Alumi Health Study (United States). Cancer Causes &amp; Control, 9: 433-9.</w:t>
            </w:r>
          </w:p>
        </w:tc>
      </w:tr>
      <w:tr w:rsidR="00EF1E43" w:rsidRPr="00EF1E43" w14:paraId="2F85AE2C" w14:textId="77777777" w:rsidTr="00CC61F1">
        <w:trPr>
          <w:cantSplit/>
        </w:trPr>
        <w:tc>
          <w:tcPr>
            <w:tcW w:w="1555" w:type="dxa"/>
            <w:shd w:val="clear" w:color="auto" w:fill="FFFFFF" w:themeFill="background1"/>
            <w:noWrap/>
            <w:vAlign w:val="center"/>
            <w:hideMark/>
          </w:tcPr>
          <w:p w14:paraId="16DC7874" w14:textId="77777777" w:rsidR="00FF0F9B" w:rsidRPr="00EF1E43" w:rsidRDefault="00FF0F9B" w:rsidP="00374F41">
            <w:pPr>
              <w:jc w:val="center"/>
              <w:rPr>
                <w:sz w:val="24"/>
              </w:rPr>
            </w:pPr>
            <w:r w:rsidRPr="00EF1E43">
              <w:rPr>
                <w:sz w:val="24"/>
              </w:rPr>
              <w:t>100815</w:t>
            </w:r>
          </w:p>
        </w:tc>
        <w:tc>
          <w:tcPr>
            <w:tcW w:w="7371" w:type="dxa"/>
            <w:shd w:val="clear" w:color="auto" w:fill="FFFFFF" w:themeFill="background1"/>
            <w:vAlign w:val="center"/>
            <w:hideMark/>
          </w:tcPr>
          <w:p w14:paraId="2305C5E5" w14:textId="77777777" w:rsidR="00FF0F9B" w:rsidRPr="00EF1E43" w:rsidRDefault="00FF0F9B" w:rsidP="00374F41">
            <w:pPr>
              <w:rPr>
                <w:sz w:val="24"/>
              </w:rPr>
            </w:pPr>
            <w:r w:rsidRPr="00EF1E43">
              <w:rPr>
                <w:sz w:val="24"/>
              </w:rPr>
              <w:t>Shapiro S, Rosenberg L, Hoffman M, et al (2000). Risk of breast cancer in relation to the use of injectable progestogen contraceptives and combined estrogen/progestogen contraceptives. Am J Epidemiol, 151(4): 396-403.</w:t>
            </w:r>
          </w:p>
        </w:tc>
      </w:tr>
      <w:tr w:rsidR="00EF1E43" w:rsidRPr="00EF1E43" w14:paraId="3722323F" w14:textId="77777777" w:rsidTr="00CC61F1">
        <w:trPr>
          <w:cantSplit/>
        </w:trPr>
        <w:tc>
          <w:tcPr>
            <w:tcW w:w="1555" w:type="dxa"/>
            <w:shd w:val="clear" w:color="auto" w:fill="FFFFFF" w:themeFill="background1"/>
            <w:noWrap/>
            <w:vAlign w:val="center"/>
            <w:hideMark/>
          </w:tcPr>
          <w:p w14:paraId="36778881" w14:textId="77777777" w:rsidR="00FF0F9B" w:rsidRPr="00EF1E43" w:rsidRDefault="00FF0F9B" w:rsidP="00374F41">
            <w:pPr>
              <w:jc w:val="center"/>
              <w:rPr>
                <w:sz w:val="24"/>
              </w:rPr>
            </w:pPr>
            <w:r w:rsidRPr="00EF1E43">
              <w:rPr>
                <w:sz w:val="24"/>
              </w:rPr>
              <w:t>10271</w:t>
            </w:r>
          </w:p>
        </w:tc>
        <w:tc>
          <w:tcPr>
            <w:tcW w:w="7371" w:type="dxa"/>
            <w:shd w:val="clear" w:color="auto" w:fill="FFFFFF" w:themeFill="background1"/>
            <w:vAlign w:val="center"/>
            <w:hideMark/>
          </w:tcPr>
          <w:p w14:paraId="22BC9162" w14:textId="77777777" w:rsidR="00FF0F9B" w:rsidRPr="00EF1E43" w:rsidRDefault="00FF0F9B" w:rsidP="00374F41">
            <w:pPr>
              <w:rPr>
                <w:sz w:val="24"/>
              </w:rPr>
            </w:pPr>
            <w:r w:rsidRPr="00EF1E43">
              <w:rPr>
                <w:sz w:val="24"/>
              </w:rPr>
              <w:t>Sherif M, Ibrahim AS, El-Aaser A (1980). Prostatic carcinoma in Egypt: epidemiology and etiology. Scandinavian Journal of Urology and Nephrology, (Suppl 5): 25-6.</w:t>
            </w:r>
          </w:p>
        </w:tc>
      </w:tr>
      <w:tr w:rsidR="00EF1E43" w:rsidRPr="00EF1E43" w14:paraId="16D20875" w14:textId="77777777" w:rsidTr="00CC61F1">
        <w:trPr>
          <w:cantSplit/>
        </w:trPr>
        <w:tc>
          <w:tcPr>
            <w:tcW w:w="1555" w:type="dxa"/>
            <w:shd w:val="clear" w:color="auto" w:fill="FFFFFF" w:themeFill="background1"/>
            <w:noWrap/>
            <w:vAlign w:val="center"/>
            <w:hideMark/>
          </w:tcPr>
          <w:p w14:paraId="35EE65F7" w14:textId="77777777" w:rsidR="00FF0F9B" w:rsidRPr="00EF1E43" w:rsidRDefault="00FF0F9B" w:rsidP="00374F41">
            <w:pPr>
              <w:jc w:val="center"/>
              <w:rPr>
                <w:sz w:val="24"/>
              </w:rPr>
            </w:pPr>
            <w:r w:rsidRPr="00EF1E43">
              <w:rPr>
                <w:sz w:val="24"/>
              </w:rPr>
              <w:t>71717</w:t>
            </w:r>
          </w:p>
        </w:tc>
        <w:tc>
          <w:tcPr>
            <w:tcW w:w="7371" w:type="dxa"/>
            <w:shd w:val="clear" w:color="auto" w:fill="FFFFFF" w:themeFill="background1"/>
            <w:vAlign w:val="center"/>
            <w:hideMark/>
          </w:tcPr>
          <w:p w14:paraId="15CA8EB9" w14:textId="77777777" w:rsidR="00FF0F9B" w:rsidRPr="00EF1E43" w:rsidRDefault="00FF0F9B" w:rsidP="00374F41">
            <w:pPr>
              <w:rPr>
                <w:sz w:val="24"/>
              </w:rPr>
            </w:pPr>
            <w:r w:rsidRPr="00EF1E43">
              <w:rPr>
                <w:sz w:val="24"/>
              </w:rPr>
              <w:t>Shikata K, Ninomiya T, Kiyohara Y (2013). Diabetes mellitus and cancer risk: Review of the epidemiological evidence. Cancer Sci, 104: 9-14.</w:t>
            </w:r>
          </w:p>
        </w:tc>
      </w:tr>
      <w:tr w:rsidR="00EF1E43" w:rsidRPr="00EF1E43" w14:paraId="429120A2" w14:textId="77777777" w:rsidTr="00CC61F1">
        <w:trPr>
          <w:cantSplit/>
        </w:trPr>
        <w:tc>
          <w:tcPr>
            <w:tcW w:w="1555" w:type="dxa"/>
            <w:shd w:val="clear" w:color="auto" w:fill="FFFFFF" w:themeFill="background1"/>
            <w:noWrap/>
            <w:vAlign w:val="center"/>
            <w:hideMark/>
          </w:tcPr>
          <w:p w14:paraId="129B1B4B" w14:textId="77777777" w:rsidR="00FF0F9B" w:rsidRPr="00EF1E43" w:rsidRDefault="00FF0F9B" w:rsidP="00374F41">
            <w:pPr>
              <w:jc w:val="center"/>
              <w:rPr>
                <w:sz w:val="24"/>
              </w:rPr>
            </w:pPr>
            <w:r w:rsidRPr="00EF1E43">
              <w:rPr>
                <w:sz w:val="24"/>
              </w:rPr>
              <w:t>44990</w:t>
            </w:r>
          </w:p>
        </w:tc>
        <w:tc>
          <w:tcPr>
            <w:tcW w:w="7371" w:type="dxa"/>
            <w:shd w:val="clear" w:color="auto" w:fill="FFFFFF" w:themeFill="background1"/>
            <w:vAlign w:val="center"/>
            <w:hideMark/>
          </w:tcPr>
          <w:p w14:paraId="6372B4DB" w14:textId="77777777" w:rsidR="00FF0F9B" w:rsidRPr="00EF1E43" w:rsidRDefault="00FF0F9B" w:rsidP="00374F41">
            <w:pPr>
              <w:rPr>
                <w:sz w:val="24"/>
              </w:rPr>
            </w:pPr>
            <w:r w:rsidRPr="00EF1E43">
              <w:rPr>
                <w:sz w:val="24"/>
              </w:rPr>
              <w:t>Shilnikova NS, Preston DL, Ron E, et al (2003). Cancer mortality risk among workers at the Mayak nuclear complex. Radiat Res, 159(6): 787-98.</w:t>
            </w:r>
          </w:p>
        </w:tc>
      </w:tr>
      <w:tr w:rsidR="00EF1E43" w:rsidRPr="00EF1E43" w14:paraId="66AC473A" w14:textId="77777777" w:rsidTr="00CC61F1">
        <w:trPr>
          <w:cantSplit/>
        </w:trPr>
        <w:tc>
          <w:tcPr>
            <w:tcW w:w="1555" w:type="dxa"/>
            <w:shd w:val="clear" w:color="auto" w:fill="FFFFFF" w:themeFill="background1"/>
            <w:noWrap/>
            <w:vAlign w:val="center"/>
            <w:hideMark/>
          </w:tcPr>
          <w:p w14:paraId="549DAFFB" w14:textId="77777777" w:rsidR="00FF0F9B" w:rsidRPr="00EF1E43" w:rsidRDefault="00FF0F9B" w:rsidP="00374F41">
            <w:pPr>
              <w:jc w:val="center"/>
              <w:rPr>
                <w:sz w:val="24"/>
              </w:rPr>
            </w:pPr>
            <w:r w:rsidRPr="00EF1E43">
              <w:rPr>
                <w:sz w:val="24"/>
              </w:rPr>
              <w:t>35669</w:t>
            </w:r>
          </w:p>
        </w:tc>
        <w:tc>
          <w:tcPr>
            <w:tcW w:w="7371" w:type="dxa"/>
            <w:shd w:val="clear" w:color="auto" w:fill="FFFFFF" w:themeFill="background1"/>
            <w:vAlign w:val="center"/>
            <w:hideMark/>
          </w:tcPr>
          <w:p w14:paraId="407514D0" w14:textId="77777777" w:rsidR="00FF0F9B" w:rsidRPr="00EF1E43" w:rsidRDefault="00FF0F9B" w:rsidP="00374F41">
            <w:pPr>
              <w:rPr>
                <w:sz w:val="24"/>
              </w:rPr>
            </w:pPr>
            <w:r w:rsidRPr="00EF1E43">
              <w:rPr>
                <w:sz w:val="24"/>
              </w:rPr>
              <w:t>Shrubsole MJ, Gao YT, Dai Q, et al (2004). Passive smoking and breast cancer risk among non-smoking Chinese women. Int J Cancer, 110: 605-9.</w:t>
            </w:r>
          </w:p>
        </w:tc>
      </w:tr>
      <w:tr w:rsidR="00EF1E43" w:rsidRPr="00EF1E43" w14:paraId="65230CBB" w14:textId="77777777" w:rsidTr="00CC61F1">
        <w:trPr>
          <w:cantSplit/>
        </w:trPr>
        <w:tc>
          <w:tcPr>
            <w:tcW w:w="1555" w:type="dxa"/>
            <w:shd w:val="clear" w:color="auto" w:fill="FFFFFF" w:themeFill="background1"/>
            <w:noWrap/>
            <w:vAlign w:val="center"/>
            <w:hideMark/>
          </w:tcPr>
          <w:p w14:paraId="7A3569D6" w14:textId="77777777" w:rsidR="00FF0F9B" w:rsidRPr="00EF1E43" w:rsidRDefault="00FF0F9B" w:rsidP="00374F41">
            <w:pPr>
              <w:jc w:val="center"/>
              <w:rPr>
                <w:sz w:val="24"/>
              </w:rPr>
            </w:pPr>
            <w:r w:rsidRPr="00EF1E43">
              <w:rPr>
                <w:sz w:val="24"/>
              </w:rPr>
              <w:t>103006</w:t>
            </w:r>
          </w:p>
        </w:tc>
        <w:tc>
          <w:tcPr>
            <w:tcW w:w="7371" w:type="dxa"/>
            <w:shd w:val="clear" w:color="auto" w:fill="FFFFFF" w:themeFill="background1"/>
            <w:vAlign w:val="center"/>
            <w:hideMark/>
          </w:tcPr>
          <w:p w14:paraId="6E2A3AEA" w14:textId="77777777" w:rsidR="00FF0F9B" w:rsidRPr="00EF1E43" w:rsidRDefault="00FF0F9B" w:rsidP="00374F41">
            <w:pPr>
              <w:rPr>
                <w:sz w:val="24"/>
              </w:rPr>
            </w:pPr>
            <w:r w:rsidRPr="00EF1E43">
              <w:rPr>
                <w:sz w:val="24"/>
              </w:rPr>
              <w:t>Siegelmann-Danieli N, Katzir I, Landes JV, et al (2018). Does levonorgestrel-releasing intrauterine system increase breast cancer risk in peri-menopausal women? An HMO perspective. Breast Cancer Res Treat, 167(1): 257-62.</w:t>
            </w:r>
          </w:p>
        </w:tc>
      </w:tr>
      <w:tr w:rsidR="00EF1E43" w:rsidRPr="00EF1E43" w14:paraId="61B988B7" w14:textId="77777777" w:rsidTr="00CC61F1">
        <w:trPr>
          <w:cantSplit/>
        </w:trPr>
        <w:tc>
          <w:tcPr>
            <w:tcW w:w="1555" w:type="dxa"/>
            <w:shd w:val="clear" w:color="auto" w:fill="FFFFFF" w:themeFill="background1"/>
            <w:noWrap/>
            <w:vAlign w:val="center"/>
            <w:hideMark/>
          </w:tcPr>
          <w:p w14:paraId="0CAC472A" w14:textId="77777777" w:rsidR="00FF0F9B" w:rsidRPr="00EF1E43" w:rsidRDefault="00FF0F9B" w:rsidP="00374F41">
            <w:pPr>
              <w:jc w:val="center"/>
              <w:rPr>
                <w:sz w:val="24"/>
              </w:rPr>
            </w:pPr>
            <w:r w:rsidRPr="00EF1E43">
              <w:rPr>
                <w:sz w:val="24"/>
              </w:rPr>
              <w:t>59461</w:t>
            </w:r>
          </w:p>
        </w:tc>
        <w:tc>
          <w:tcPr>
            <w:tcW w:w="7371" w:type="dxa"/>
            <w:shd w:val="clear" w:color="auto" w:fill="FFFFFF" w:themeFill="background1"/>
            <w:vAlign w:val="center"/>
            <w:hideMark/>
          </w:tcPr>
          <w:p w14:paraId="4832D8F2" w14:textId="77777777" w:rsidR="00FF0F9B" w:rsidRPr="00EF1E43" w:rsidRDefault="00FF0F9B" w:rsidP="00374F41">
            <w:pPr>
              <w:rPr>
                <w:sz w:val="24"/>
              </w:rPr>
            </w:pPr>
            <w:r w:rsidRPr="00EF1E43">
              <w:rPr>
                <w:sz w:val="24"/>
              </w:rPr>
              <w:t>Sigurdson AJ, Bhatti P, Chang S, et al (2009). Polymorphisms in estrogen biosynthesis and metabolism-related genes, ionizing radiation exposure, and risk of breast cancer among US radiologic technologists. Breast Cancer Res Treat, 118: 177-84.</w:t>
            </w:r>
          </w:p>
        </w:tc>
      </w:tr>
      <w:tr w:rsidR="00EF1E43" w:rsidRPr="00EF1E43" w14:paraId="78006D16" w14:textId="77777777" w:rsidTr="00CC61F1">
        <w:trPr>
          <w:cantSplit/>
        </w:trPr>
        <w:tc>
          <w:tcPr>
            <w:tcW w:w="1555" w:type="dxa"/>
            <w:shd w:val="clear" w:color="auto" w:fill="FFFFFF" w:themeFill="background1"/>
            <w:noWrap/>
            <w:vAlign w:val="center"/>
            <w:hideMark/>
          </w:tcPr>
          <w:p w14:paraId="25BEB54A" w14:textId="77777777" w:rsidR="00FF0F9B" w:rsidRPr="00EF1E43" w:rsidRDefault="00FF0F9B" w:rsidP="00374F41">
            <w:pPr>
              <w:jc w:val="center"/>
              <w:rPr>
                <w:sz w:val="24"/>
              </w:rPr>
            </w:pPr>
            <w:r w:rsidRPr="00EF1E43">
              <w:rPr>
                <w:sz w:val="24"/>
              </w:rPr>
              <w:t>30521</w:t>
            </w:r>
          </w:p>
        </w:tc>
        <w:tc>
          <w:tcPr>
            <w:tcW w:w="7371" w:type="dxa"/>
            <w:shd w:val="clear" w:color="auto" w:fill="FFFFFF" w:themeFill="background1"/>
            <w:vAlign w:val="center"/>
            <w:hideMark/>
          </w:tcPr>
          <w:p w14:paraId="203DA570" w14:textId="77777777" w:rsidR="00FF0F9B" w:rsidRPr="00EF1E43" w:rsidRDefault="00FF0F9B" w:rsidP="00374F41">
            <w:pPr>
              <w:rPr>
                <w:sz w:val="24"/>
              </w:rPr>
            </w:pPr>
            <w:r w:rsidRPr="00EF1E43">
              <w:rPr>
                <w:sz w:val="24"/>
              </w:rPr>
              <w:t>Silva FR, Grande AJ, Da Rosa MI (2021). Is the levonorgestrel-releasing intrauterine system a risk factor for breast cancer? Acta Obstet Gynecol Scand, 100(2): 363-4.</w:t>
            </w:r>
          </w:p>
        </w:tc>
      </w:tr>
      <w:tr w:rsidR="00EF1E43" w:rsidRPr="00EF1E43" w14:paraId="71CCBD16" w14:textId="77777777" w:rsidTr="00CC61F1">
        <w:trPr>
          <w:cantSplit/>
        </w:trPr>
        <w:tc>
          <w:tcPr>
            <w:tcW w:w="1555" w:type="dxa"/>
            <w:shd w:val="clear" w:color="auto" w:fill="FFFFFF" w:themeFill="background1"/>
            <w:noWrap/>
            <w:vAlign w:val="center"/>
            <w:hideMark/>
          </w:tcPr>
          <w:p w14:paraId="4365D60F" w14:textId="77777777" w:rsidR="00FF0F9B" w:rsidRPr="00EF1E43" w:rsidRDefault="00FF0F9B" w:rsidP="00374F41">
            <w:pPr>
              <w:jc w:val="center"/>
              <w:rPr>
                <w:sz w:val="24"/>
              </w:rPr>
            </w:pPr>
            <w:r w:rsidRPr="00EF1E43">
              <w:rPr>
                <w:sz w:val="24"/>
              </w:rPr>
              <w:t>35690</w:t>
            </w:r>
          </w:p>
        </w:tc>
        <w:tc>
          <w:tcPr>
            <w:tcW w:w="7371" w:type="dxa"/>
            <w:shd w:val="clear" w:color="auto" w:fill="FFFFFF" w:themeFill="background1"/>
            <w:vAlign w:val="center"/>
            <w:hideMark/>
          </w:tcPr>
          <w:p w14:paraId="34D1DB09" w14:textId="77777777" w:rsidR="00FF0F9B" w:rsidRPr="00EF1E43" w:rsidRDefault="00FF0F9B" w:rsidP="00374F41">
            <w:pPr>
              <w:rPr>
                <w:sz w:val="24"/>
              </w:rPr>
            </w:pPr>
            <w:r w:rsidRPr="00EF1E43">
              <w:rPr>
                <w:sz w:val="24"/>
              </w:rPr>
              <w:t>Silva ID (2002). Alcohol, tobacco and breast cancer: should alcohol be condemned and tobacco acquitted? British Journal of Cancer, 87: 1195-6.</w:t>
            </w:r>
          </w:p>
        </w:tc>
      </w:tr>
      <w:tr w:rsidR="00EF1E43" w:rsidRPr="00EF1E43" w14:paraId="76F0C86E" w14:textId="77777777" w:rsidTr="00CC61F1">
        <w:trPr>
          <w:cantSplit/>
        </w:trPr>
        <w:tc>
          <w:tcPr>
            <w:tcW w:w="1555" w:type="dxa"/>
            <w:shd w:val="clear" w:color="auto" w:fill="FFFFFF" w:themeFill="background1"/>
            <w:noWrap/>
            <w:vAlign w:val="center"/>
            <w:hideMark/>
          </w:tcPr>
          <w:p w14:paraId="567EE682" w14:textId="77777777" w:rsidR="00FF0F9B" w:rsidRPr="00EF1E43" w:rsidRDefault="00FF0F9B" w:rsidP="00374F41">
            <w:pPr>
              <w:jc w:val="center"/>
              <w:rPr>
                <w:sz w:val="24"/>
              </w:rPr>
            </w:pPr>
            <w:r w:rsidRPr="00EF1E43">
              <w:rPr>
                <w:sz w:val="24"/>
              </w:rPr>
              <w:t>72911</w:t>
            </w:r>
          </w:p>
        </w:tc>
        <w:tc>
          <w:tcPr>
            <w:tcW w:w="7371" w:type="dxa"/>
            <w:shd w:val="clear" w:color="auto" w:fill="FFFFFF" w:themeFill="background1"/>
            <w:vAlign w:val="center"/>
            <w:hideMark/>
          </w:tcPr>
          <w:p w14:paraId="5D5DEA42" w14:textId="77777777" w:rsidR="00FF0F9B" w:rsidRPr="00EF1E43" w:rsidRDefault="00FF0F9B" w:rsidP="00374F41">
            <w:pPr>
              <w:rPr>
                <w:sz w:val="24"/>
              </w:rPr>
            </w:pPr>
            <w:r w:rsidRPr="00EF1E43">
              <w:rPr>
                <w:sz w:val="24"/>
              </w:rPr>
              <w:t>Silver SR, Whelan EA, Deddens JA, et al (2009). Occupational exposure to polychlorinated biphenyls and risk of breast cancer. Environ Health Perspect, 117: 276-82.</w:t>
            </w:r>
          </w:p>
        </w:tc>
      </w:tr>
      <w:tr w:rsidR="00EF1E43" w:rsidRPr="00EF1E43" w14:paraId="1F4A29E0" w14:textId="77777777" w:rsidTr="00CC61F1">
        <w:trPr>
          <w:cantSplit/>
        </w:trPr>
        <w:tc>
          <w:tcPr>
            <w:tcW w:w="1555" w:type="dxa"/>
            <w:shd w:val="clear" w:color="auto" w:fill="FFFFFF" w:themeFill="background1"/>
            <w:noWrap/>
            <w:vAlign w:val="center"/>
            <w:hideMark/>
          </w:tcPr>
          <w:p w14:paraId="0E4617BA" w14:textId="77777777" w:rsidR="00FF0F9B" w:rsidRPr="00EF1E43" w:rsidRDefault="00FF0F9B" w:rsidP="00374F41">
            <w:pPr>
              <w:jc w:val="center"/>
              <w:rPr>
                <w:sz w:val="24"/>
              </w:rPr>
            </w:pPr>
            <w:r w:rsidRPr="00EF1E43">
              <w:rPr>
                <w:sz w:val="24"/>
              </w:rPr>
              <w:t>71749</w:t>
            </w:r>
          </w:p>
        </w:tc>
        <w:tc>
          <w:tcPr>
            <w:tcW w:w="7371" w:type="dxa"/>
            <w:shd w:val="clear" w:color="auto" w:fill="FFFFFF" w:themeFill="background1"/>
            <w:vAlign w:val="center"/>
            <w:hideMark/>
          </w:tcPr>
          <w:p w14:paraId="32090679" w14:textId="77777777" w:rsidR="00FF0F9B" w:rsidRPr="00EF1E43" w:rsidRDefault="00FF0F9B" w:rsidP="00374F41">
            <w:pPr>
              <w:rPr>
                <w:sz w:val="24"/>
              </w:rPr>
            </w:pPr>
            <w:r w:rsidRPr="00EF1E43">
              <w:rPr>
                <w:sz w:val="24"/>
              </w:rPr>
              <w:t>Simoes PW, Medeiros LR, Simoes Pires PD, et al (2012). Prevalence of human papillomavirus in breast cancer. A systematic review. Int J Gynecol Cancer, 22: 343-7.</w:t>
            </w:r>
          </w:p>
        </w:tc>
      </w:tr>
      <w:tr w:rsidR="00EF1E43" w:rsidRPr="00EF1E43" w14:paraId="69B7BCEF" w14:textId="77777777" w:rsidTr="00CC61F1">
        <w:trPr>
          <w:cantSplit/>
        </w:trPr>
        <w:tc>
          <w:tcPr>
            <w:tcW w:w="1555" w:type="dxa"/>
            <w:shd w:val="clear" w:color="auto" w:fill="FFFFFF" w:themeFill="background1"/>
            <w:noWrap/>
            <w:vAlign w:val="center"/>
            <w:hideMark/>
          </w:tcPr>
          <w:p w14:paraId="7B3528A6" w14:textId="77777777" w:rsidR="00FF0F9B" w:rsidRPr="00EF1E43" w:rsidRDefault="00FF0F9B" w:rsidP="00374F41">
            <w:pPr>
              <w:jc w:val="center"/>
              <w:rPr>
                <w:sz w:val="24"/>
              </w:rPr>
            </w:pPr>
            <w:r w:rsidRPr="00EF1E43">
              <w:rPr>
                <w:sz w:val="24"/>
              </w:rPr>
              <w:lastRenderedPageBreak/>
              <w:t>35656</w:t>
            </w:r>
          </w:p>
        </w:tc>
        <w:tc>
          <w:tcPr>
            <w:tcW w:w="7371" w:type="dxa"/>
            <w:shd w:val="clear" w:color="auto" w:fill="FFFFFF" w:themeFill="background1"/>
            <w:vAlign w:val="center"/>
            <w:hideMark/>
          </w:tcPr>
          <w:p w14:paraId="416563F0" w14:textId="77777777" w:rsidR="00FF0F9B" w:rsidRPr="00EF1E43" w:rsidRDefault="00FF0F9B" w:rsidP="00374F41">
            <w:pPr>
              <w:rPr>
                <w:sz w:val="24"/>
              </w:rPr>
            </w:pPr>
            <w:r w:rsidRPr="00EF1E43">
              <w:rPr>
                <w:sz w:val="24"/>
              </w:rPr>
              <w:t>Singletary KW, Gapstur SM (2001). Alcohol and breast cancer: review of epidemiologic and experimental evidence and potential mechanisms. JAMA, 286(17): 2143-2151.</w:t>
            </w:r>
          </w:p>
        </w:tc>
      </w:tr>
      <w:tr w:rsidR="00EF1E43" w:rsidRPr="00EF1E43" w14:paraId="44B03DBA" w14:textId="77777777" w:rsidTr="00CC61F1">
        <w:trPr>
          <w:cantSplit/>
        </w:trPr>
        <w:tc>
          <w:tcPr>
            <w:tcW w:w="1555" w:type="dxa"/>
            <w:shd w:val="clear" w:color="auto" w:fill="FFFFFF" w:themeFill="background1"/>
            <w:noWrap/>
            <w:vAlign w:val="center"/>
            <w:hideMark/>
          </w:tcPr>
          <w:p w14:paraId="48D8195B" w14:textId="77777777" w:rsidR="00FF0F9B" w:rsidRPr="00EF1E43" w:rsidRDefault="00FF0F9B" w:rsidP="00374F41">
            <w:pPr>
              <w:jc w:val="center"/>
              <w:rPr>
                <w:sz w:val="24"/>
              </w:rPr>
            </w:pPr>
            <w:r w:rsidRPr="00EF1E43">
              <w:rPr>
                <w:sz w:val="24"/>
              </w:rPr>
              <w:t>9254</w:t>
            </w:r>
          </w:p>
        </w:tc>
        <w:tc>
          <w:tcPr>
            <w:tcW w:w="7371" w:type="dxa"/>
            <w:shd w:val="clear" w:color="auto" w:fill="FFFFFF" w:themeFill="background1"/>
            <w:vAlign w:val="center"/>
            <w:hideMark/>
          </w:tcPr>
          <w:p w14:paraId="25518D8E" w14:textId="77777777" w:rsidR="00FF0F9B" w:rsidRPr="00EF1E43" w:rsidRDefault="00FF0F9B" w:rsidP="00374F41">
            <w:pPr>
              <w:rPr>
                <w:sz w:val="24"/>
              </w:rPr>
            </w:pPr>
            <w:r w:rsidRPr="00EF1E43">
              <w:rPr>
                <w:sz w:val="24"/>
              </w:rPr>
              <w:t>Skegg DC, Noonan EA, Paul C, et al (1995). Depot medroxyprogesterone acetate and breast cancer. A pooled analysis of the World Health Organization and New Zealand studies. JAMA, 273(10): 799-804.</w:t>
            </w:r>
          </w:p>
        </w:tc>
      </w:tr>
      <w:tr w:rsidR="00EF1E43" w:rsidRPr="00EF1E43" w14:paraId="28EF2A12" w14:textId="77777777" w:rsidTr="00CC61F1">
        <w:trPr>
          <w:cantSplit/>
        </w:trPr>
        <w:tc>
          <w:tcPr>
            <w:tcW w:w="1555" w:type="dxa"/>
            <w:shd w:val="clear" w:color="auto" w:fill="FFFFFF" w:themeFill="background1"/>
            <w:noWrap/>
            <w:vAlign w:val="center"/>
            <w:hideMark/>
          </w:tcPr>
          <w:p w14:paraId="383CEACD" w14:textId="77777777" w:rsidR="00FF0F9B" w:rsidRPr="00EF1E43" w:rsidRDefault="00FF0F9B" w:rsidP="00374F41">
            <w:pPr>
              <w:jc w:val="center"/>
              <w:rPr>
                <w:sz w:val="24"/>
              </w:rPr>
            </w:pPr>
            <w:r w:rsidRPr="00EF1E43">
              <w:rPr>
                <w:sz w:val="24"/>
              </w:rPr>
              <w:t>35576</w:t>
            </w:r>
          </w:p>
        </w:tc>
        <w:tc>
          <w:tcPr>
            <w:tcW w:w="7371" w:type="dxa"/>
            <w:shd w:val="clear" w:color="auto" w:fill="FFFFFF" w:themeFill="background1"/>
            <w:vAlign w:val="center"/>
            <w:hideMark/>
          </w:tcPr>
          <w:p w14:paraId="14089956" w14:textId="77777777" w:rsidR="00FF0F9B" w:rsidRPr="00EF1E43" w:rsidRDefault="00FF0F9B" w:rsidP="00374F41">
            <w:pPr>
              <w:rPr>
                <w:sz w:val="24"/>
              </w:rPr>
            </w:pPr>
            <w:r w:rsidRPr="00EF1E43">
              <w:rPr>
                <w:sz w:val="24"/>
              </w:rPr>
              <w:t>Skolnick AA (1995). Claim that medical x-rays caused most US breast cancers found incredible. JAMA, 274(5): 367-8.</w:t>
            </w:r>
          </w:p>
        </w:tc>
      </w:tr>
      <w:tr w:rsidR="00EF1E43" w:rsidRPr="00EF1E43" w14:paraId="5D19F1CE" w14:textId="77777777" w:rsidTr="00CC61F1">
        <w:trPr>
          <w:cantSplit/>
        </w:trPr>
        <w:tc>
          <w:tcPr>
            <w:tcW w:w="1555" w:type="dxa"/>
            <w:shd w:val="clear" w:color="auto" w:fill="FFFFFF" w:themeFill="background1"/>
            <w:noWrap/>
            <w:vAlign w:val="center"/>
            <w:hideMark/>
          </w:tcPr>
          <w:p w14:paraId="7A2DC65C" w14:textId="77777777" w:rsidR="00FF0F9B" w:rsidRPr="00EF1E43" w:rsidRDefault="00FF0F9B" w:rsidP="00374F41">
            <w:pPr>
              <w:jc w:val="center"/>
              <w:rPr>
                <w:sz w:val="24"/>
              </w:rPr>
            </w:pPr>
            <w:r w:rsidRPr="00EF1E43">
              <w:rPr>
                <w:sz w:val="24"/>
              </w:rPr>
              <w:t>71683</w:t>
            </w:r>
          </w:p>
        </w:tc>
        <w:tc>
          <w:tcPr>
            <w:tcW w:w="7371" w:type="dxa"/>
            <w:shd w:val="clear" w:color="auto" w:fill="FFFFFF" w:themeFill="background1"/>
            <w:vAlign w:val="center"/>
            <w:hideMark/>
          </w:tcPr>
          <w:p w14:paraId="491F9EBF" w14:textId="77777777" w:rsidR="00FF0F9B" w:rsidRPr="00EF1E43" w:rsidRDefault="00FF0F9B" w:rsidP="00374F41">
            <w:pPr>
              <w:rPr>
                <w:sz w:val="24"/>
              </w:rPr>
            </w:pPr>
            <w:r w:rsidRPr="00EF1E43">
              <w:rPr>
                <w:sz w:val="24"/>
              </w:rPr>
              <w:t>Slack R, Young C, Rushton L, et al (2012). Occupational cancer in Britain. Female cancers: breast, cervix and ovary. Br J Cancer, 107(Suppl 1): S27-32.</w:t>
            </w:r>
          </w:p>
        </w:tc>
      </w:tr>
      <w:tr w:rsidR="00EF1E43" w:rsidRPr="00EF1E43" w14:paraId="44CF9A05" w14:textId="77777777" w:rsidTr="00CC61F1">
        <w:trPr>
          <w:cantSplit/>
        </w:trPr>
        <w:tc>
          <w:tcPr>
            <w:tcW w:w="1555" w:type="dxa"/>
            <w:shd w:val="clear" w:color="auto" w:fill="FFFFFF" w:themeFill="background1"/>
            <w:noWrap/>
            <w:vAlign w:val="center"/>
            <w:hideMark/>
          </w:tcPr>
          <w:p w14:paraId="475E65AB" w14:textId="77777777" w:rsidR="00FF0F9B" w:rsidRPr="00EF1E43" w:rsidRDefault="00FF0F9B" w:rsidP="00374F41">
            <w:pPr>
              <w:jc w:val="center"/>
              <w:rPr>
                <w:sz w:val="24"/>
              </w:rPr>
            </w:pPr>
            <w:r w:rsidRPr="00EF1E43">
              <w:rPr>
                <w:sz w:val="24"/>
              </w:rPr>
              <w:t>9255</w:t>
            </w:r>
          </w:p>
        </w:tc>
        <w:tc>
          <w:tcPr>
            <w:tcW w:w="7371" w:type="dxa"/>
            <w:shd w:val="clear" w:color="auto" w:fill="FFFFFF" w:themeFill="background1"/>
            <w:vAlign w:val="center"/>
            <w:hideMark/>
          </w:tcPr>
          <w:p w14:paraId="0B6F384D" w14:textId="77777777" w:rsidR="00FF0F9B" w:rsidRPr="00EF1E43" w:rsidRDefault="00FF0F9B" w:rsidP="00374F41">
            <w:pPr>
              <w:rPr>
                <w:sz w:val="24"/>
              </w:rPr>
            </w:pPr>
            <w:r w:rsidRPr="00EF1E43">
              <w:rPr>
                <w:sz w:val="24"/>
              </w:rPr>
              <w:t>Smith SJ, Deacon JM, Chilvers CE, et al (1994). Alcohol, smoking, passive smoking and caffeine in relation to breast cancer risk in young women. Br J Cancer, 70: 112-9.</w:t>
            </w:r>
          </w:p>
        </w:tc>
      </w:tr>
      <w:tr w:rsidR="00EF1E43" w:rsidRPr="00EF1E43" w14:paraId="35F51B5E" w14:textId="77777777" w:rsidTr="00CC61F1">
        <w:trPr>
          <w:cantSplit/>
        </w:trPr>
        <w:tc>
          <w:tcPr>
            <w:tcW w:w="1555" w:type="dxa"/>
            <w:shd w:val="clear" w:color="auto" w:fill="FFFFFF" w:themeFill="background1"/>
            <w:noWrap/>
            <w:vAlign w:val="center"/>
            <w:hideMark/>
          </w:tcPr>
          <w:p w14:paraId="6B54868F" w14:textId="77777777" w:rsidR="00FF0F9B" w:rsidRPr="00EF1E43" w:rsidRDefault="00FF0F9B" w:rsidP="00374F41">
            <w:pPr>
              <w:jc w:val="center"/>
              <w:rPr>
                <w:sz w:val="24"/>
              </w:rPr>
            </w:pPr>
            <w:r w:rsidRPr="00EF1E43">
              <w:rPr>
                <w:sz w:val="24"/>
              </w:rPr>
              <w:t>35655</w:t>
            </w:r>
          </w:p>
        </w:tc>
        <w:tc>
          <w:tcPr>
            <w:tcW w:w="7371" w:type="dxa"/>
            <w:shd w:val="clear" w:color="auto" w:fill="FFFFFF" w:themeFill="background1"/>
            <w:vAlign w:val="center"/>
            <w:hideMark/>
          </w:tcPr>
          <w:p w14:paraId="24BB0680" w14:textId="77777777" w:rsidR="00FF0F9B" w:rsidRPr="00EF1E43" w:rsidRDefault="00FF0F9B" w:rsidP="00374F41">
            <w:pPr>
              <w:rPr>
                <w:sz w:val="24"/>
              </w:rPr>
            </w:pPr>
            <w:r w:rsidRPr="00EF1E43">
              <w:rPr>
                <w:sz w:val="24"/>
              </w:rPr>
              <w:t>Smith-Warner SA, Spiegelman D, Yaun SS, et al (1998). Alcohol and breast cancer in women: a pooled analysis of cohort studies. JAMA, 279(7): 535-40.</w:t>
            </w:r>
          </w:p>
        </w:tc>
      </w:tr>
      <w:tr w:rsidR="00EF1E43" w:rsidRPr="00EF1E43" w14:paraId="30CF7A4E" w14:textId="77777777" w:rsidTr="00CC61F1">
        <w:trPr>
          <w:cantSplit/>
        </w:trPr>
        <w:tc>
          <w:tcPr>
            <w:tcW w:w="1555" w:type="dxa"/>
            <w:shd w:val="clear" w:color="auto" w:fill="FFFFFF" w:themeFill="background1"/>
            <w:noWrap/>
            <w:vAlign w:val="center"/>
            <w:hideMark/>
          </w:tcPr>
          <w:p w14:paraId="1727A7D6" w14:textId="77777777" w:rsidR="00FF0F9B" w:rsidRPr="00EF1E43" w:rsidRDefault="00FF0F9B" w:rsidP="00374F41">
            <w:pPr>
              <w:jc w:val="center"/>
              <w:rPr>
                <w:sz w:val="24"/>
              </w:rPr>
            </w:pPr>
            <w:r w:rsidRPr="00EF1E43">
              <w:rPr>
                <w:sz w:val="24"/>
              </w:rPr>
              <w:t>81678</w:t>
            </w:r>
          </w:p>
        </w:tc>
        <w:tc>
          <w:tcPr>
            <w:tcW w:w="7371" w:type="dxa"/>
            <w:shd w:val="clear" w:color="auto" w:fill="FFFFFF" w:themeFill="background1"/>
            <w:vAlign w:val="center"/>
            <w:hideMark/>
          </w:tcPr>
          <w:p w14:paraId="675E898B" w14:textId="77777777" w:rsidR="00FF0F9B" w:rsidRPr="00EF1E43" w:rsidRDefault="00FF0F9B" w:rsidP="00374F41">
            <w:pPr>
              <w:rPr>
                <w:sz w:val="24"/>
              </w:rPr>
            </w:pPr>
            <w:r w:rsidRPr="00EF1E43">
              <w:rPr>
                <w:sz w:val="24"/>
              </w:rPr>
              <w:t>Soini T, Hurskainen R, Grenman S, et al (2014). Cancer risk in women using the levonorgestrel-releasing intrauterine system in Finland. Obstet Gynecol, 124: 292-9.</w:t>
            </w:r>
          </w:p>
        </w:tc>
      </w:tr>
      <w:tr w:rsidR="00EF1E43" w:rsidRPr="00EF1E43" w14:paraId="26F0CF24" w14:textId="77777777" w:rsidTr="00CC61F1">
        <w:trPr>
          <w:cantSplit/>
        </w:trPr>
        <w:tc>
          <w:tcPr>
            <w:tcW w:w="1555" w:type="dxa"/>
            <w:shd w:val="clear" w:color="auto" w:fill="FFFFFF" w:themeFill="background1"/>
            <w:noWrap/>
            <w:vAlign w:val="center"/>
            <w:hideMark/>
          </w:tcPr>
          <w:p w14:paraId="2293CFE4" w14:textId="77777777" w:rsidR="00FF0F9B" w:rsidRPr="00EF1E43" w:rsidRDefault="00FF0F9B" w:rsidP="00374F41">
            <w:pPr>
              <w:jc w:val="center"/>
              <w:rPr>
                <w:sz w:val="24"/>
              </w:rPr>
            </w:pPr>
            <w:r w:rsidRPr="00EF1E43">
              <w:rPr>
                <w:sz w:val="24"/>
              </w:rPr>
              <w:t>19824</w:t>
            </w:r>
          </w:p>
        </w:tc>
        <w:tc>
          <w:tcPr>
            <w:tcW w:w="7371" w:type="dxa"/>
            <w:shd w:val="clear" w:color="auto" w:fill="FFFFFF" w:themeFill="background1"/>
            <w:vAlign w:val="center"/>
            <w:hideMark/>
          </w:tcPr>
          <w:p w14:paraId="1B9B113B" w14:textId="77777777" w:rsidR="00FF0F9B" w:rsidRPr="00EF1E43" w:rsidRDefault="00FF0F9B" w:rsidP="00374F41">
            <w:pPr>
              <w:rPr>
                <w:sz w:val="24"/>
              </w:rPr>
            </w:pPr>
            <w:r w:rsidRPr="00EF1E43">
              <w:rPr>
                <w:sz w:val="24"/>
              </w:rPr>
              <w:t>Soini T, Hurskainen R, Grenman S, et al (2016). Levonorgestrel-releasing intrauterine system and the risk of breast cancer: A nationwide cohort study. Acta Oncol, 55(2): 188-92.</w:t>
            </w:r>
          </w:p>
        </w:tc>
      </w:tr>
      <w:tr w:rsidR="00EF1E43" w:rsidRPr="00EF1E43" w14:paraId="2802FA16" w14:textId="77777777" w:rsidTr="00CC61F1">
        <w:trPr>
          <w:cantSplit/>
        </w:trPr>
        <w:tc>
          <w:tcPr>
            <w:tcW w:w="1555" w:type="dxa"/>
            <w:shd w:val="clear" w:color="auto" w:fill="FFFFFF" w:themeFill="background1"/>
            <w:noWrap/>
            <w:vAlign w:val="center"/>
            <w:hideMark/>
          </w:tcPr>
          <w:p w14:paraId="7F474F39" w14:textId="77777777" w:rsidR="00FF0F9B" w:rsidRPr="00EF1E43" w:rsidRDefault="00FF0F9B" w:rsidP="00374F41">
            <w:pPr>
              <w:jc w:val="center"/>
              <w:rPr>
                <w:sz w:val="24"/>
              </w:rPr>
            </w:pPr>
            <w:r w:rsidRPr="00EF1E43">
              <w:rPr>
                <w:sz w:val="24"/>
              </w:rPr>
              <w:t>80734</w:t>
            </w:r>
          </w:p>
        </w:tc>
        <w:tc>
          <w:tcPr>
            <w:tcW w:w="7371" w:type="dxa"/>
            <w:shd w:val="clear" w:color="auto" w:fill="FFFFFF" w:themeFill="background1"/>
            <w:vAlign w:val="center"/>
            <w:hideMark/>
          </w:tcPr>
          <w:p w14:paraId="6DB731EB" w14:textId="77777777" w:rsidR="00FF0F9B" w:rsidRPr="00EF1E43" w:rsidRDefault="00FF0F9B" w:rsidP="00374F41">
            <w:pPr>
              <w:rPr>
                <w:sz w:val="24"/>
              </w:rPr>
            </w:pPr>
            <w:r w:rsidRPr="00EF1E43">
              <w:rPr>
                <w:sz w:val="24"/>
              </w:rPr>
              <w:t>Sokolnikov M, Preston D, Gilbert E, et al (2015). Radiation effects on mortality from solid cancers other than lung, liver, and bone cancer in the Mayak worker cohort: 1948-2008. PLoS One, 10(2): e0117784.</w:t>
            </w:r>
          </w:p>
        </w:tc>
      </w:tr>
      <w:tr w:rsidR="00EF1E43" w:rsidRPr="00EF1E43" w14:paraId="4382B7FA" w14:textId="77777777" w:rsidTr="00CC61F1">
        <w:trPr>
          <w:cantSplit/>
        </w:trPr>
        <w:tc>
          <w:tcPr>
            <w:tcW w:w="1555" w:type="dxa"/>
            <w:shd w:val="clear" w:color="auto" w:fill="FFFFFF" w:themeFill="background1"/>
            <w:noWrap/>
            <w:vAlign w:val="center"/>
            <w:hideMark/>
          </w:tcPr>
          <w:p w14:paraId="1540DF42" w14:textId="77777777" w:rsidR="00FF0F9B" w:rsidRPr="00EF1E43" w:rsidRDefault="00FF0F9B" w:rsidP="00374F41">
            <w:pPr>
              <w:jc w:val="center"/>
              <w:rPr>
                <w:sz w:val="24"/>
              </w:rPr>
            </w:pPr>
            <w:r w:rsidRPr="00EF1E43">
              <w:rPr>
                <w:sz w:val="24"/>
              </w:rPr>
              <w:t>80735</w:t>
            </w:r>
          </w:p>
        </w:tc>
        <w:tc>
          <w:tcPr>
            <w:tcW w:w="7371" w:type="dxa"/>
            <w:shd w:val="clear" w:color="auto" w:fill="FFFFFF" w:themeFill="background1"/>
            <w:vAlign w:val="center"/>
            <w:hideMark/>
          </w:tcPr>
          <w:p w14:paraId="74C1A277" w14:textId="77777777" w:rsidR="00FF0F9B" w:rsidRPr="00EF1E43" w:rsidRDefault="00FF0F9B" w:rsidP="00374F41">
            <w:pPr>
              <w:rPr>
                <w:sz w:val="24"/>
              </w:rPr>
            </w:pPr>
            <w:r w:rsidRPr="00EF1E43">
              <w:rPr>
                <w:sz w:val="24"/>
              </w:rPr>
              <w:t>Sokolnikov M, Preston D, Stram DO (2017). Mortality from solid cancers other than lung, liver, and bone in relation to external dose among plutonium and non-plutonium workers in the Mayak Worker Cohort. Radiat Environ Biophys, 56(1): 121-5.</w:t>
            </w:r>
          </w:p>
        </w:tc>
      </w:tr>
      <w:tr w:rsidR="00EF1E43" w:rsidRPr="00EF1E43" w14:paraId="738881C5" w14:textId="77777777" w:rsidTr="00CC61F1">
        <w:trPr>
          <w:cantSplit/>
        </w:trPr>
        <w:tc>
          <w:tcPr>
            <w:tcW w:w="1555" w:type="dxa"/>
            <w:shd w:val="clear" w:color="auto" w:fill="FFFFFF" w:themeFill="background1"/>
            <w:noWrap/>
            <w:vAlign w:val="center"/>
            <w:hideMark/>
          </w:tcPr>
          <w:p w14:paraId="08D8B855" w14:textId="77777777" w:rsidR="00FF0F9B" w:rsidRPr="00EF1E43" w:rsidRDefault="00FF0F9B" w:rsidP="00374F41">
            <w:pPr>
              <w:jc w:val="center"/>
              <w:rPr>
                <w:sz w:val="24"/>
              </w:rPr>
            </w:pPr>
            <w:r w:rsidRPr="00EF1E43">
              <w:rPr>
                <w:sz w:val="24"/>
              </w:rPr>
              <w:t>59534</w:t>
            </w:r>
          </w:p>
        </w:tc>
        <w:tc>
          <w:tcPr>
            <w:tcW w:w="7371" w:type="dxa"/>
            <w:shd w:val="clear" w:color="auto" w:fill="FFFFFF" w:themeFill="background1"/>
            <w:vAlign w:val="center"/>
            <w:hideMark/>
          </w:tcPr>
          <w:p w14:paraId="7D24456E" w14:textId="77777777" w:rsidR="00FF0F9B" w:rsidRPr="00EF1E43" w:rsidRDefault="00FF0F9B" w:rsidP="00374F41">
            <w:pPr>
              <w:rPr>
                <w:sz w:val="24"/>
              </w:rPr>
            </w:pPr>
            <w:r w:rsidRPr="00EF1E43">
              <w:rPr>
                <w:sz w:val="24"/>
              </w:rPr>
              <w:t>Sokolnikov ME, Gilbert ES, Preston DL, et al (2008). Lung, liver and bone cancer mortality in Mayak workers. Int J Cancer, 123(4): 905-11.</w:t>
            </w:r>
          </w:p>
        </w:tc>
      </w:tr>
      <w:tr w:rsidR="00EF1E43" w:rsidRPr="00EF1E43" w14:paraId="10B8785D" w14:textId="77777777" w:rsidTr="00CC61F1">
        <w:trPr>
          <w:cantSplit/>
        </w:trPr>
        <w:tc>
          <w:tcPr>
            <w:tcW w:w="1555" w:type="dxa"/>
            <w:shd w:val="clear" w:color="auto" w:fill="FFFFFF" w:themeFill="background1"/>
            <w:noWrap/>
            <w:vAlign w:val="center"/>
            <w:hideMark/>
          </w:tcPr>
          <w:p w14:paraId="56E769A9" w14:textId="77777777" w:rsidR="00FF0F9B" w:rsidRPr="00EF1E43" w:rsidRDefault="00FF0F9B" w:rsidP="00374F41">
            <w:pPr>
              <w:jc w:val="center"/>
              <w:rPr>
                <w:sz w:val="24"/>
              </w:rPr>
            </w:pPr>
            <w:r w:rsidRPr="00EF1E43">
              <w:rPr>
                <w:sz w:val="24"/>
              </w:rPr>
              <w:t>35667</w:t>
            </w:r>
          </w:p>
        </w:tc>
        <w:tc>
          <w:tcPr>
            <w:tcW w:w="7371" w:type="dxa"/>
            <w:shd w:val="clear" w:color="auto" w:fill="FFFFFF" w:themeFill="background1"/>
            <w:vAlign w:val="center"/>
            <w:hideMark/>
          </w:tcPr>
          <w:p w14:paraId="06CD656B" w14:textId="77777777" w:rsidR="00FF0F9B" w:rsidRPr="00EF1E43" w:rsidRDefault="00FF0F9B" w:rsidP="00374F41">
            <w:pPr>
              <w:rPr>
                <w:sz w:val="24"/>
              </w:rPr>
            </w:pPr>
            <w:r w:rsidRPr="00EF1E43">
              <w:rPr>
                <w:sz w:val="24"/>
              </w:rPr>
              <w:t>Somboonporn W, Davis SR (2004). Postmenopausal testosterone therapy and breast cancer risk. Maturitas, 49: 267-75.</w:t>
            </w:r>
          </w:p>
        </w:tc>
      </w:tr>
      <w:tr w:rsidR="00EF1E43" w:rsidRPr="00EF1E43" w14:paraId="7061F424" w14:textId="77777777" w:rsidTr="00CC61F1">
        <w:trPr>
          <w:cantSplit/>
        </w:trPr>
        <w:tc>
          <w:tcPr>
            <w:tcW w:w="1555" w:type="dxa"/>
            <w:shd w:val="clear" w:color="auto" w:fill="FFFFFF" w:themeFill="background1"/>
            <w:noWrap/>
            <w:vAlign w:val="center"/>
            <w:hideMark/>
          </w:tcPr>
          <w:p w14:paraId="0FEE4DFF" w14:textId="77777777" w:rsidR="00FF0F9B" w:rsidRPr="00EF1E43" w:rsidRDefault="00FF0F9B" w:rsidP="00374F41">
            <w:pPr>
              <w:jc w:val="center"/>
              <w:rPr>
                <w:sz w:val="24"/>
              </w:rPr>
            </w:pPr>
            <w:r w:rsidRPr="00EF1E43">
              <w:rPr>
                <w:sz w:val="24"/>
              </w:rPr>
              <w:t>38266</w:t>
            </w:r>
          </w:p>
        </w:tc>
        <w:tc>
          <w:tcPr>
            <w:tcW w:w="7371" w:type="dxa"/>
            <w:shd w:val="clear" w:color="auto" w:fill="FFFFFF" w:themeFill="background1"/>
            <w:vAlign w:val="center"/>
            <w:hideMark/>
          </w:tcPr>
          <w:p w14:paraId="4432EAAE" w14:textId="77777777" w:rsidR="00FF0F9B" w:rsidRPr="00EF1E43" w:rsidRDefault="00FF0F9B" w:rsidP="00374F41">
            <w:pPr>
              <w:rPr>
                <w:sz w:val="24"/>
              </w:rPr>
            </w:pPr>
            <w:r w:rsidRPr="00EF1E43">
              <w:rPr>
                <w:sz w:val="24"/>
              </w:rPr>
              <w:t>Son BH, Kwak BS, Kim JK, et al (2006). Changing patterns in the clinical characteristics of Korean patients with breast cancer during the last 15 years. Arch Surg, 141: 155-160.</w:t>
            </w:r>
          </w:p>
        </w:tc>
      </w:tr>
      <w:tr w:rsidR="00EF1E43" w:rsidRPr="00EF1E43" w14:paraId="0EDB1C76" w14:textId="77777777" w:rsidTr="00CC61F1">
        <w:trPr>
          <w:cantSplit/>
        </w:trPr>
        <w:tc>
          <w:tcPr>
            <w:tcW w:w="1555" w:type="dxa"/>
            <w:shd w:val="clear" w:color="auto" w:fill="FFFFFF" w:themeFill="background1"/>
            <w:noWrap/>
            <w:vAlign w:val="center"/>
            <w:hideMark/>
          </w:tcPr>
          <w:p w14:paraId="78E00E99" w14:textId="77777777" w:rsidR="00FF0F9B" w:rsidRPr="00EF1E43" w:rsidRDefault="00FF0F9B" w:rsidP="00374F41">
            <w:pPr>
              <w:jc w:val="center"/>
              <w:rPr>
                <w:sz w:val="24"/>
              </w:rPr>
            </w:pPr>
            <w:r w:rsidRPr="00EF1E43">
              <w:rPr>
                <w:sz w:val="24"/>
              </w:rPr>
              <w:t>36930</w:t>
            </w:r>
          </w:p>
        </w:tc>
        <w:tc>
          <w:tcPr>
            <w:tcW w:w="7371" w:type="dxa"/>
            <w:shd w:val="clear" w:color="auto" w:fill="FFFFFF" w:themeFill="background1"/>
            <w:vAlign w:val="center"/>
            <w:hideMark/>
          </w:tcPr>
          <w:p w14:paraId="469CF7CC" w14:textId="77777777" w:rsidR="00FF0F9B" w:rsidRPr="00EF1E43" w:rsidRDefault="00FF0F9B" w:rsidP="00374F41">
            <w:pPr>
              <w:rPr>
                <w:sz w:val="24"/>
              </w:rPr>
            </w:pPr>
            <w:r w:rsidRPr="00EF1E43">
              <w:rPr>
                <w:sz w:val="24"/>
              </w:rPr>
              <w:t>Sonnenschein E, Toniolo P, Terry MB, et al (1999). Body fat distribution and obesity in pre- and postmenopausal breast cancer. Int J Epidemiology, 28: 1026-31.</w:t>
            </w:r>
          </w:p>
        </w:tc>
      </w:tr>
      <w:tr w:rsidR="00EF1E43" w:rsidRPr="00EF1E43" w14:paraId="076FF9F6" w14:textId="77777777" w:rsidTr="00CC61F1">
        <w:trPr>
          <w:cantSplit/>
        </w:trPr>
        <w:tc>
          <w:tcPr>
            <w:tcW w:w="1555" w:type="dxa"/>
            <w:shd w:val="clear" w:color="auto" w:fill="FFFFFF" w:themeFill="background1"/>
            <w:noWrap/>
            <w:vAlign w:val="center"/>
            <w:hideMark/>
          </w:tcPr>
          <w:p w14:paraId="06DF9C0F" w14:textId="77777777" w:rsidR="00FF0F9B" w:rsidRPr="00EF1E43" w:rsidRDefault="00FF0F9B" w:rsidP="00374F41">
            <w:pPr>
              <w:jc w:val="center"/>
              <w:rPr>
                <w:sz w:val="24"/>
              </w:rPr>
            </w:pPr>
            <w:r w:rsidRPr="00EF1E43">
              <w:rPr>
                <w:sz w:val="24"/>
              </w:rPr>
              <w:t>35726</w:t>
            </w:r>
          </w:p>
        </w:tc>
        <w:tc>
          <w:tcPr>
            <w:tcW w:w="7371" w:type="dxa"/>
            <w:shd w:val="clear" w:color="auto" w:fill="FFFFFF" w:themeFill="background1"/>
            <w:vAlign w:val="center"/>
            <w:hideMark/>
          </w:tcPr>
          <w:p w14:paraId="4B729FF9" w14:textId="77777777" w:rsidR="00FF0F9B" w:rsidRPr="00EF1E43" w:rsidRDefault="00FF0F9B" w:rsidP="00374F41">
            <w:pPr>
              <w:rPr>
                <w:sz w:val="24"/>
              </w:rPr>
            </w:pPr>
            <w:r w:rsidRPr="00EF1E43">
              <w:rPr>
                <w:sz w:val="24"/>
              </w:rPr>
              <w:t>Speroff L (2004). Postmenopausal hormone therapy and the risk of breast cancer: A clinician's view. Maturitas, 49: 51-7.</w:t>
            </w:r>
          </w:p>
        </w:tc>
      </w:tr>
      <w:tr w:rsidR="00EF1E43" w:rsidRPr="00EF1E43" w14:paraId="3FC53081" w14:textId="77777777" w:rsidTr="00CC61F1">
        <w:trPr>
          <w:cantSplit/>
        </w:trPr>
        <w:tc>
          <w:tcPr>
            <w:tcW w:w="1555" w:type="dxa"/>
            <w:shd w:val="clear" w:color="auto" w:fill="FFFFFF" w:themeFill="background1"/>
            <w:noWrap/>
            <w:vAlign w:val="center"/>
            <w:hideMark/>
          </w:tcPr>
          <w:p w14:paraId="6DD5186C" w14:textId="77777777" w:rsidR="00FF0F9B" w:rsidRPr="00EF1E43" w:rsidRDefault="00FF0F9B" w:rsidP="00374F41">
            <w:pPr>
              <w:jc w:val="center"/>
              <w:rPr>
                <w:sz w:val="24"/>
              </w:rPr>
            </w:pPr>
            <w:r w:rsidRPr="00EF1E43">
              <w:rPr>
                <w:sz w:val="24"/>
              </w:rPr>
              <w:lastRenderedPageBreak/>
              <w:t>37182</w:t>
            </w:r>
          </w:p>
        </w:tc>
        <w:tc>
          <w:tcPr>
            <w:tcW w:w="7371" w:type="dxa"/>
            <w:shd w:val="clear" w:color="auto" w:fill="FFFFFF" w:themeFill="background1"/>
            <w:vAlign w:val="center"/>
            <w:hideMark/>
          </w:tcPr>
          <w:p w14:paraId="2316E112" w14:textId="77777777" w:rsidR="00FF0F9B" w:rsidRPr="00EF1E43" w:rsidRDefault="00FF0F9B" w:rsidP="00374F41">
            <w:pPr>
              <w:rPr>
                <w:sz w:val="24"/>
              </w:rPr>
            </w:pPr>
            <w:r w:rsidRPr="00EF1E43">
              <w:rPr>
                <w:sz w:val="24"/>
              </w:rPr>
              <w:t>Stahlberg C, Lynge E, Anderson ZJ, et al (2005). Breast cancer incidence, case-fatality and breast cancer mortality in Danish women using hormone replacement therapy - a prospective observational study. International Journal of Epidemiology, 34: 931-5.</w:t>
            </w:r>
          </w:p>
        </w:tc>
      </w:tr>
      <w:tr w:rsidR="00EF1E43" w:rsidRPr="00EF1E43" w14:paraId="76566F2C" w14:textId="77777777" w:rsidTr="00CC61F1">
        <w:trPr>
          <w:cantSplit/>
        </w:trPr>
        <w:tc>
          <w:tcPr>
            <w:tcW w:w="1555" w:type="dxa"/>
            <w:shd w:val="clear" w:color="auto" w:fill="FFFFFF" w:themeFill="background1"/>
            <w:noWrap/>
            <w:vAlign w:val="center"/>
            <w:hideMark/>
          </w:tcPr>
          <w:p w14:paraId="0AE28ADA" w14:textId="77777777" w:rsidR="00FF0F9B" w:rsidRPr="00EF1E43" w:rsidRDefault="00FF0F9B" w:rsidP="00374F41">
            <w:pPr>
              <w:jc w:val="center"/>
              <w:rPr>
                <w:sz w:val="24"/>
              </w:rPr>
            </w:pPr>
            <w:r w:rsidRPr="00EF1E43">
              <w:rPr>
                <w:sz w:val="24"/>
              </w:rPr>
              <w:t>9256</w:t>
            </w:r>
          </w:p>
        </w:tc>
        <w:tc>
          <w:tcPr>
            <w:tcW w:w="7371" w:type="dxa"/>
            <w:shd w:val="clear" w:color="auto" w:fill="FFFFFF" w:themeFill="background1"/>
            <w:vAlign w:val="center"/>
            <w:hideMark/>
          </w:tcPr>
          <w:p w14:paraId="2FF57356" w14:textId="77777777" w:rsidR="00FF0F9B" w:rsidRPr="00EF1E43" w:rsidRDefault="00FF0F9B" w:rsidP="00374F41">
            <w:pPr>
              <w:rPr>
                <w:sz w:val="24"/>
              </w:rPr>
            </w:pPr>
            <w:r w:rsidRPr="00EF1E43">
              <w:rPr>
                <w:sz w:val="24"/>
              </w:rPr>
              <w:t>Stanford JL, Weiss NS, Voigt LF, et al (1995). Combined estrogen and progestin hormone replacement therapy in relation to risk of breast cancer in middle-aged women. JAMA, 274(2): 137-42.</w:t>
            </w:r>
          </w:p>
        </w:tc>
      </w:tr>
      <w:tr w:rsidR="00EF1E43" w:rsidRPr="00EF1E43" w14:paraId="7E34AF61" w14:textId="77777777" w:rsidTr="00CC61F1">
        <w:trPr>
          <w:cantSplit/>
        </w:trPr>
        <w:tc>
          <w:tcPr>
            <w:tcW w:w="1555" w:type="dxa"/>
            <w:shd w:val="clear" w:color="auto" w:fill="FFFFFF" w:themeFill="background1"/>
            <w:noWrap/>
            <w:vAlign w:val="center"/>
            <w:hideMark/>
          </w:tcPr>
          <w:p w14:paraId="6CF3EF61" w14:textId="77777777" w:rsidR="00FF0F9B" w:rsidRPr="00EF1E43" w:rsidRDefault="00FF0F9B" w:rsidP="00374F41">
            <w:pPr>
              <w:jc w:val="center"/>
              <w:rPr>
                <w:sz w:val="24"/>
              </w:rPr>
            </w:pPr>
            <w:r w:rsidRPr="00EF1E43">
              <w:rPr>
                <w:sz w:val="24"/>
              </w:rPr>
              <w:t>37715</w:t>
            </w:r>
          </w:p>
        </w:tc>
        <w:tc>
          <w:tcPr>
            <w:tcW w:w="7371" w:type="dxa"/>
            <w:shd w:val="clear" w:color="auto" w:fill="FFFFFF" w:themeFill="background1"/>
            <w:vAlign w:val="center"/>
            <w:hideMark/>
          </w:tcPr>
          <w:p w14:paraId="65335AF1" w14:textId="77777777" w:rsidR="00FF0F9B" w:rsidRPr="00EF1E43" w:rsidRDefault="00FF0F9B" w:rsidP="00374F41">
            <w:pPr>
              <w:rPr>
                <w:sz w:val="24"/>
              </w:rPr>
            </w:pPr>
            <w:r w:rsidRPr="00EF1E43">
              <w:rPr>
                <w:sz w:val="24"/>
              </w:rPr>
              <w:t>Steenland K, Bertazzi P, Baccarelli A, et al (2004). Dioxin revisited: developments since the 1997 IARC classification of dioxin as a human carcinogen. Environ Health Perspect, 112(13): 1265-8.</w:t>
            </w:r>
          </w:p>
        </w:tc>
      </w:tr>
      <w:tr w:rsidR="00EF1E43" w:rsidRPr="00EF1E43" w14:paraId="46D57A84" w14:textId="77777777" w:rsidTr="00CC61F1">
        <w:trPr>
          <w:cantSplit/>
        </w:trPr>
        <w:tc>
          <w:tcPr>
            <w:tcW w:w="1555" w:type="dxa"/>
            <w:shd w:val="clear" w:color="auto" w:fill="FFFFFF" w:themeFill="background1"/>
            <w:noWrap/>
            <w:vAlign w:val="center"/>
            <w:hideMark/>
          </w:tcPr>
          <w:p w14:paraId="463928A7" w14:textId="77777777" w:rsidR="00FF0F9B" w:rsidRPr="00EF1E43" w:rsidRDefault="00FF0F9B" w:rsidP="00374F41">
            <w:pPr>
              <w:jc w:val="center"/>
              <w:rPr>
                <w:sz w:val="24"/>
              </w:rPr>
            </w:pPr>
            <w:r w:rsidRPr="00EF1E43">
              <w:rPr>
                <w:sz w:val="24"/>
              </w:rPr>
              <w:t>38736</w:t>
            </w:r>
          </w:p>
        </w:tc>
        <w:tc>
          <w:tcPr>
            <w:tcW w:w="7371" w:type="dxa"/>
            <w:shd w:val="clear" w:color="auto" w:fill="FFFFFF" w:themeFill="background1"/>
            <w:vAlign w:val="center"/>
            <w:hideMark/>
          </w:tcPr>
          <w:p w14:paraId="19D977CC" w14:textId="77777777" w:rsidR="00FF0F9B" w:rsidRPr="00EF1E43" w:rsidRDefault="00FF0F9B" w:rsidP="00374F41">
            <w:pPr>
              <w:rPr>
                <w:sz w:val="24"/>
              </w:rPr>
            </w:pPr>
            <w:r w:rsidRPr="00EF1E43">
              <w:rPr>
                <w:sz w:val="24"/>
              </w:rPr>
              <w:t>Steenland K, Stayner L, Deddens J (2004). Mortality analyses in a cohort of 18 235 ethylene oxide exposed workers: follow up extended from 1987 to 1998. Occup Environ Med, 61(1): 2-7.</w:t>
            </w:r>
          </w:p>
        </w:tc>
      </w:tr>
      <w:tr w:rsidR="00EF1E43" w:rsidRPr="00EF1E43" w14:paraId="7D4A8E1A" w14:textId="77777777" w:rsidTr="00CC61F1">
        <w:trPr>
          <w:cantSplit/>
        </w:trPr>
        <w:tc>
          <w:tcPr>
            <w:tcW w:w="1555" w:type="dxa"/>
            <w:shd w:val="clear" w:color="auto" w:fill="FFFFFF" w:themeFill="background1"/>
            <w:noWrap/>
            <w:vAlign w:val="center"/>
            <w:hideMark/>
          </w:tcPr>
          <w:p w14:paraId="06C9F6A5" w14:textId="77777777" w:rsidR="00FF0F9B" w:rsidRPr="00EF1E43" w:rsidRDefault="00FF0F9B" w:rsidP="00374F41">
            <w:pPr>
              <w:jc w:val="center"/>
              <w:rPr>
                <w:sz w:val="24"/>
              </w:rPr>
            </w:pPr>
            <w:r w:rsidRPr="00EF1E43">
              <w:rPr>
                <w:sz w:val="24"/>
              </w:rPr>
              <w:t>37172</w:t>
            </w:r>
          </w:p>
        </w:tc>
        <w:tc>
          <w:tcPr>
            <w:tcW w:w="7371" w:type="dxa"/>
            <w:shd w:val="clear" w:color="auto" w:fill="FFFFFF" w:themeFill="background1"/>
            <w:vAlign w:val="center"/>
            <w:hideMark/>
          </w:tcPr>
          <w:p w14:paraId="0D07BF82" w14:textId="77777777" w:rsidR="00FF0F9B" w:rsidRPr="00EF1E43" w:rsidRDefault="00FF0F9B" w:rsidP="00374F41">
            <w:pPr>
              <w:rPr>
                <w:sz w:val="24"/>
              </w:rPr>
            </w:pPr>
            <w:r w:rsidRPr="00EF1E43">
              <w:rPr>
                <w:sz w:val="24"/>
              </w:rPr>
              <w:t>Steindorf K, Schmidt M, Kropp S, et al (2003). Case-control study of physical activity and breast cancer risk among premenopausal women in Germany. American Journal of Epidemiology, 157(2): 121-30.</w:t>
            </w:r>
          </w:p>
        </w:tc>
      </w:tr>
      <w:tr w:rsidR="00EF1E43" w:rsidRPr="00EF1E43" w14:paraId="73896A1F" w14:textId="77777777" w:rsidTr="00CC61F1">
        <w:trPr>
          <w:cantSplit/>
        </w:trPr>
        <w:tc>
          <w:tcPr>
            <w:tcW w:w="1555" w:type="dxa"/>
            <w:shd w:val="clear" w:color="auto" w:fill="FFFFFF" w:themeFill="background1"/>
            <w:noWrap/>
            <w:vAlign w:val="center"/>
            <w:hideMark/>
          </w:tcPr>
          <w:p w14:paraId="303A7E45" w14:textId="77777777" w:rsidR="00FF0F9B" w:rsidRPr="00EF1E43" w:rsidRDefault="00FF0F9B" w:rsidP="00374F41">
            <w:pPr>
              <w:jc w:val="center"/>
              <w:rPr>
                <w:sz w:val="24"/>
              </w:rPr>
            </w:pPr>
            <w:r w:rsidRPr="00EF1E43">
              <w:rPr>
                <w:sz w:val="24"/>
              </w:rPr>
              <w:t>35612</w:t>
            </w:r>
          </w:p>
        </w:tc>
        <w:tc>
          <w:tcPr>
            <w:tcW w:w="7371" w:type="dxa"/>
            <w:shd w:val="clear" w:color="auto" w:fill="FFFFFF" w:themeFill="background1"/>
            <w:vAlign w:val="center"/>
            <w:hideMark/>
          </w:tcPr>
          <w:p w14:paraId="4F0AFC99" w14:textId="77777777" w:rsidR="00FF0F9B" w:rsidRPr="00EF1E43" w:rsidRDefault="00FF0F9B" w:rsidP="00374F41">
            <w:pPr>
              <w:rPr>
                <w:sz w:val="24"/>
              </w:rPr>
            </w:pPr>
            <w:r w:rsidRPr="00EF1E43">
              <w:rPr>
                <w:sz w:val="24"/>
              </w:rPr>
              <w:t>Stenlund C, Floderus B (1997). Occupational exposure to magnetic fields in relation to male breast cancer and testicular cancer: a Swedish case-control study. Cancer Causes &amp; Control, 8: 184-91.</w:t>
            </w:r>
          </w:p>
        </w:tc>
      </w:tr>
      <w:tr w:rsidR="00EF1E43" w:rsidRPr="00EF1E43" w14:paraId="1A620A19" w14:textId="77777777" w:rsidTr="00CC61F1">
        <w:trPr>
          <w:cantSplit/>
        </w:trPr>
        <w:tc>
          <w:tcPr>
            <w:tcW w:w="1555" w:type="dxa"/>
            <w:shd w:val="clear" w:color="auto" w:fill="FFFFFF" w:themeFill="background1"/>
            <w:noWrap/>
            <w:vAlign w:val="center"/>
            <w:hideMark/>
          </w:tcPr>
          <w:p w14:paraId="79B920B8" w14:textId="77777777" w:rsidR="00FF0F9B" w:rsidRPr="00EF1E43" w:rsidRDefault="00FF0F9B" w:rsidP="00374F41">
            <w:pPr>
              <w:jc w:val="center"/>
              <w:rPr>
                <w:sz w:val="24"/>
              </w:rPr>
            </w:pPr>
            <w:r w:rsidRPr="00EF1E43">
              <w:rPr>
                <w:sz w:val="24"/>
              </w:rPr>
              <w:t>37105</w:t>
            </w:r>
          </w:p>
        </w:tc>
        <w:tc>
          <w:tcPr>
            <w:tcW w:w="7371" w:type="dxa"/>
            <w:shd w:val="clear" w:color="auto" w:fill="FFFFFF" w:themeFill="background1"/>
            <w:vAlign w:val="center"/>
            <w:hideMark/>
          </w:tcPr>
          <w:p w14:paraId="4E291D9E" w14:textId="77777777" w:rsidR="00FF0F9B" w:rsidRPr="00EF1E43" w:rsidRDefault="00FF0F9B" w:rsidP="00374F41">
            <w:pPr>
              <w:rPr>
                <w:sz w:val="24"/>
              </w:rPr>
            </w:pPr>
            <w:r w:rsidRPr="00EF1E43">
              <w:rPr>
                <w:sz w:val="24"/>
              </w:rPr>
              <w:t>Stephenson GD, Rose DP (2003). Breast cancer and obesity: an update. Nutrition &amp; Cancer, 45(1): 1-16.</w:t>
            </w:r>
          </w:p>
        </w:tc>
      </w:tr>
      <w:tr w:rsidR="00EF1E43" w:rsidRPr="00EF1E43" w14:paraId="269C842B" w14:textId="77777777" w:rsidTr="00CC61F1">
        <w:trPr>
          <w:cantSplit/>
        </w:trPr>
        <w:tc>
          <w:tcPr>
            <w:tcW w:w="1555" w:type="dxa"/>
            <w:shd w:val="clear" w:color="auto" w:fill="FFFFFF" w:themeFill="background1"/>
            <w:noWrap/>
            <w:vAlign w:val="center"/>
            <w:hideMark/>
          </w:tcPr>
          <w:p w14:paraId="3E2A1070" w14:textId="77777777" w:rsidR="00FF0F9B" w:rsidRPr="00EF1E43" w:rsidRDefault="00FF0F9B" w:rsidP="00374F41">
            <w:pPr>
              <w:jc w:val="center"/>
              <w:rPr>
                <w:sz w:val="24"/>
              </w:rPr>
            </w:pPr>
            <w:r w:rsidRPr="00EF1E43">
              <w:rPr>
                <w:sz w:val="24"/>
              </w:rPr>
              <w:t>4698</w:t>
            </w:r>
          </w:p>
        </w:tc>
        <w:tc>
          <w:tcPr>
            <w:tcW w:w="7371" w:type="dxa"/>
            <w:shd w:val="clear" w:color="auto" w:fill="FFFFFF" w:themeFill="background1"/>
            <w:vAlign w:val="center"/>
            <w:hideMark/>
          </w:tcPr>
          <w:p w14:paraId="6EC56ABB" w14:textId="77777777" w:rsidR="00FF0F9B" w:rsidRPr="00EF1E43" w:rsidRDefault="00FF0F9B" w:rsidP="00374F41">
            <w:pPr>
              <w:rPr>
                <w:sz w:val="24"/>
              </w:rPr>
            </w:pPr>
            <w:r w:rsidRPr="00EF1E43">
              <w:rPr>
                <w:sz w:val="24"/>
              </w:rPr>
              <w:t>Sternberg SS (1994). [Comment] Organochlorines and Breast Cancer. J Natl Cancer Inst, 86(1): 65-6.</w:t>
            </w:r>
          </w:p>
        </w:tc>
      </w:tr>
      <w:tr w:rsidR="00EF1E43" w:rsidRPr="00EF1E43" w14:paraId="68307551" w14:textId="77777777" w:rsidTr="00CC61F1">
        <w:trPr>
          <w:cantSplit/>
        </w:trPr>
        <w:tc>
          <w:tcPr>
            <w:tcW w:w="1555" w:type="dxa"/>
            <w:shd w:val="clear" w:color="auto" w:fill="FFFFFF" w:themeFill="background1"/>
            <w:noWrap/>
            <w:vAlign w:val="center"/>
            <w:hideMark/>
          </w:tcPr>
          <w:p w14:paraId="5D871F64" w14:textId="77777777" w:rsidR="00FF0F9B" w:rsidRPr="00EF1E43" w:rsidRDefault="00FF0F9B" w:rsidP="00374F41">
            <w:pPr>
              <w:jc w:val="center"/>
              <w:rPr>
                <w:sz w:val="24"/>
              </w:rPr>
            </w:pPr>
            <w:r w:rsidRPr="00EF1E43">
              <w:rPr>
                <w:sz w:val="24"/>
              </w:rPr>
              <w:t>4697</w:t>
            </w:r>
          </w:p>
        </w:tc>
        <w:tc>
          <w:tcPr>
            <w:tcW w:w="7371" w:type="dxa"/>
            <w:shd w:val="clear" w:color="auto" w:fill="FFFFFF" w:themeFill="background1"/>
            <w:vAlign w:val="center"/>
            <w:hideMark/>
          </w:tcPr>
          <w:p w14:paraId="23CC1AE4" w14:textId="77777777" w:rsidR="00FF0F9B" w:rsidRPr="00EF1E43" w:rsidRDefault="00FF0F9B" w:rsidP="00374F41">
            <w:pPr>
              <w:rPr>
                <w:sz w:val="24"/>
              </w:rPr>
            </w:pPr>
            <w:r w:rsidRPr="00EF1E43">
              <w:rPr>
                <w:sz w:val="24"/>
              </w:rPr>
              <w:t>Sternberg SS (1994). Correspondence - DDT and Breast Cancer. J Natl Cancer Inst, 86(14): 108-9.</w:t>
            </w:r>
          </w:p>
        </w:tc>
      </w:tr>
      <w:tr w:rsidR="00EF1E43" w:rsidRPr="00EF1E43" w14:paraId="5368814A" w14:textId="77777777" w:rsidTr="00CC61F1">
        <w:trPr>
          <w:cantSplit/>
        </w:trPr>
        <w:tc>
          <w:tcPr>
            <w:tcW w:w="1555" w:type="dxa"/>
            <w:shd w:val="clear" w:color="auto" w:fill="FFFFFF" w:themeFill="background1"/>
            <w:noWrap/>
            <w:vAlign w:val="center"/>
            <w:hideMark/>
          </w:tcPr>
          <w:p w14:paraId="2611921F" w14:textId="77777777" w:rsidR="00FF0F9B" w:rsidRPr="00EF1E43" w:rsidRDefault="00FF0F9B" w:rsidP="00374F41">
            <w:pPr>
              <w:jc w:val="center"/>
              <w:rPr>
                <w:sz w:val="24"/>
              </w:rPr>
            </w:pPr>
            <w:r w:rsidRPr="00EF1E43">
              <w:rPr>
                <w:sz w:val="24"/>
              </w:rPr>
              <w:t>10832</w:t>
            </w:r>
          </w:p>
        </w:tc>
        <w:tc>
          <w:tcPr>
            <w:tcW w:w="7371" w:type="dxa"/>
            <w:shd w:val="clear" w:color="auto" w:fill="FFFFFF" w:themeFill="background1"/>
            <w:vAlign w:val="center"/>
            <w:hideMark/>
          </w:tcPr>
          <w:p w14:paraId="0B1F861B" w14:textId="77777777" w:rsidR="00FF0F9B" w:rsidRPr="00EF1E43" w:rsidRDefault="00FF0F9B" w:rsidP="00374F41">
            <w:pPr>
              <w:rPr>
                <w:sz w:val="24"/>
              </w:rPr>
            </w:pPr>
            <w:r w:rsidRPr="00EF1E43">
              <w:rPr>
                <w:sz w:val="24"/>
              </w:rPr>
              <w:t>Stevens RG, Davis S (1996). The melatonin hypothesis: electric power and breast cancer. Environmental Health Perspectives, 104(suppl): 135-40.</w:t>
            </w:r>
          </w:p>
        </w:tc>
      </w:tr>
      <w:tr w:rsidR="00EF1E43" w:rsidRPr="00EF1E43" w14:paraId="7C5B0C29" w14:textId="77777777" w:rsidTr="00CC61F1">
        <w:trPr>
          <w:cantSplit/>
        </w:trPr>
        <w:tc>
          <w:tcPr>
            <w:tcW w:w="1555" w:type="dxa"/>
            <w:shd w:val="clear" w:color="auto" w:fill="FFFFFF" w:themeFill="background1"/>
            <w:noWrap/>
            <w:vAlign w:val="center"/>
            <w:hideMark/>
          </w:tcPr>
          <w:p w14:paraId="6B34D8A9" w14:textId="77777777" w:rsidR="00FF0F9B" w:rsidRPr="00EF1E43" w:rsidRDefault="00FF0F9B" w:rsidP="00374F41">
            <w:pPr>
              <w:jc w:val="center"/>
              <w:rPr>
                <w:sz w:val="24"/>
              </w:rPr>
            </w:pPr>
            <w:r w:rsidRPr="00EF1E43">
              <w:rPr>
                <w:sz w:val="24"/>
              </w:rPr>
              <w:t>9349</w:t>
            </w:r>
          </w:p>
        </w:tc>
        <w:tc>
          <w:tcPr>
            <w:tcW w:w="7371" w:type="dxa"/>
            <w:shd w:val="clear" w:color="auto" w:fill="FFFFFF" w:themeFill="background1"/>
            <w:vAlign w:val="center"/>
            <w:hideMark/>
          </w:tcPr>
          <w:p w14:paraId="6568B0FF" w14:textId="77777777" w:rsidR="00FF0F9B" w:rsidRPr="00EF1E43" w:rsidRDefault="00FF0F9B" w:rsidP="00374F41">
            <w:pPr>
              <w:rPr>
                <w:sz w:val="24"/>
              </w:rPr>
            </w:pPr>
            <w:r w:rsidRPr="00EF1E43">
              <w:rPr>
                <w:sz w:val="24"/>
              </w:rPr>
              <w:t>Stevens RG, Davis S, Thomas DB, et al (1992). Electric power, pineal function, and the risk of breast cancer. FASEB J, 6: 853-60.</w:t>
            </w:r>
          </w:p>
        </w:tc>
      </w:tr>
      <w:tr w:rsidR="00EF1E43" w:rsidRPr="00EF1E43" w14:paraId="7B682D5A" w14:textId="77777777" w:rsidTr="00CC61F1">
        <w:trPr>
          <w:cantSplit/>
        </w:trPr>
        <w:tc>
          <w:tcPr>
            <w:tcW w:w="1555" w:type="dxa"/>
            <w:shd w:val="clear" w:color="auto" w:fill="FFFFFF" w:themeFill="background1"/>
            <w:noWrap/>
            <w:vAlign w:val="center"/>
            <w:hideMark/>
          </w:tcPr>
          <w:p w14:paraId="4BEE85D1" w14:textId="77777777" w:rsidR="00FF0F9B" w:rsidRPr="00EF1E43" w:rsidRDefault="00FF0F9B" w:rsidP="00374F41">
            <w:pPr>
              <w:jc w:val="center"/>
              <w:rPr>
                <w:sz w:val="24"/>
              </w:rPr>
            </w:pPr>
            <w:r w:rsidRPr="00EF1E43">
              <w:rPr>
                <w:sz w:val="24"/>
              </w:rPr>
              <w:t>71684</w:t>
            </w:r>
          </w:p>
        </w:tc>
        <w:tc>
          <w:tcPr>
            <w:tcW w:w="7371" w:type="dxa"/>
            <w:shd w:val="clear" w:color="auto" w:fill="FFFFFF" w:themeFill="background1"/>
            <w:vAlign w:val="center"/>
            <w:hideMark/>
          </w:tcPr>
          <w:p w14:paraId="189085C2" w14:textId="77777777" w:rsidR="00FF0F9B" w:rsidRPr="00EF1E43" w:rsidRDefault="00FF0F9B" w:rsidP="00374F41">
            <w:pPr>
              <w:rPr>
                <w:sz w:val="24"/>
              </w:rPr>
            </w:pPr>
            <w:r w:rsidRPr="00EF1E43">
              <w:rPr>
                <w:sz w:val="24"/>
              </w:rPr>
              <w:t>Stevens RG, Hansen J, Schernhammer ES, et al (2013). [Comment] Response to Ijaz S, et al "Night-shift work and breast cancer - a systematic review and meta-analysis". Scand J Work Environ Health, 39(6): 631-2. Comment on ID: 71641.</w:t>
            </w:r>
          </w:p>
        </w:tc>
      </w:tr>
      <w:tr w:rsidR="00EF1E43" w:rsidRPr="00EF1E43" w14:paraId="4664DADD" w14:textId="77777777" w:rsidTr="00CC61F1">
        <w:trPr>
          <w:cantSplit/>
        </w:trPr>
        <w:tc>
          <w:tcPr>
            <w:tcW w:w="1555" w:type="dxa"/>
            <w:shd w:val="clear" w:color="auto" w:fill="FFFFFF" w:themeFill="background1"/>
            <w:noWrap/>
            <w:vAlign w:val="center"/>
            <w:hideMark/>
          </w:tcPr>
          <w:p w14:paraId="66A0D9A4" w14:textId="77777777" w:rsidR="00FF0F9B" w:rsidRPr="00EF1E43" w:rsidRDefault="00FF0F9B" w:rsidP="00374F41">
            <w:pPr>
              <w:jc w:val="center"/>
              <w:rPr>
                <w:sz w:val="24"/>
              </w:rPr>
            </w:pPr>
            <w:r w:rsidRPr="00EF1E43">
              <w:rPr>
                <w:sz w:val="24"/>
              </w:rPr>
              <w:t>71685</w:t>
            </w:r>
          </w:p>
        </w:tc>
        <w:tc>
          <w:tcPr>
            <w:tcW w:w="7371" w:type="dxa"/>
            <w:shd w:val="clear" w:color="auto" w:fill="FFFFFF" w:themeFill="background1"/>
            <w:vAlign w:val="center"/>
            <w:hideMark/>
          </w:tcPr>
          <w:p w14:paraId="43CA63D6" w14:textId="77777777" w:rsidR="00FF0F9B" w:rsidRPr="00EF1E43" w:rsidRDefault="00FF0F9B" w:rsidP="00374F41">
            <w:pPr>
              <w:rPr>
                <w:sz w:val="24"/>
              </w:rPr>
            </w:pPr>
            <w:r w:rsidRPr="00EF1E43">
              <w:rPr>
                <w:sz w:val="24"/>
              </w:rPr>
              <w:t>Stivala A, Libra M, Stivala F, et al (2012). Breast cancer risk in women treated with augmentation mammoplasty (Review). Oncology Reports, 28: 3-7.</w:t>
            </w:r>
          </w:p>
        </w:tc>
      </w:tr>
      <w:tr w:rsidR="00EF1E43" w:rsidRPr="00EF1E43" w14:paraId="7044CB9F" w14:textId="77777777" w:rsidTr="00CC61F1">
        <w:trPr>
          <w:cantSplit/>
        </w:trPr>
        <w:tc>
          <w:tcPr>
            <w:tcW w:w="1555" w:type="dxa"/>
            <w:shd w:val="clear" w:color="auto" w:fill="FFFFFF" w:themeFill="background1"/>
            <w:noWrap/>
            <w:vAlign w:val="center"/>
            <w:hideMark/>
          </w:tcPr>
          <w:p w14:paraId="262D2D20" w14:textId="77777777" w:rsidR="00FF0F9B" w:rsidRPr="00EF1E43" w:rsidRDefault="00FF0F9B" w:rsidP="00374F41">
            <w:pPr>
              <w:jc w:val="center"/>
              <w:rPr>
                <w:sz w:val="24"/>
              </w:rPr>
            </w:pPr>
            <w:r w:rsidRPr="00EF1E43">
              <w:rPr>
                <w:sz w:val="24"/>
              </w:rPr>
              <w:t>9257</w:t>
            </w:r>
          </w:p>
        </w:tc>
        <w:tc>
          <w:tcPr>
            <w:tcW w:w="7371" w:type="dxa"/>
            <w:shd w:val="clear" w:color="auto" w:fill="FFFFFF" w:themeFill="background1"/>
            <w:vAlign w:val="center"/>
            <w:hideMark/>
          </w:tcPr>
          <w:p w14:paraId="2E28DA20" w14:textId="77777777" w:rsidR="00FF0F9B" w:rsidRPr="00EF1E43" w:rsidRDefault="00FF0F9B" w:rsidP="00374F41">
            <w:pPr>
              <w:rPr>
                <w:sz w:val="24"/>
              </w:rPr>
            </w:pPr>
            <w:r w:rsidRPr="00EF1E43">
              <w:rPr>
                <w:sz w:val="24"/>
              </w:rPr>
              <w:t>Stockdale FE (1994). Breast cancer. Scientific American Medicine,  III VII, 12: 1-20. Scientific American Inc.</w:t>
            </w:r>
          </w:p>
        </w:tc>
      </w:tr>
      <w:tr w:rsidR="00EF1E43" w:rsidRPr="00EF1E43" w14:paraId="71D5E8E2" w14:textId="77777777" w:rsidTr="00CC61F1">
        <w:trPr>
          <w:cantSplit/>
        </w:trPr>
        <w:tc>
          <w:tcPr>
            <w:tcW w:w="1555" w:type="dxa"/>
            <w:shd w:val="clear" w:color="auto" w:fill="FFFFFF" w:themeFill="background1"/>
            <w:noWrap/>
            <w:vAlign w:val="center"/>
            <w:hideMark/>
          </w:tcPr>
          <w:p w14:paraId="1A449657" w14:textId="77777777" w:rsidR="00FF0F9B" w:rsidRPr="00EF1E43" w:rsidRDefault="00FF0F9B" w:rsidP="00374F41">
            <w:pPr>
              <w:jc w:val="center"/>
              <w:rPr>
                <w:sz w:val="24"/>
              </w:rPr>
            </w:pPr>
            <w:r w:rsidRPr="00EF1E43">
              <w:rPr>
                <w:sz w:val="24"/>
              </w:rPr>
              <w:t>37101</w:t>
            </w:r>
          </w:p>
        </w:tc>
        <w:tc>
          <w:tcPr>
            <w:tcW w:w="7371" w:type="dxa"/>
            <w:shd w:val="clear" w:color="auto" w:fill="FFFFFF" w:themeFill="background1"/>
            <w:vAlign w:val="center"/>
            <w:hideMark/>
          </w:tcPr>
          <w:p w14:paraId="54483995" w14:textId="77777777" w:rsidR="00FF0F9B" w:rsidRPr="00EF1E43" w:rsidRDefault="00FF0F9B" w:rsidP="00374F41">
            <w:pPr>
              <w:rPr>
                <w:sz w:val="24"/>
              </w:rPr>
            </w:pPr>
            <w:r w:rsidRPr="00EF1E43">
              <w:rPr>
                <w:sz w:val="24"/>
              </w:rPr>
              <w:t>Stoll BA (1995). Timing of weight gain in relation to breast cancer risk. Annals of Oncology, 6(3): 245-8.</w:t>
            </w:r>
          </w:p>
        </w:tc>
      </w:tr>
      <w:tr w:rsidR="00EF1E43" w:rsidRPr="00EF1E43" w14:paraId="5FA40A55" w14:textId="77777777" w:rsidTr="00CC61F1">
        <w:trPr>
          <w:cantSplit/>
        </w:trPr>
        <w:tc>
          <w:tcPr>
            <w:tcW w:w="1555" w:type="dxa"/>
            <w:shd w:val="clear" w:color="auto" w:fill="FFFFFF" w:themeFill="background1"/>
            <w:noWrap/>
            <w:vAlign w:val="center"/>
            <w:hideMark/>
          </w:tcPr>
          <w:p w14:paraId="36542B8D" w14:textId="77777777" w:rsidR="00FF0F9B" w:rsidRPr="00EF1E43" w:rsidRDefault="00FF0F9B" w:rsidP="00374F41">
            <w:pPr>
              <w:jc w:val="center"/>
              <w:rPr>
                <w:sz w:val="24"/>
              </w:rPr>
            </w:pPr>
            <w:r w:rsidRPr="00EF1E43">
              <w:rPr>
                <w:sz w:val="24"/>
              </w:rPr>
              <w:t>35633</w:t>
            </w:r>
          </w:p>
        </w:tc>
        <w:tc>
          <w:tcPr>
            <w:tcW w:w="7371" w:type="dxa"/>
            <w:shd w:val="clear" w:color="auto" w:fill="FFFFFF" w:themeFill="background1"/>
            <w:vAlign w:val="center"/>
            <w:hideMark/>
          </w:tcPr>
          <w:p w14:paraId="56178707" w14:textId="77777777" w:rsidR="00FF0F9B" w:rsidRPr="00EF1E43" w:rsidRDefault="00FF0F9B" w:rsidP="00374F41">
            <w:pPr>
              <w:rPr>
                <w:sz w:val="24"/>
              </w:rPr>
            </w:pPr>
            <w:r w:rsidRPr="00EF1E43">
              <w:rPr>
                <w:sz w:val="24"/>
              </w:rPr>
              <w:t>Stoll BA (1999). Alcohol intake and late-stage promotion of breast cancer. European Journal of Cancer, 35(12): 1653-8.</w:t>
            </w:r>
          </w:p>
        </w:tc>
      </w:tr>
      <w:tr w:rsidR="00EF1E43" w:rsidRPr="00EF1E43" w14:paraId="1EFFD60A" w14:textId="77777777" w:rsidTr="00CC61F1">
        <w:trPr>
          <w:cantSplit/>
        </w:trPr>
        <w:tc>
          <w:tcPr>
            <w:tcW w:w="1555" w:type="dxa"/>
            <w:shd w:val="clear" w:color="auto" w:fill="FFFFFF" w:themeFill="background1"/>
            <w:noWrap/>
            <w:vAlign w:val="center"/>
            <w:hideMark/>
          </w:tcPr>
          <w:p w14:paraId="332D4336" w14:textId="77777777" w:rsidR="00FF0F9B" w:rsidRPr="00EF1E43" w:rsidRDefault="00FF0F9B" w:rsidP="00374F41">
            <w:pPr>
              <w:jc w:val="center"/>
              <w:rPr>
                <w:sz w:val="24"/>
              </w:rPr>
            </w:pPr>
            <w:r w:rsidRPr="00EF1E43">
              <w:rPr>
                <w:sz w:val="24"/>
              </w:rPr>
              <w:t>71686</w:t>
            </w:r>
          </w:p>
        </w:tc>
        <w:tc>
          <w:tcPr>
            <w:tcW w:w="7371" w:type="dxa"/>
            <w:shd w:val="clear" w:color="auto" w:fill="FFFFFF" w:themeFill="background1"/>
            <w:vAlign w:val="center"/>
            <w:hideMark/>
          </w:tcPr>
          <w:p w14:paraId="6A782A68" w14:textId="77777777" w:rsidR="00FF0F9B" w:rsidRPr="00EF1E43" w:rsidRDefault="00FF0F9B" w:rsidP="00374F41">
            <w:pPr>
              <w:rPr>
                <w:sz w:val="24"/>
              </w:rPr>
            </w:pPr>
            <w:r w:rsidRPr="00EF1E43">
              <w:rPr>
                <w:sz w:val="24"/>
              </w:rPr>
              <w:t>Storeng R, Vangen S, Omland AK, et al (2012). Infertility treatment and the risk of cancer. Tidsskr Nor Legeforen, 132(22): 2494-9.</w:t>
            </w:r>
          </w:p>
        </w:tc>
      </w:tr>
      <w:tr w:rsidR="00EF1E43" w:rsidRPr="00EF1E43" w14:paraId="50DD2E40" w14:textId="77777777" w:rsidTr="00CC61F1">
        <w:trPr>
          <w:cantSplit/>
        </w:trPr>
        <w:tc>
          <w:tcPr>
            <w:tcW w:w="1555" w:type="dxa"/>
            <w:shd w:val="clear" w:color="auto" w:fill="FFFFFF" w:themeFill="background1"/>
            <w:noWrap/>
            <w:vAlign w:val="center"/>
            <w:hideMark/>
          </w:tcPr>
          <w:p w14:paraId="57C2F394" w14:textId="77777777" w:rsidR="00FF0F9B" w:rsidRPr="00EF1E43" w:rsidRDefault="00FF0F9B" w:rsidP="00374F41">
            <w:pPr>
              <w:jc w:val="center"/>
              <w:rPr>
                <w:sz w:val="24"/>
              </w:rPr>
            </w:pPr>
            <w:r w:rsidRPr="00EF1E43">
              <w:rPr>
                <w:sz w:val="24"/>
              </w:rPr>
              <w:t>52324</w:t>
            </w:r>
          </w:p>
        </w:tc>
        <w:tc>
          <w:tcPr>
            <w:tcW w:w="7371" w:type="dxa"/>
            <w:shd w:val="clear" w:color="auto" w:fill="FFFFFF" w:themeFill="background1"/>
            <w:vAlign w:val="center"/>
            <w:hideMark/>
          </w:tcPr>
          <w:p w14:paraId="6D076C93" w14:textId="77777777" w:rsidR="00FF0F9B" w:rsidRPr="00EF1E43" w:rsidRDefault="00FF0F9B" w:rsidP="00374F41">
            <w:pPr>
              <w:rPr>
                <w:sz w:val="24"/>
              </w:rPr>
            </w:pPr>
            <w:r w:rsidRPr="00EF1E43">
              <w:rPr>
                <w:sz w:val="24"/>
              </w:rPr>
              <w:t>Straif K, Baan R, Grosse Y, et al (2007). Carcinogenicity of shift-work, painting, and fire-fighting. Lancet Oncol, 8(12): 1065-6.</w:t>
            </w:r>
          </w:p>
        </w:tc>
      </w:tr>
      <w:tr w:rsidR="00EF1E43" w:rsidRPr="00EF1E43" w14:paraId="74A92F9E" w14:textId="77777777" w:rsidTr="00CC61F1">
        <w:trPr>
          <w:cantSplit/>
        </w:trPr>
        <w:tc>
          <w:tcPr>
            <w:tcW w:w="1555" w:type="dxa"/>
            <w:shd w:val="clear" w:color="auto" w:fill="FFFFFF" w:themeFill="background1"/>
            <w:noWrap/>
            <w:vAlign w:val="center"/>
            <w:hideMark/>
          </w:tcPr>
          <w:p w14:paraId="504427FD" w14:textId="77777777" w:rsidR="00FF0F9B" w:rsidRPr="00EF1E43" w:rsidRDefault="00FF0F9B" w:rsidP="00374F41">
            <w:pPr>
              <w:jc w:val="center"/>
              <w:rPr>
                <w:sz w:val="24"/>
              </w:rPr>
            </w:pPr>
            <w:r w:rsidRPr="00EF1E43">
              <w:rPr>
                <w:sz w:val="24"/>
              </w:rPr>
              <w:lastRenderedPageBreak/>
              <w:t>35559</w:t>
            </w:r>
          </w:p>
        </w:tc>
        <w:tc>
          <w:tcPr>
            <w:tcW w:w="7371" w:type="dxa"/>
            <w:shd w:val="clear" w:color="auto" w:fill="FFFFFF" w:themeFill="background1"/>
            <w:vAlign w:val="center"/>
            <w:hideMark/>
          </w:tcPr>
          <w:p w14:paraId="61BEED79" w14:textId="77777777" w:rsidR="00FF0F9B" w:rsidRPr="00EF1E43" w:rsidRDefault="00FF0F9B" w:rsidP="00374F41">
            <w:pPr>
              <w:rPr>
                <w:sz w:val="24"/>
              </w:rPr>
            </w:pPr>
            <w:r w:rsidRPr="00EF1E43">
              <w:rPr>
                <w:sz w:val="24"/>
              </w:rPr>
              <w:t>Stroll BA (1999). Alchohol intake and late-stage promotion of breast cancer. European Journal of Cancer, 35(12): 1653-8.</w:t>
            </w:r>
          </w:p>
        </w:tc>
      </w:tr>
      <w:tr w:rsidR="00EF1E43" w:rsidRPr="00EF1E43" w14:paraId="06962C2E" w14:textId="77777777" w:rsidTr="00CC61F1">
        <w:trPr>
          <w:cantSplit/>
        </w:trPr>
        <w:tc>
          <w:tcPr>
            <w:tcW w:w="1555" w:type="dxa"/>
            <w:shd w:val="clear" w:color="auto" w:fill="FFFFFF" w:themeFill="background1"/>
            <w:noWrap/>
            <w:vAlign w:val="center"/>
            <w:hideMark/>
          </w:tcPr>
          <w:p w14:paraId="1994B97C" w14:textId="77777777" w:rsidR="00FF0F9B" w:rsidRPr="00EF1E43" w:rsidRDefault="00FF0F9B" w:rsidP="00374F41">
            <w:pPr>
              <w:jc w:val="center"/>
              <w:rPr>
                <w:sz w:val="24"/>
              </w:rPr>
            </w:pPr>
            <w:r w:rsidRPr="00EF1E43">
              <w:rPr>
                <w:sz w:val="24"/>
              </w:rPr>
              <w:t>100816</w:t>
            </w:r>
          </w:p>
        </w:tc>
        <w:tc>
          <w:tcPr>
            <w:tcW w:w="7371" w:type="dxa"/>
            <w:shd w:val="clear" w:color="auto" w:fill="FFFFFF" w:themeFill="background1"/>
            <w:vAlign w:val="center"/>
            <w:hideMark/>
          </w:tcPr>
          <w:p w14:paraId="799C91E6" w14:textId="77777777" w:rsidR="00FF0F9B" w:rsidRPr="00EF1E43" w:rsidRDefault="00FF0F9B" w:rsidP="00374F41">
            <w:pPr>
              <w:rPr>
                <w:sz w:val="24"/>
              </w:rPr>
            </w:pPr>
            <w:r w:rsidRPr="00EF1E43">
              <w:rPr>
                <w:sz w:val="24"/>
              </w:rPr>
              <w:t>Strom BL, Berlin JA, Weber AL, et al (2004). Absence of an effect of injectable and implantable progestin-only contraceptives on subsequent risk of breast cancer. Contraception, 69(5): 353-60.</w:t>
            </w:r>
          </w:p>
        </w:tc>
      </w:tr>
      <w:tr w:rsidR="00EF1E43" w:rsidRPr="00EF1E43" w14:paraId="4AC95B3E" w14:textId="77777777" w:rsidTr="00CC61F1">
        <w:trPr>
          <w:cantSplit/>
        </w:trPr>
        <w:tc>
          <w:tcPr>
            <w:tcW w:w="1555" w:type="dxa"/>
            <w:shd w:val="clear" w:color="auto" w:fill="FFFFFF" w:themeFill="background1"/>
            <w:noWrap/>
            <w:vAlign w:val="center"/>
            <w:hideMark/>
          </w:tcPr>
          <w:p w14:paraId="4A298B7F" w14:textId="77777777" w:rsidR="00FF0F9B" w:rsidRPr="00EF1E43" w:rsidRDefault="00FF0F9B" w:rsidP="00374F41">
            <w:pPr>
              <w:jc w:val="center"/>
              <w:rPr>
                <w:sz w:val="24"/>
              </w:rPr>
            </w:pPr>
            <w:r w:rsidRPr="00EF1E43">
              <w:rPr>
                <w:sz w:val="24"/>
              </w:rPr>
              <w:t>35725</w:t>
            </w:r>
          </w:p>
        </w:tc>
        <w:tc>
          <w:tcPr>
            <w:tcW w:w="7371" w:type="dxa"/>
            <w:shd w:val="clear" w:color="auto" w:fill="FFFFFF" w:themeFill="background1"/>
            <w:vAlign w:val="center"/>
            <w:hideMark/>
          </w:tcPr>
          <w:p w14:paraId="36D9561D" w14:textId="77777777" w:rsidR="00FF0F9B" w:rsidRPr="00EF1E43" w:rsidRDefault="00FF0F9B" w:rsidP="00374F41">
            <w:pPr>
              <w:rPr>
                <w:sz w:val="24"/>
              </w:rPr>
            </w:pPr>
            <w:r w:rsidRPr="00EF1E43">
              <w:rPr>
                <w:sz w:val="24"/>
              </w:rPr>
              <w:t>Sturmer T, Manson JE (2004). Estrogens and breast cancer: does timing really matter? Journal of Clinical Epidemiology, 57: 763-5.</w:t>
            </w:r>
          </w:p>
        </w:tc>
      </w:tr>
      <w:tr w:rsidR="00EF1E43" w:rsidRPr="00EF1E43" w14:paraId="28F7144C" w14:textId="77777777" w:rsidTr="00CC61F1">
        <w:trPr>
          <w:cantSplit/>
        </w:trPr>
        <w:tc>
          <w:tcPr>
            <w:tcW w:w="1555" w:type="dxa"/>
            <w:shd w:val="clear" w:color="auto" w:fill="FFFFFF" w:themeFill="background1"/>
            <w:noWrap/>
            <w:vAlign w:val="center"/>
            <w:hideMark/>
          </w:tcPr>
          <w:p w14:paraId="29BE4905" w14:textId="77777777" w:rsidR="00FF0F9B" w:rsidRPr="00EF1E43" w:rsidRDefault="00FF0F9B" w:rsidP="00374F41">
            <w:pPr>
              <w:jc w:val="center"/>
              <w:rPr>
                <w:sz w:val="24"/>
              </w:rPr>
            </w:pPr>
            <w:r w:rsidRPr="00EF1E43">
              <w:rPr>
                <w:sz w:val="24"/>
              </w:rPr>
              <w:t>35650</w:t>
            </w:r>
          </w:p>
        </w:tc>
        <w:tc>
          <w:tcPr>
            <w:tcW w:w="7371" w:type="dxa"/>
            <w:shd w:val="clear" w:color="auto" w:fill="FFFFFF" w:themeFill="background1"/>
            <w:vAlign w:val="center"/>
            <w:hideMark/>
          </w:tcPr>
          <w:p w14:paraId="04040316" w14:textId="77777777" w:rsidR="00FF0F9B" w:rsidRPr="00EF1E43" w:rsidRDefault="00FF0F9B" w:rsidP="00374F41">
            <w:pPr>
              <w:rPr>
                <w:sz w:val="24"/>
              </w:rPr>
            </w:pPr>
            <w:r w:rsidRPr="00EF1E43">
              <w:rPr>
                <w:sz w:val="24"/>
              </w:rPr>
              <w:t>Surbone A, Petrek JA (1998). Pregnancy after breast cancer. The relationship of pregnancy to breast cancer development and progression. Critical Reviews in Oncology/Hematology, 27: 169-78.</w:t>
            </w:r>
          </w:p>
        </w:tc>
      </w:tr>
      <w:tr w:rsidR="00EF1E43" w:rsidRPr="00EF1E43" w14:paraId="71D15610" w14:textId="77777777" w:rsidTr="00CC61F1">
        <w:trPr>
          <w:cantSplit/>
        </w:trPr>
        <w:tc>
          <w:tcPr>
            <w:tcW w:w="1555" w:type="dxa"/>
            <w:shd w:val="clear" w:color="auto" w:fill="FFFFFF" w:themeFill="background1"/>
            <w:noWrap/>
            <w:vAlign w:val="center"/>
            <w:hideMark/>
          </w:tcPr>
          <w:p w14:paraId="29D26F05" w14:textId="77777777" w:rsidR="00FF0F9B" w:rsidRPr="00EF1E43" w:rsidRDefault="00FF0F9B" w:rsidP="00374F41">
            <w:pPr>
              <w:jc w:val="center"/>
              <w:rPr>
                <w:sz w:val="24"/>
              </w:rPr>
            </w:pPr>
            <w:r w:rsidRPr="00EF1E43">
              <w:rPr>
                <w:sz w:val="24"/>
              </w:rPr>
              <w:t>9258</w:t>
            </w:r>
          </w:p>
        </w:tc>
        <w:tc>
          <w:tcPr>
            <w:tcW w:w="7371" w:type="dxa"/>
            <w:shd w:val="clear" w:color="auto" w:fill="FFFFFF" w:themeFill="background1"/>
            <w:vAlign w:val="center"/>
            <w:hideMark/>
          </w:tcPr>
          <w:p w14:paraId="08F9CA44" w14:textId="77777777" w:rsidR="00FF0F9B" w:rsidRPr="00EF1E43" w:rsidRDefault="00FF0F9B" w:rsidP="00374F41">
            <w:pPr>
              <w:rPr>
                <w:sz w:val="24"/>
              </w:rPr>
            </w:pPr>
            <w:r w:rsidRPr="00EF1E43">
              <w:rPr>
                <w:sz w:val="24"/>
              </w:rPr>
              <w:t>Swanson CA, Coates RJ, Schoenberg JB, et al (1996). Body size and breast cancer risk among women under age 45 years. Am J Epidemiol, 143(7): 698-706.</w:t>
            </w:r>
          </w:p>
        </w:tc>
      </w:tr>
      <w:tr w:rsidR="00EF1E43" w:rsidRPr="00EF1E43" w14:paraId="4939B53A" w14:textId="77777777" w:rsidTr="00CC61F1">
        <w:trPr>
          <w:cantSplit/>
        </w:trPr>
        <w:tc>
          <w:tcPr>
            <w:tcW w:w="1555" w:type="dxa"/>
            <w:shd w:val="clear" w:color="auto" w:fill="FFFFFF" w:themeFill="background1"/>
            <w:noWrap/>
            <w:vAlign w:val="center"/>
            <w:hideMark/>
          </w:tcPr>
          <w:p w14:paraId="06DF88F8" w14:textId="77777777" w:rsidR="00FF0F9B" w:rsidRPr="00EF1E43" w:rsidRDefault="00FF0F9B" w:rsidP="00374F41">
            <w:pPr>
              <w:jc w:val="center"/>
              <w:rPr>
                <w:sz w:val="24"/>
              </w:rPr>
            </w:pPr>
            <w:r w:rsidRPr="00EF1E43">
              <w:rPr>
                <w:sz w:val="24"/>
              </w:rPr>
              <w:t>35830</w:t>
            </w:r>
          </w:p>
        </w:tc>
        <w:tc>
          <w:tcPr>
            <w:tcW w:w="7371" w:type="dxa"/>
            <w:shd w:val="clear" w:color="auto" w:fill="FFFFFF" w:themeFill="background1"/>
            <w:vAlign w:val="center"/>
            <w:hideMark/>
          </w:tcPr>
          <w:p w14:paraId="48964DF6" w14:textId="77777777" w:rsidR="00FF0F9B" w:rsidRPr="00EF1E43" w:rsidRDefault="00FF0F9B" w:rsidP="00374F41">
            <w:pPr>
              <w:rPr>
                <w:sz w:val="24"/>
              </w:rPr>
            </w:pPr>
            <w:r w:rsidRPr="00EF1E43">
              <w:rPr>
                <w:sz w:val="24"/>
              </w:rPr>
              <w:t>Swanson CA, Coates RJ, Malone KE, et al (1997). Alcohol consumption and breast cancer risk among women under age 45 years. Epidemiology, 8(3): 231-7.</w:t>
            </w:r>
          </w:p>
        </w:tc>
      </w:tr>
      <w:tr w:rsidR="00EF1E43" w:rsidRPr="00EF1E43" w14:paraId="6A9F1238" w14:textId="77777777" w:rsidTr="00CC61F1">
        <w:trPr>
          <w:cantSplit/>
        </w:trPr>
        <w:tc>
          <w:tcPr>
            <w:tcW w:w="1555" w:type="dxa"/>
            <w:shd w:val="clear" w:color="auto" w:fill="FFFFFF" w:themeFill="background1"/>
            <w:noWrap/>
            <w:vAlign w:val="center"/>
            <w:hideMark/>
          </w:tcPr>
          <w:p w14:paraId="45EA4A43" w14:textId="77777777" w:rsidR="00FF0F9B" w:rsidRPr="00EF1E43" w:rsidRDefault="00FF0F9B" w:rsidP="00374F41">
            <w:pPr>
              <w:jc w:val="center"/>
              <w:rPr>
                <w:sz w:val="24"/>
              </w:rPr>
            </w:pPr>
            <w:r w:rsidRPr="00EF1E43">
              <w:rPr>
                <w:sz w:val="24"/>
              </w:rPr>
              <w:t>37181</w:t>
            </w:r>
          </w:p>
        </w:tc>
        <w:tc>
          <w:tcPr>
            <w:tcW w:w="7371" w:type="dxa"/>
            <w:shd w:val="clear" w:color="auto" w:fill="FFFFFF" w:themeFill="background1"/>
            <w:vAlign w:val="center"/>
            <w:hideMark/>
          </w:tcPr>
          <w:p w14:paraId="482FBE29" w14:textId="77777777" w:rsidR="00FF0F9B" w:rsidRPr="00EF1E43" w:rsidRDefault="00FF0F9B" w:rsidP="00374F41">
            <w:pPr>
              <w:rPr>
                <w:sz w:val="24"/>
              </w:rPr>
            </w:pPr>
            <w:r w:rsidRPr="00EF1E43">
              <w:rPr>
                <w:sz w:val="24"/>
              </w:rPr>
              <w:t>Sweeney C, Blair CK, Anderson KE, et al (2004). Risk factors for breast cancer in elderly women. Am J Epidemiol, 160(9): 868-75.</w:t>
            </w:r>
          </w:p>
        </w:tc>
      </w:tr>
      <w:tr w:rsidR="00EF1E43" w:rsidRPr="00EF1E43" w14:paraId="2F9797D9" w14:textId="77777777" w:rsidTr="00CC61F1">
        <w:trPr>
          <w:cantSplit/>
        </w:trPr>
        <w:tc>
          <w:tcPr>
            <w:tcW w:w="1555" w:type="dxa"/>
            <w:shd w:val="clear" w:color="auto" w:fill="FFFFFF" w:themeFill="background1"/>
            <w:noWrap/>
            <w:vAlign w:val="center"/>
            <w:hideMark/>
          </w:tcPr>
          <w:p w14:paraId="738ADAB0" w14:textId="77777777" w:rsidR="00FF0F9B" w:rsidRPr="00EF1E43" w:rsidRDefault="00FF0F9B" w:rsidP="00374F41">
            <w:pPr>
              <w:jc w:val="center"/>
              <w:rPr>
                <w:sz w:val="24"/>
              </w:rPr>
            </w:pPr>
            <w:r w:rsidRPr="00EF1E43">
              <w:rPr>
                <w:sz w:val="24"/>
              </w:rPr>
              <w:t>100817</w:t>
            </w:r>
          </w:p>
        </w:tc>
        <w:tc>
          <w:tcPr>
            <w:tcW w:w="7371" w:type="dxa"/>
            <w:shd w:val="clear" w:color="auto" w:fill="FFFFFF" w:themeFill="background1"/>
            <w:vAlign w:val="center"/>
            <w:hideMark/>
          </w:tcPr>
          <w:p w14:paraId="30F484CE" w14:textId="77777777" w:rsidR="00FF0F9B" w:rsidRPr="00EF1E43" w:rsidRDefault="00FF0F9B" w:rsidP="00374F41">
            <w:pPr>
              <w:rPr>
                <w:sz w:val="24"/>
              </w:rPr>
            </w:pPr>
            <w:r w:rsidRPr="00EF1E43">
              <w:rPr>
                <w:sz w:val="24"/>
              </w:rPr>
              <w:t>Sweeney C, Giuliano AR, Baumgartner KB, et al (2007). Oral, injected and implanted contraceptives and breast cancer risk among U.S. Hispanic and non-Hispanic white women. Int J Cancer, 121(11): 2517-23.</w:t>
            </w:r>
          </w:p>
        </w:tc>
      </w:tr>
      <w:tr w:rsidR="00EF1E43" w:rsidRPr="00EF1E43" w14:paraId="1CC2AA9D" w14:textId="77777777" w:rsidTr="00CC61F1">
        <w:trPr>
          <w:cantSplit/>
        </w:trPr>
        <w:tc>
          <w:tcPr>
            <w:tcW w:w="1555" w:type="dxa"/>
            <w:shd w:val="clear" w:color="auto" w:fill="FFFFFF" w:themeFill="background1"/>
            <w:noWrap/>
            <w:vAlign w:val="center"/>
            <w:hideMark/>
          </w:tcPr>
          <w:p w14:paraId="65A91E78" w14:textId="77777777" w:rsidR="00FF0F9B" w:rsidRPr="00EF1E43" w:rsidRDefault="00FF0F9B" w:rsidP="00374F41">
            <w:pPr>
              <w:jc w:val="center"/>
              <w:rPr>
                <w:sz w:val="24"/>
              </w:rPr>
            </w:pPr>
            <w:r w:rsidRPr="00EF1E43">
              <w:rPr>
                <w:sz w:val="24"/>
              </w:rPr>
              <w:t>36903</w:t>
            </w:r>
          </w:p>
        </w:tc>
        <w:tc>
          <w:tcPr>
            <w:tcW w:w="7371" w:type="dxa"/>
            <w:shd w:val="clear" w:color="auto" w:fill="FFFFFF" w:themeFill="background1"/>
            <w:vAlign w:val="center"/>
            <w:hideMark/>
          </w:tcPr>
          <w:p w14:paraId="2402DC1B" w14:textId="77777777" w:rsidR="00FF0F9B" w:rsidRPr="00EF1E43" w:rsidRDefault="00FF0F9B" w:rsidP="00374F41">
            <w:pPr>
              <w:rPr>
                <w:sz w:val="24"/>
              </w:rPr>
            </w:pPr>
            <w:r w:rsidRPr="00EF1E43">
              <w:rPr>
                <w:sz w:val="24"/>
              </w:rPr>
              <w:t>Sweeny C, Blair CK, Anderson KE, et al (2004). Risk factors for breast cancer in elderly women. American Journal of Epidemiology, 160(9): 868-875.</w:t>
            </w:r>
          </w:p>
        </w:tc>
      </w:tr>
      <w:tr w:rsidR="00EF1E43" w:rsidRPr="00EF1E43" w14:paraId="7747CA33" w14:textId="77777777" w:rsidTr="00CC61F1">
        <w:trPr>
          <w:cantSplit/>
        </w:trPr>
        <w:tc>
          <w:tcPr>
            <w:tcW w:w="1555" w:type="dxa"/>
            <w:shd w:val="clear" w:color="auto" w:fill="FFFFFF" w:themeFill="background1"/>
            <w:noWrap/>
            <w:vAlign w:val="center"/>
            <w:hideMark/>
          </w:tcPr>
          <w:p w14:paraId="7318025A" w14:textId="77777777" w:rsidR="00FF0F9B" w:rsidRPr="00EF1E43" w:rsidRDefault="00FF0F9B" w:rsidP="00374F41">
            <w:pPr>
              <w:jc w:val="center"/>
              <w:rPr>
                <w:sz w:val="24"/>
              </w:rPr>
            </w:pPr>
            <w:r w:rsidRPr="00EF1E43">
              <w:rPr>
                <w:sz w:val="24"/>
              </w:rPr>
              <w:t>38248</w:t>
            </w:r>
          </w:p>
        </w:tc>
        <w:tc>
          <w:tcPr>
            <w:tcW w:w="7371" w:type="dxa"/>
            <w:shd w:val="clear" w:color="auto" w:fill="FFFFFF" w:themeFill="background1"/>
            <w:vAlign w:val="center"/>
            <w:hideMark/>
          </w:tcPr>
          <w:p w14:paraId="7B1F352C" w14:textId="77777777" w:rsidR="00FF0F9B" w:rsidRPr="00EF1E43" w:rsidRDefault="00FF0F9B" w:rsidP="00374F41">
            <w:pPr>
              <w:rPr>
                <w:sz w:val="24"/>
              </w:rPr>
            </w:pPr>
            <w:r w:rsidRPr="00EF1E43">
              <w:rPr>
                <w:sz w:val="24"/>
              </w:rPr>
              <w:t>Swerdlow AJ, Schoemaker MJ, Higgins CD, et al (2005). Cancer incidence and mortality in men with Klinefelter syndrome: a cohort study. Jnl National Cancer Inst, 97(16): 1204-1210.</w:t>
            </w:r>
          </w:p>
        </w:tc>
      </w:tr>
      <w:tr w:rsidR="00EF1E43" w:rsidRPr="00EF1E43" w14:paraId="697C9ABE" w14:textId="77777777" w:rsidTr="00CC61F1">
        <w:trPr>
          <w:cantSplit/>
        </w:trPr>
        <w:tc>
          <w:tcPr>
            <w:tcW w:w="1555" w:type="dxa"/>
            <w:shd w:val="clear" w:color="auto" w:fill="FFFFFF" w:themeFill="background1"/>
            <w:noWrap/>
            <w:vAlign w:val="center"/>
            <w:hideMark/>
          </w:tcPr>
          <w:p w14:paraId="1824F20D" w14:textId="77777777" w:rsidR="00FF0F9B" w:rsidRPr="00EF1E43" w:rsidRDefault="00FF0F9B" w:rsidP="00374F41">
            <w:pPr>
              <w:jc w:val="center"/>
              <w:rPr>
                <w:sz w:val="24"/>
              </w:rPr>
            </w:pPr>
            <w:r w:rsidRPr="00EF1E43">
              <w:rPr>
                <w:sz w:val="24"/>
              </w:rPr>
              <w:t>9259</w:t>
            </w:r>
          </w:p>
        </w:tc>
        <w:tc>
          <w:tcPr>
            <w:tcW w:w="7371" w:type="dxa"/>
            <w:shd w:val="clear" w:color="auto" w:fill="FFFFFF" w:themeFill="background1"/>
            <w:vAlign w:val="center"/>
            <w:hideMark/>
          </w:tcPr>
          <w:p w14:paraId="5C66A95F" w14:textId="77777777" w:rsidR="00FF0F9B" w:rsidRPr="00EF1E43" w:rsidRDefault="00FF0F9B" w:rsidP="00374F41">
            <w:pPr>
              <w:rPr>
                <w:sz w:val="24"/>
              </w:rPr>
            </w:pPr>
            <w:r w:rsidRPr="00EF1E43">
              <w:rPr>
                <w:sz w:val="24"/>
              </w:rPr>
              <w:t>Swift M, Daly MB, Bernstein L, et al (1996). Breast cancer among radiologic technologists (letter). JAMA, 276(5): 369.</w:t>
            </w:r>
          </w:p>
        </w:tc>
      </w:tr>
      <w:tr w:rsidR="00EF1E43" w:rsidRPr="00EF1E43" w14:paraId="6F0F3951" w14:textId="77777777" w:rsidTr="00CC61F1">
        <w:trPr>
          <w:cantSplit/>
        </w:trPr>
        <w:tc>
          <w:tcPr>
            <w:tcW w:w="1555" w:type="dxa"/>
            <w:shd w:val="clear" w:color="auto" w:fill="FFFFFF" w:themeFill="background1"/>
            <w:noWrap/>
            <w:vAlign w:val="center"/>
            <w:hideMark/>
          </w:tcPr>
          <w:p w14:paraId="6C49672D" w14:textId="77777777" w:rsidR="00FF0F9B" w:rsidRPr="00EF1E43" w:rsidRDefault="00FF0F9B" w:rsidP="00374F41">
            <w:pPr>
              <w:jc w:val="center"/>
              <w:rPr>
                <w:sz w:val="24"/>
              </w:rPr>
            </w:pPr>
            <w:r w:rsidRPr="00EF1E43">
              <w:rPr>
                <w:sz w:val="24"/>
              </w:rPr>
              <w:t>9260</w:t>
            </w:r>
          </w:p>
        </w:tc>
        <w:tc>
          <w:tcPr>
            <w:tcW w:w="7371" w:type="dxa"/>
            <w:shd w:val="clear" w:color="auto" w:fill="FFFFFF" w:themeFill="background1"/>
            <w:vAlign w:val="center"/>
            <w:hideMark/>
          </w:tcPr>
          <w:p w14:paraId="570828BA" w14:textId="77777777" w:rsidR="00FF0F9B" w:rsidRPr="00EF1E43" w:rsidRDefault="00FF0F9B" w:rsidP="00374F41">
            <w:pPr>
              <w:rPr>
                <w:sz w:val="24"/>
              </w:rPr>
            </w:pPr>
            <w:r w:rsidRPr="00EF1E43">
              <w:rPr>
                <w:sz w:val="24"/>
              </w:rPr>
              <w:t>Taioli E, Barone J, Wynder EL (1995). A case-control study on breast cancer and body mass. European Journal of Cancer, 31A(5): 723-8.</w:t>
            </w:r>
          </w:p>
        </w:tc>
      </w:tr>
      <w:tr w:rsidR="00EF1E43" w:rsidRPr="00EF1E43" w14:paraId="5DF2747E" w14:textId="77777777" w:rsidTr="00CC61F1">
        <w:trPr>
          <w:cantSplit/>
        </w:trPr>
        <w:tc>
          <w:tcPr>
            <w:tcW w:w="1555" w:type="dxa"/>
            <w:shd w:val="clear" w:color="auto" w:fill="FFFFFF" w:themeFill="background1"/>
            <w:noWrap/>
            <w:vAlign w:val="center"/>
            <w:hideMark/>
          </w:tcPr>
          <w:p w14:paraId="3616B8C9" w14:textId="77777777" w:rsidR="00FF0F9B" w:rsidRPr="00EF1E43" w:rsidRDefault="00FF0F9B" w:rsidP="00374F41">
            <w:pPr>
              <w:jc w:val="center"/>
              <w:rPr>
                <w:sz w:val="24"/>
              </w:rPr>
            </w:pPr>
            <w:r w:rsidRPr="00EF1E43">
              <w:rPr>
                <w:sz w:val="24"/>
              </w:rPr>
              <w:t>9261</w:t>
            </w:r>
          </w:p>
        </w:tc>
        <w:tc>
          <w:tcPr>
            <w:tcW w:w="7371" w:type="dxa"/>
            <w:shd w:val="clear" w:color="auto" w:fill="FFFFFF" w:themeFill="background1"/>
            <w:vAlign w:val="center"/>
            <w:hideMark/>
          </w:tcPr>
          <w:p w14:paraId="20BBC147" w14:textId="77777777" w:rsidR="00FF0F9B" w:rsidRPr="00EF1E43" w:rsidRDefault="00FF0F9B" w:rsidP="00374F41">
            <w:pPr>
              <w:rPr>
                <w:sz w:val="24"/>
              </w:rPr>
            </w:pPr>
            <w:r w:rsidRPr="00EF1E43">
              <w:rPr>
                <w:sz w:val="24"/>
              </w:rPr>
              <w:t>Talamini R, Franceschi S, La Vecchia C, et al (1996). The role of reproductive and menstrual factors in cancer of the breast before and after menopause. European Journal of Cancer, 32A(2): 303-10.</w:t>
            </w:r>
          </w:p>
        </w:tc>
      </w:tr>
      <w:tr w:rsidR="00EF1E43" w:rsidRPr="00EF1E43" w14:paraId="3183598F" w14:textId="77777777" w:rsidTr="00CC61F1">
        <w:trPr>
          <w:cantSplit/>
        </w:trPr>
        <w:tc>
          <w:tcPr>
            <w:tcW w:w="1555" w:type="dxa"/>
            <w:shd w:val="clear" w:color="auto" w:fill="FFFFFF" w:themeFill="background1"/>
            <w:noWrap/>
            <w:vAlign w:val="center"/>
            <w:hideMark/>
          </w:tcPr>
          <w:p w14:paraId="396BEC5A" w14:textId="77777777" w:rsidR="00FF0F9B" w:rsidRPr="00EF1E43" w:rsidRDefault="00FF0F9B" w:rsidP="00374F41">
            <w:pPr>
              <w:jc w:val="center"/>
              <w:rPr>
                <w:sz w:val="24"/>
              </w:rPr>
            </w:pPr>
            <w:r w:rsidRPr="00EF1E43">
              <w:rPr>
                <w:sz w:val="24"/>
              </w:rPr>
              <w:t>35622</w:t>
            </w:r>
          </w:p>
        </w:tc>
        <w:tc>
          <w:tcPr>
            <w:tcW w:w="7371" w:type="dxa"/>
            <w:shd w:val="clear" w:color="auto" w:fill="FFFFFF" w:themeFill="background1"/>
            <w:vAlign w:val="center"/>
            <w:hideMark/>
          </w:tcPr>
          <w:p w14:paraId="7C5705B8" w14:textId="77777777" w:rsidR="00FF0F9B" w:rsidRPr="00EF1E43" w:rsidRDefault="00FF0F9B" w:rsidP="00374F41">
            <w:pPr>
              <w:rPr>
                <w:sz w:val="24"/>
              </w:rPr>
            </w:pPr>
            <w:r w:rsidRPr="00EF1E43">
              <w:rPr>
                <w:sz w:val="24"/>
              </w:rPr>
              <w:t>Tamakoshi K, Yatsuya H, Wakai K, et al (2005). Impact of menstrual and reproductive factors on breast cancer risk in Japan: results of the JACC study. Cancer Sci, 96: 57-62.</w:t>
            </w:r>
          </w:p>
        </w:tc>
      </w:tr>
      <w:tr w:rsidR="00EF1E43" w:rsidRPr="00EF1E43" w14:paraId="1A561D57" w14:textId="77777777" w:rsidTr="00CC61F1">
        <w:trPr>
          <w:cantSplit/>
        </w:trPr>
        <w:tc>
          <w:tcPr>
            <w:tcW w:w="1555" w:type="dxa"/>
            <w:shd w:val="clear" w:color="auto" w:fill="FFFFFF" w:themeFill="background1"/>
            <w:noWrap/>
            <w:vAlign w:val="center"/>
            <w:hideMark/>
          </w:tcPr>
          <w:p w14:paraId="170F8437" w14:textId="77777777" w:rsidR="00FF0F9B" w:rsidRPr="00EF1E43" w:rsidRDefault="00FF0F9B" w:rsidP="00374F41">
            <w:pPr>
              <w:jc w:val="center"/>
              <w:rPr>
                <w:sz w:val="24"/>
              </w:rPr>
            </w:pPr>
            <w:r w:rsidRPr="00EF1E43">
              <w:rPr>
                <w:sz w:val="24"/>
              </w:rPr>
              <w:t>9262</w:t>
            </w:r>
          </w:p>
        </w:tc>
        <w:tc>
          <w:tcPr>
            <w:tcW w:w="7371" w:type="dxa"/>
            <w:shd w:val="clear" w:color="auto" w:fill="FFFFFF" w:themeFill="background1"/>
            <w:vAlign w:val="center"/>
            <w:hideMark/>
          </w:tcPr>
          <w:p w14:paraId="494FED79" w14:textId="77777777" w:rsidR="00FF0F9B" w:rsidRPr="00EF1E43" w:rsidRDefault="00FF0F9B" w:rsidP="00374F41">
            <w:pPr>
              <w:rPr>
                <w:sz w:val="24"/>
              </w:rPr>
            </w:pPr>
            <w:r w:rsidRPr="00EF1E43">
              <w:rPr>
                <w:sz w:val="24"/>
              </w:rPr>
              <w:t>Tavani A, La Vecchia C, Franceschi S, et al (1996). Abortion and breast cancer risk. Int J Cancer, 65: 401-5.</w:t>
            </w:r>
          </w:p>
        </w:tc>
      </w:tr>
      <w:tr w:rsidR="00EF1E43" w:rsidRPr="00EF1E43" w14:paraId="463ABAC6" w14:textId="77777777" w:rsidTr="00CC61F1">
        <w:trPr>
          <w:cantSplit/>
        </w:trPr>
        <w:tc>
          <w:tcPr>
            <w:tcW w:w="1555" w:type="dxa"/>
            <w:shd w:val="clear" w:color="auto" w:fill="FFFFFF" w:themeFill="background1"/>
            <w:noWrap/>
            <w:vAlign w:val="center"/>
            <w:hideMark/>
          </w:tcPr>
          <w:p w14:paraId="74B05909" w14:textId="77777777" w:rsidR="00FF0F9B" w:rsidRPr="00EF1E43" w:rsidRDefault="00FF0F9B" w:rsidP="00374F41">
            <w:pPr>
              <w:jc w:val="center"/>
              <w:rPr>
                <w:sz w:val="24"/>
              </w:rPr>
            </w:pPr>
            <w:r w:rsidRPr="00EF1E43">
              <w:rPr>
                <w:sz w:val="24"/>
              </w:rPr>
              <w:t>71687</w:t>
            </w:r>
          </w:p>
        </w:tc>
        <w:tc>
          <w:tcPr>
            <w:tcW w:w="7371" w:type="dxa"/>
            <w:shd w:val="clear" w:color="auto" w:fill="FFFFFF" w:themeFill="background1"/>
            <w:vAlign w:val="center"/>
            <w:hideMark/>
          </w:tcPr>
          <w:p w14:paraId="2C54A495" w14:textId="77777777" w:rsidR="00FF0F9B" w:rsidRPr="00EF1E43" w:rsidRDefault="00FF0F9B" w:rsidP="00374F41">
            <w:pPr>
              <w:rPr>
                <w:sz w:val="24"/>
              </w:rPr>
            </w:pPr>
            <w:r w:rsidRPr="00EF1E43">
              <w:rPr>
                <w:sz w:val="24"/>
              </w:rPr>
              <w:t>Teegarden D, Romieu I, Lelievre SA (2012). Redefining the impact of nutrition on breast cancer incidence: is epigenetics involved? Nutrition Research Reviews, 25: 68-95.</w:t>
            </w:r>
          </w:p>
        </w:tc>
      </w:tr>
      <w:tr w:rsidR="00EF1E43" w:rsidRPr="00EF1E43" w14:paraId="5FA6B1FA" w14:textId="77777777" w:rsidTr="00CC61F1">
        <w:trPr>
          <w:cantSplit/>
        </w:trPr>
        <w:tc>
          <w:tcPr>
            <w:tcW w:w="1555" w:type="dxa"/>
            <w:shd w:val="clear" w:color="auto" w:fill="FFFFFF" w:themeFill="background1"/>
            <w:noWrap/>
            <w:vAlign w:val="center"/>
            <w:hideMark/>
          </w:tcPr>
          <w:p w14:paraId="561C252E" w14:textId="77777777" w:rsidR="00FF0F9B" w:rsidRPr="00EF1E43" w:rsidRDefault="00FF0F9B" w:rsidP="00374F41">
            <w:pPr>
              <w:jc w:val="center"/>
              <w:rPr>
                <w:sz w:val="24"/>
              </w:rPr>
            </w:pPr>
            <w:r w:rsidRPr="00EF1E43">
              <w:rPr>
                <w:sz w:val="24"/>
              </w:rPr>
              <w:t>12407</w:t>
            </w:r>
          </w:p>
        </w:tc>
        <w:tc>
          <w:tcPr>
            <w:tcW w:w="7371" w:type="dxa"/>
            <w:shd w:val="clear" w:color="auto" w:fill="FFFFFF" w:themeFill="background1"/>
            <w:vAlign w:val="center"/>
            <w:hideMark/>
          </w:tcPr>
          <w:p w14:paraId="10CB3B18" w14:textId="77777777" w:rsidR="00FF0F9B" w:rsidRPr="00EF1E43" w:rsidRDefault="00FF0F9B" w:rsidP="00374F41">
            <w:pPr>
              <w:rPr>
                <w:sz w:val="24"/>
              </w:rPr>
            </w:pPr>
            <w:r w:rsidRPr="00EF1E43">
              <w:rPr>
                <w:sz w:val="24"/>
              </w:rPr>
              <w:t>Tepper NK, Dragoman MV, Gaffield M, et al (2017). Nonoral combined hormonal contraceptives and thromboembolism: a systematic review. Contraception, 95(2): 130-9.</w:t>
            </w:r>
          </w:p>
        </w:tc>
      </w:tr>
      <w:tr w:rsidR="00EF1E43" w:rsidRPr="00EF1E43" w14:paraId="03396AA4" w14:textId="77777777" w:rsidTr="00CC61F1">
        <w:trPr>
          <w:cantSplit/>
        </w:trPr>
        <w:tc>
          <w:tcPr>
            <w:tcW w:w="1555" w:type="dxa"/>
            <w:shd w:val="clear" w:color="auto" w:fill="FFFFFF" w:themeFill="background1"/>
            <w:noWrap/>
            <w:vAlign w:val="center"/>
            <w:hideMark/>
          </w:tcPr>
          <w:p w14:paraId="1906AEBF" w14:textId="77777777" w:rsidR="00FF0F9B" w:rsidRPr="00EF1E43" w:rsidRDefault="00FF0F9B" w:rsidP="00374F41">
            <w:pPr>
              <w:jc w:val="center"/>
              <w:rPr>
                <w:sz w:val="24"/>
              </w:rPr>
            </w:pPr>
            <w:r w:rsidRPr="00EF1E43">
              <w:rPr>
                <w:sz w:val="24"/>
              </w:rPr>
              <w:lastRenderedPageBreak/>
              <w:t>35693</w:t>
            </w:r>
          </w:p>
        </w:tc>
        <w:tc>
          <w:tcPr>
            <w:tcW w:w="7371" w:type="dxa"/>
            <w:shd w:val="clear" w:color="auto" w:fill="FFFFFF" w:themeFill="background1"/>
            <w:vAlign w:val="center"/>
            <w:hideMark/>
          </w:tcPr>
          <w:p w14:paraId="306A9095" w14:textId="77777777" w:rsidR="00FF0F9B" w:rsidRPr="00EF1E43" w:rsidRDefault="00FF0F9B" w:rsidP="00374F41">
            <w:pPr>
              <w:rPr>
                <w:sz w:val="24"/>
              </w:rPr>
            </w:pPr>
            <w:r w:rsidRPr="00EF1E43">
              <w:rPr>
                <w:sz w:val="24"/>
              </w:rPr>
              <w:t>Terry PD, Miller AB, Rohan TE (2002). Cigarette smoking and breast cancer risk: a long latency period? Int J Cancer, 100: 723-728.</w:t>
            </w:r>
          </w:p>
        </w:tc>
      </w:tr>
      <w:tr w:rsidR="00EF1E43" w:rsidRPr="00EF1E43" w14:paraId="7135B421" w14:textId="77777777" w:rsidTr="00CC61F1">
        <w:trPr>
          <w:cantSplit/>
        </w:trPr>
        <w:tc>
          <w:tcPr>
            <w:tcW w:w="1555" w:type="dxa"/>
            <w:shd w:val="clear" w:color="auto" w:fill="FFFFFF" w:themeFill="background1"/>
            <w:noWrap/>
            <w:vAlign w:val="center"/>
            <w:hideMark/>
          </w:tcPr>
          <w:p w14:paraId="4CBCC622" w14:textId="77777777" w:rsidR="00FF0F9B" w:rsidRPr="00EF1E43" w:rsidRDefault="00FF0F9B" w:rsidP="00374F41">
            <w:pPr>
              <w:jc w:val="center"/>
              <w:rPr>
                <w:sz w:val="24"/>
              </w:rPr>
            </w:pPr>
            <w:r w:rsidRPr="00EF1E43">
              <w:rPr>
                <w:sz w:val="24"/>
              </w:rPr>
              <w:t>35688</w:t>
            </w:r>
          </w:p>
        </w:tc>
        <w:tc>
          <w:tcPr>
            <w:tcW w:w="7371" w:type="dxa"/>
            <w:shd w:val="clear" w:color="auto" w:fill="FFFFFF" w:themeFill="background1"/>
            <w:vAlign w:val="center"/>
            <w:hideMark/>
          </w:tcPr>
          <w:p w14:paraId="0109D4CF" w14:textId="77777777" w:rsidR="00FF0F9B" w:rsidRPr="00EF1E43" w:rsidRDefault="00FF0F9B" w:rsidP="00374F41">
            <w:pPr>
              <w:rPr>
                <w:sz w:val="24"/>
              </w:rPr>
            </w:pPr>
            <w:r w:rsidRPr="00EF1E43">
              <w:rPr>
                <w:sz w:val="24"/>
              </w:rPr>
              <w:t>Terry PD, Rohan TE (2002). Cigarette smoking and the risk of breast cancer in women: a review of the literature. Cancer Epidemiology, Biomarkers &amp; Prevention, 11: 953-971.</w:t>
            </w:r>
          </w:p>
        </w:tc>
      </w:tr>
      <w:tr w:rsidR="00EF1E43" w:rsidRPr="00EF1E43" w14:paraId="2FF707F3" w14:textId="77777777" w:rsidTr="00CC61F1">
        <w:trPr>
          <w:cantSplit/>
        </w:trPr>
        <w:tc>
          <w:tcPr>
            <w:tcW w:w="1555" w:type="dxa"/>
            <w:shd w:val="clear" w:color="auto" w:fill="FFFFFF" w:themeFill="background1"/>
            <w:noWrap/>
            <w:vAlign w:val="center"/>
            <w:hideMark/>
          </w:tcPr>
          <w:p w14:paraId="344C5944" w14:textId="77777777" w:rsidR="00FF0F9B" w:rsidRPr="00EF1E43" w:rsidRDefault="00FF0F9B" w:rsidP="00374F41">
            <w:pPr>
              <w:jc w:val="center"/>
              <w:rPr>
                <w:sz w:val="24"/>
              </w:rPr>
            </w:pPr>
            <w:r w:rsidRPr="00EF1E43">
              <w:rPr>
                <w:sz w:val="24"/>
              </w:rPr>
              <w:t>36088</w:t>
            </w:r>
          </w:p>
        </w:tc>
        <w:tc>
          <w:tcPr>
            <w:tcW w:w="7371" w:type="dxa"/>
            <w:shd w:val="clear" w:color="auto" w:fill="FFFFFF" w:themeFill="background1"/>
            <w:vAlign w:val="center"/>
            <w:hideMark/>
          </w:tcPr>
          <w:p w14:paraId="70094DB5" w14:textId="77777777" w:rsidR="00FF0F9B" w:rsidRPr="00EF1E43" w:rsidRDefault="00FF0F9B" w:rsidP="00374F41">
            <w:pPr>
              <w:rPr>
                <w:sz w:val="24"/>
              </w:rPr>
            </w:pPr>
            <w:r w:rsidRPr="00EF1E43">
              <w:rPr>
                <w:sz w:val="24"/>
              </w:rPr>
              <w:t>The California Environmental Protection Agency (1997). Health Effects of Exposure to Environmental Tobacco Smoke - Executive Summary of Final Report September 1997. The California Environmental Protection Agency (Cal/EPA).</w:t>
            </w:r>
          </w:p>
        </w:tc>
      </w:tr>
      <w:tr w:rsidR="00EF1E43" w:rsidRPr="00EF1E43" w14:paraId="72C4025B" w14:textId="77777777" w:rsidTr="00CC61F1">
        <w:trPr>
          <w:cantSplit/>
        </w:trPr>
        <w:tc>
          <w:tcPr>
            <w:tcW w:w="1555" w:type="dxa"/>
            <w:shd w:val="clear" w:color="auto" w:fill="FFFFFF" w:themeFill="background1"/>
            <w:noWrap/>
            <w:vAlign w:val="center"/>
            <w:hideMark/>
          </w:tcPr>
          <w:p w14:paraId="32F8BE09" w14:textId="77777777" w:rsidR="00FF0F9B" w:rsidRPr="00EF1E43" w:rsidRDefault="00FF0F9B" w:rsidP="00374F41">
            <w:pPr>
              <w:jc w:val="center"/>
              <w:rPr>
                <w:sz w:val="24"/>
              </w:rPr>
            </w:pPr>
            <w:r w:rsidRPr="00EF1E43">
              <w:rPr>
                <w:sz w:val="24"/>
              </w:rPr>
              <w:t>25467</w:t>
            </w:r>
          </w:p>
        </w:tc>
        <w:tc>
          <w:tcPr>
            <w:tcW w:w="7371" w:type="dxa"/>
            <w:shd w:val="clear" w:color="auto" w:fill="FFFFFF" w:themeFill="background1"/>
            <w:vAlign w:val="center"/>
            <w:hideMark/>
          </w:tcPr>
          <w:p w14:paraId="0B9F210F" w14:textId="77777777" w:rsidR="00FF0F9B" w:rsidRPr="00EF1E43" w:rsidRDefault="00FF0F9B" w:rsidP="00374F41">
            <w:pPr>
              <w:rPr>
                <w:sz w:val="24"/>
              </w:rPr>
            </w:pPr>
            <w:r w:rsidRPr="00EF1E43">
              <w:rPr>
                <w:sz w:val="24"/>
              </w:rPr>
              <w:t>The Royal Australian and New Zealand College of Obstetricians and Gynaecologists (2019). Combined hormonal contraceptives. Retrieved 1 March 2021, from https://ranzcog.edu.au/RANZCOG_SITE/media/RANZCOG-MEDIA/Women%27s%20Health/Statement%20and%20guidelines/Clinical-Obstetrics/Combined-hormonal-contraceptives-(C-Gyn-28)-Review-March-2016.pdf?ext=.pdf</w:t>
            </w:r>
          </w:p>
        </w:tc>
      </w:tr>
      <w:tr w:rsidR="00EF1E43" w:rsidRPr="00EF1E43" w14:paraId="2F1E251C" w14:textId="77777777" w:rsidTr="00CC61F1">
        <w:trPr>
          <w:cantSplit/>
        </w:trPr>
        <w:tc>
          <w:tcPr>
            <w:tcW w:w="1555" w:type="dxa"/>
            <w:shd w:val="clear" w:color="auto" w:fill="FFFFFF" w:themeFill="background1"/>
            <w:noWrap/>
            <w:vAlign w:val="center"/>
            <w:hideMark/>
          </w:tcPr>
          <w:p w14:paraId="649B48F4" w14:textId="77777777" w:rsidR="00FF0F9B" w:rsidRPr="00EF1E43" w:rsidRDefault="00FF0F9B" w:rsidP="00374F41">
            <w:pPr>
              <w:jc w:val="center"/>
              <w:rPr>
                <w:sz w:val="24"/>
              </w:rPr>
            </w:pPr>
            <w:r w:rsidRPr="00EF1E43">
              <w:rPr>
                <w:sz w:val="24"/>
              </w:rPr>
              <w:t>4700</w:t>
            </w:r>
          </w:p>
        </w:tc>
        <w:tc>
          <w:tcPr>
            <w:tcW w:w="7371" w:type="dxa"/>
            <w:shd w:val="clear" w:color="auto" w:fill="FFFFFF" w:themeFill="background1"/>
            <w:vAlign w:val="center"/>
            <w:hideMark/>
          </w:tcPr>
          <w:p w14:paraId="344AA80F" w14:textId="77777777" w:rsidR="00FF0F9B" w:rsidRPr="00EF1E43" w:rsidRDefault="00FF0F9B" w:rsidP="00374F41">
            <w:pPr>
              <w:rPr>
                <w:sz w:val="24"/>
              </w:rPr>
            </w:pPr>
            <w:r w:rsidRPr="00EF1E43">
              <w:rPr>
                <w:sz w:val="24"/>
              </w:rPr>
              <w:t>Thomas DB (1993). [Comment] Oral contraceptives and breast cancer. J Natl Cancer Inst, 85(5): 359-64.</w:t>
            </w:r>
          </w:p>
        </w:tc>
      </w:tr>
      <w:tr w:rsidR="00EF1E43" w:rsidRPr="00EF1E43" w14:paraId="5BF7AC63" w14:textId="77777777" w:rsidTr="00CC61F1">
        <w:trPr>
          <w:cantSplit/>
        </w:trPr>
        <w:tc>
          <w:tcPr>
            <w:tcW w:w="1555" w:type="dxa"/>
            <w:shd w:val="clear" w:color="auto" w:fill="FFFFFF" w:themeFill="background1"/>
            <w:noWrap/>
            <w:vAlign w:val="center"/>
            <w:hideMark/>
          </w:tcPr>
          <w:p w14:paraId="32827EF6" w14:textId="77777777" w:rsidR="00FF0F9B" w:rsidRPr="00EF1E43" w:rsidRDefault="00FF0F9B" w:rsidP="00374F41">
            <w:pPr>
              <w:jc w:val="center"/>
              <w:rPr>
                <w:sz w:val="24"/>
              </w:rPr>
            </w:pPr>
            <w:r w:rsidRPr="00EF1E43">
              <w:rPr>
                <w:sz w:val="24"/>
              </w:rPr>
              <w:t>9350</w:t>
            </w:r>
          </w:p>
        </w:tc>
        <w:tc>
          <w:tcPr>
            <w:tcW w:w="7371" w:type="dxa"/>
            <w:shd w:val="clear" w:color="auto" w:fill="FFFFFF" w:themeFill="background1"/>
            <w:vAlign w:val="center"/>
            <w:hideMark/>
          </w:tcPr>
          <w:p w14:paraId="534D6A66" w14:textId="77777777" w:rsidR="00FF0F9B" w:rsidRPr="00EF1E43" w:rsidRDefault="00FF0F9B" w:rsidP="00374F41">
            <w:pPr>
              <w:rPr>
                <w:sz w:val="24"/>
              </w:rPr>
            </w:pPr>
            <w:r w:rsidRPr="00EF1E43">
              <w:rPr>
                <w:sz w:val="24"/>
              </w:rPr>
              <w:t>Thomas DB, Jimenez LM, McTiernan A, et al (1992). Breast cancer in men: Risk factors with hormonal implications. American Journal of Epidemiology, 135: 734-48.</w:t>
            </w:r>
          </w:p>
        </w:tc>
      </w:tr>
      <w:tr w:rsidR="00EF1E43" w:rsidRPr="00EF1E43" w14:paraId="0964B05A" w14:textId="77777777" w:rsidTr="00CC61F1">
        <w:trPr>
          <w:cantSplit/>
        </w:trPr>
        <w:tc>
          <w:tcPr>
            <w:tcW w:w="1555" w:type="dxa"/>
            <w:shd w:val="clear" w:color="auto" w:fill="FFFFFF" w:themeFill="background1"/>
            <w:noWrap/>
            <w:vAlign w:val="center"/>
            <w:hideMark/>
          </w:tcPr>
          <w:p w14:paraId="479D29EE" w14:textId="77777777" w:rsidR="00FF0F9B" w:rsidRPr="00EF1E43" w:rsidRDefault="00FF0F9B" w:rsidP="00374F41">
            <w:pPr>
              <w:jc w:val="center"/>
              <w:rPr>
                <w:sz w:val="24"/>
              </w:rPr>
            </w:pPr>
            <w:r w:rsidRPr="00EF1E43">
              <w:rPr>
                <w:sz w:val="24"/>
              </w:rPr>
              <w:t>4699</w:t>
            </w:r>
          </w:p>
        </w:tc>
        <w:tc>
          <w:tcPr>
            <w:tcW w:w="7371" w:type="dxa"/>
            <w:shd w:val="clear" w:color="auto" w:fill="FFFFFF" w:themeFill="background1"/>
            <w:vAlign w:val="center"/>
            <w:hideMark/>
          </w:tcPr>
          <w:p w14:paraId="735E72BD" w14:textId="77777777" w:rsidR="00FF0F9B" w:rsidRPr="00EF1E43" w:rsidRDefault="00FF0F9B" w:rsidP="00374F41">
            <w:pPr>
              <w:rPr>
                <w:sz w:val="24"/>
              </w:rPr>
            </w:pPr>
            <w:r w:rsidRPr="00EF1E43">
              <w:rPr>
                <w:sz w:val="24"/>
              </w:rPr>
              <w:t>Thomas DB, Rosenblatt K, Jimenez M, et al (1994). Ionizing radiation and breast cancer in men (United States). Cancer Causes Control, 5: 9-14.</w:t>
            </w:r>
          </w:p>
        </w:tc>
      </w:tr>
      <w:tr w:rsidR="00EF1E43" w:rsidRPr="00EF1E43" w14:paraId="18104235" w14:textId="77777777" w:rsidTr="00CC61F1">
        <w:trPr>
          <w:cantSplit/>
        </w:trPr>
        <w:tc>
          <w:tcPr>
            <w:tcW w:w="1555" w:type="dxa"/>
            <w:shd w:val="clear" w:color="auto" w:fill="FFFFFF" w:themeFill="background1"/>
            <w:noWrap/>
            <w:vAlign w:val="center"/>
            <w:hideMark/>
          </w:tcPr>
          <w:p w14:paraId="76CE318D" w14:textId="77777777" w:rsidR="00FF0F9B" w:rsidRPr="00EF1E43" w:rsidRDefault="00FF0F9B" w:rsidP="00374F41">
            <w:pPr>
              <w:jc w:val="center"/>
              <w:rPr>
                <w:sz w:val="24"/>
              </w:rPr>
            </w:pPr>
            <w:r w:rsidRPr="00EF1E43">
              <w:rPr>
                <w:sz w:val="24"/>
              </w:rPr>
              <w:t>71688</w:t>
            </w:r>
          </w:p>
        </w:tc>
        <w:tc>
          <w:tcPr>
            <w:tcW w:w="7371" w:type="dxa"/>
            <w:shd w:val="clear" w:color="auto" w:fill="FFFFFF" w:themeFill="background1"/>
            <w:vAlign w:val="center"/>
            <w:hideMark/>
          </w:tcPr>
          <w:p w14:paraId="5F4FEBA7" w14:textId="77777777" w:rsidR="00FF0F9B" w:rsidRPr="00EF1E43" w:rsidRDefault="00FF0F9B" w:rsidP="00374F41">
            <w:pPr>
              <w:rPr>
                <w:sz w:val="24"/>
              </w:rPr>
            </w:pPr>
            <w:r w:rsidRPr="00EF1E43">
              <w:rPr>
                <w:sz w:val="24"/>
              </w:rPr>
              <w:t>Thomson CA (2012). Diet and breast cancer: understanding risks and benefits. Nutr Clin Pract, 27: 636-50.</w:t>
            </w:r>
          </w:p>
        </w:tc>
      </w:tr>
      <w:tr w:rsidR="00EF1E43" w:rsidRPr="00EF1E43" w14:paraId="66FD5070" w14:textId="77777777" w:rsidTr="00CC61F1">
        <w:trPr>
          <w:cantSplit/>
        </w:trPr>
        <w:tc>
          <w:tcPr>
            <w:tcW w:w="1555" w:type="dxa"/>
            <w:shd w:val="clear" w:color="auto" w:fill="FFFFFF" w:themeFill="background1"/>
            <w:noWrap/>
            <w:vAlign w:val="center"/>
            <w:hideMark/>
          </w:tcPr>
          <w:p w14:paraId="42C8AB3E" w14:textId="77777777" w:rsidR="00FF0F9B" w:rsidRPr="00EF1E43" w:rsidRDefault="00FF0F9B" w:rsidP="00374F41">
            <w:pPr>
              <w:jc w:val="center"/>
              <w:rPr>
                <w:sz w:val="24"/>
              </w:rPr>
            </w:pPr>
            <w:r w:rsidRPr="00EF1E43">
              <w:rPr>
                <w:sz w:val="24"/>
              </w:rPr>
              <w:t>37137</w:t>
            </w:r>
          </w:p>
        </w:tc>
        <w:tc>
          <w:tcPr>
            <w:tcW w:w="7371" w:type="dxa"/>
            <w:shd w:val="clear" w:color="auto" w:fill="FFFFFF" w:themeFill="background1"/>
            <w:vAlign w:val="center"/>
            <w:hideMark/>
          </w:tcPr>
          <w:p w14:paraId="275E4803" w14:textId="77777777" w:rsidR="00FF0F9B" w:rsidRPr="00EF1E43" w:rsidRDefault="00FF0F9B" w:rsidP="00374F41">
            <w:pPr>
              <w:rPr>
                <w:sz w:val="24"/>
              </w:rPr>
            </w:pPr>
            <w:r w:rsidRPr="00EF1E43">
              <w:rPr>
                <w:sz w:val="24"/>
              </w:rPr>
              <w:t>Thune I, Brenn T, Lund E, et al (1997). Physical activity and the risk of breast cancer. NEJM, 336(18): 1269-75.</w:t>
            </w:r>
          </w:p>
        </w:tc>
      </w:tr>
      <w:tr w:rsidR="00EF1E43" w:rsidRPr="00EF1E43" w14:paraId="1E77E181" w14:textId="77777777" w:rsidTr="00CC61F1">
        <w:trPr>
          <w:cantSplit/>
        </w:trPr>
        <w:tc>
          <w:tcPr>
            <w:tcW w:w="1555" w:type="dxa"/>
            <w:shd w:val="clear" w:color="auto" w:fill="FFFFFF" w:themeFill="background1"/>
            <w:noWrap/>
            <w:vAlign w:val="center"/>
            <w:hideMark/>
          </w:tcPr>
          <w:p w14:paraId="1F03BF1E" w14:textId="77777777" w:rsidR="00FF0F9B" w:rsidRPr="00EF1E43" w:rsidRDefault="00FF0F9B" w:rsidP="00374F41">
            <w:pPr>
              <w:jc w:val="center"/>
              <w:rPr>
                <w:sz w:val="24"/>
              </w:rPr>
            </w:pPr>
            <w:r w:rsidRPr="00EF1E43">
              <w:rPr>
                <w:sz w:val="24"/>
              </w:rPr>
              <w:t>35635</w:t>
            </w:r>
          </w:p>
        </w:tc>
        <w:tc>
          <w:tcPr>
            <w:tcW w:w="7371" w:type="dxa"/>
            <w:shd w:val="clear" w:color="auto" w:fill="FFFFFF" w:themeFill="background1"/>
            <w:vAlign w:val="center"/>
            <w:hideMark/>
          </w:tcPr>
          <w:p w14:paraId="6DC7A0FC" w14:textId="77777777" w:rsidR="00FF0F9B" w:rsidRPr="00EF1E43" w:rsidRDefault="00FF0F9B" w:rsidP="00374F41">
            <w:pPr>
              <w:rPr>
                <w:sz w:val="24"/>
              </w:rPr>
            </w:pPr>
            <w:r w:rsidRPr="00EF1E43">
              <w:rPr>
                <w:sz w:val="24"/>
              </w:rPr>
              <w:t>Tjonneland A, Christensen J, Thomsen BL, et al (2004). Lifetime alcohol consumption and postmenopausal breast cancer rate in Denmark: a prospective cohort study. The Journal of Nutrition, 134: 173-78.</w:t>
            </w:r>
          </w:p>
        </w:tc>
      </w:tr>
      <w:tr w:rsidR="00EF1E43" w:rsidRPr="00EF1E43" w14:paraId="5B07B228" w14:textId="77777777" w:rsidTr="00CC61F1">
        <w:trPr>
          <w:cantSplit/>
        </w:trPr>
        <w:tc>
          <w:tcPr>
            <w:tcW w:w="1555" w:type="dxa"/>
            <w:shd w:val="clear" w:color="auto" w:fill="FFFFFF" w:themeFill="background1"/>
            <w:noWrap/>
            <w:vAlign w:val="center"/>
            <w:hideMark/>
          </w:tcPr>
          <w:p w14:paraId="7812D260" w14:textId="77777777" w:rsidR="00FF0F9B" w:rsidRPr="00EF1E43" w:rsidRDefault="00FF0F9B" w:rsidP="00374F41">
            <w:pPr>
              <w:jc w:val="center"/>
              <w:rPr>
                <w:sz w:val="24"/>
              </w:rPr>
            </w:pPr>
            <w:r w:rsidRPr="00EF1E43">
              <w:rPr>
                <w:sz w:val="24"/>
              </w:rPr>
              <w:t>35634</w:t>
            </w:r>
          </w:p>
        </w:tc>
        <w:tc>
          <w:tcPr>
            <w:tcW w:w="7371" w:type="dxa"/>
            <w:shd w:val="clear" w:color="auto" w:fill="FFFFFF" w:themeFill="background1"/>
            <w:vAlign w:val="center"/>
            <w:hideMark/>
          </w:tcPr>
          <w:p w14:paraId="051D95C7" w14:textId="77777777" w:rsidR="00FF0F9B" w:rsidRPr="00EF1E43" w:rsidRDefault="00FF0F9B" w:rsidP="00374F41">
            <w:pPr>
              <w:rPr>
                <w:sz w:val="24"/>
              </w:rPr>
            </w:pPr>
            <w:r w:rsidRPr="00EF1E43">
              <w:rPr>
                <w:sz w:val="24"/>
              </w:rPr>
              <w:t>Tjonneland A, Thomsen Bl, Stripp C, et al (2003). Alcohol intake, drinking patterns and risk of postmenopausal breast cancer in Denmark: a prospective cohort study. Cancer Causes &amp; Control, 14: 277-84.</w:t>
            </w:r>
          </w:p>
        </w:tc>
      </w:tr>
      <w:tr w:rsidR="00EF1E43" w:rsidRPr="00EF1E43" w14:paraId="3D4C0445" w14:textId="77777777" w:rsidTr="00CC61F1">
        <w:trPr>
          <w:cantSplit/>
        </w:trPr>
        <w:tc>
          <w:tcPr>
            <w:tcW w:w="1555" w:type="dxa"/>
            <w:shd w:val="clear" w:color="auto" w:fill="FFFFFF" w:themeFill="background1"/>
            <w:noWrap/>
            <w:vAlign w:val="center"/>
            <w:hideMark/>
          </w:tcPr>
          <w:p w14:paraId="514A9194" w14:textId="77777777" w:rsidR="00FF0F9B" w:rsidRPr="00EF1E43" w:rsidRDefault="00FF0F9B" w:rsidP="00374F41">
            <w:pPr>
              <w:jc w:val="center"/>
              <w:rPr>
                <w:sz w:val="24"/>
              </w:rPr>
            </w:pPr>
            <w:r w:rsidRPr="00EF1E43">
              <w:rPr>
                <w:sz w:val="24"/>
              </w:rPr>
              <w:t>9264</w:t>
            </w:r>
          </w:p>
        </w:tc>
        <w:tc>
          <w:tcPr>
            <w:tcW w:w="7371" w:type="dxa"/>
            <w:shd w:val="clear" w:color="auto" w:fill="FFFFFF" w:themeFill="background1"/>
            <w:vAlign w:val="center"/>
            <w:hideMark/>
          </w:tcPr>
          <w:p w14:paraId="34BFCDEE" w14:textId="77777777" w:rsidR="00FF0F9B" w:rsidRPr="00EF1E43" w:rsidRDefault="00FF0F9B" w:rsidP="00374F41">
            <w:pPr>
              <w:rPr>
                <w:sz w:val="24"/>
              </w:rPr>
            </w:pPr>
            <w:r w:rsidRPr="00EF1E43">
              <w:rPr>
                <w:sz w:val="24"/>
              </w:rPr>
              <w:t>Tokunaga M, Land CE, Tokuoka S, et al (1994). Incidence of female breast cancer among atomic bomb survivors, 1950-1985. Radiation Research, 138: 209-23.</w:t>
            </w:r>
          </w:p>
        </w:tc>
      </w:tr>
      <w:tr w:rsidR="00EF1E43" w:rsidRPr="00EF1E43" w14:paraId="7BBD78F5" w14:textId="77777777" w:rsidTr="00CC61F1">
        <w:trPr>
          <w:cantSplit/>
        </w:trPr>
        <w:tc>
          <w:tcPr>
            <w:tcW w:w="1555" w:type="dxa"/>
            <w:shd w:val="clear" w:color="auto" w:fill="FFFFFF" w:themeFill="background1"/>
            <w:noWrap/>
            <w:vAlign w:val="center"/>
            <w:hideMark/>
          </w:tcPr>
          <w:p w14:paraId="284C989E" w14:textId="77777777" w:rsidR="00FF0F9B" w:rsidRPr="00EF1E43" w:rsidRDefault="00FF0F9B" w:rsidP="00374F41">
            <w:pPr>
              <w:jc w:val="center"/>
              <w:rPr>
                <w:sz w:val="24"/>
              </w:rPr>
            </w:pPr>
            <w:r w:rsidRPr="00EF1E43">
              <w:rPr>
                <w:sz w:val="24"/>
              </w:rPr>
              <w:t>9265</w:t>
            </w:r>
          </w:p>
        </w:tc>
        <w:tc>
          <w:tcPr>
            <w:tcW w:w="7371" w:type="dxa"/>
            <w:shd w:val="clear" w:color="auto" w:fill="FFFFFF" w:themeFill="background1"/>
            <w:vAlign w:val="center"/>
            <w:hideMark/>
          </w:tcPr>
          <w:p w14:paraId="1D87BF2A" w14:textId="77777777" w:rsidR="00FF0F9B" w:rsidRPr="00EF1E43" w:rsidRDefault="00FF0F9B" w:rsidP="00374F41">
            <w:pPr>
              <w:rPr>
                <w:sz w:val="24"/>
              </w:rPr>
            </w:pPr>
            <w:r w:rsidRPr="00EF1E43">
              <w:rPr>
                <w:sz w:val="24"/>
              </w:rPr>
              <w:t>Tomasson H, Tomasson K (1996). Oral contraceptives and risk of breast cancer: a historical prospective case-control study. Acta Obstet Gynecol Scand, 75: 157-61.</w:t>
            </w:r>
          </w:p>
        </w:tc>
      </w:tr>
      <w:tr w:rsidR="00EF1E43" w:rsidRPr="00EF1E43" w14:paraId="11982322" w14:textId="77777777" w:rsidTr="00CC61F1">
        <w:trPr>
          <w:cantSplit/>
        </w:trPr>
        <w:tc>
          <w:tcPr>
            <w:tcW w:w="1555" w:type="dxa"/>
            <w:shd w:val="clear" w:color="auto" w:fill="FFFFFF" w:themeFill="background1"/>
            <w:noWrap/>
            <w:vAlign w:val="center"/>
            <w:hideMark/>
          </w:tcPr>
          <w:p w14:paraId="2ED652E1" w14:textId="77777777" w:rsidR="00FF0F9B" w:rsidRPr="00EF1E43" w:rsidRDefault="00FF0F9B" w:rsidP="00374F41">
            <w:pPr>
              <w:jc w:val="center"/>
              <w:rPr>
                <w:sz w:val="24"/>
              </w:rPr>
            </w:pPr>
            <w:r w:rsidRPr="00EF1E43">
              <w:rPr>
                <w:sz w:val="24"/>
              </w:rPr>
              <w:t>9266</w:t>
            </w:r>
          </w:p>
        </w:tc>
        <w:tc>
          <w:tcPr>
            <w:tcW w:w="7371" w:type="dxa"/>
            <w:shd w:val="clear" w:color="auto" w:fill="FFFFFF" w:themeFill="background1"/>
            <w:vAlign w:val="center"/>
            <w:hideMark/>
          </w:tcPr>
          <w:p w14:paraId="6F364F96" w14:textId="77777777" w:rsidR="00FF0F9B" w:rsidRPr="00EF1E43" w:rsidRDefault="00FF0F9B" w:rsidP="00374F41">
            <w:pPr>
              <w:rPr>
                <w:sz w:val="24"/>
              </w:rPr>
            </w:pPr>
            <w:r w:rsidRPr="00EF1E43">
              <w:rPr>
                <w:sz w:val="24"/>
              </w:rPr>
              <w:t>Toniolo P, Riboli E, Shore RE, et al (1994). Consumption of meat, animal products, protein, and fat and risk of breast cancer: a prospective cohort study in New York. Epidemiology, 5(4): 391-7.</w:t>
            </w:r>
          </w:p>
        </w:tc>
      </w:tr>
      <w:tr w:rsidR="00EF1E43" w:rsidRPr="00EF1E43" w14:paraId="1F13D745" w14:textId="77777777" w:rsidTr="00CC61F1">
        <w:trPr>
          <w:cantSplit/>
        </w:trPr>
        <w:tc>
          <w:tcPr>
            <w:tcW w:w="1555" w:type="dxa"/>
            <w:shd w:val="clear" w:color="auto" w:fill="FFFFFF" w:themeFill="background1"/>
            <w:noWrap/>
            <w:vAlign w:val="center"/>
            <w:hideMark/>
          </w:tcPr>
          <w:p w14:paraId="148889B9" w14:textId="77777777" w:rsidR="00FF0F9B" w:rsidRPr="00EF1E43" w:rsidRDefault="00FF0F9B" w:rsidP="00374F41">
            <w:pPr>
              <w:jc w:val="center"/>
              <w:rPr>
                <w:sz w:val="24"/>
              </w:rPr>
            </w:pPr>
            <w:r w:rsidRPr="00EF1E43">
              <w:rPr>
                <w:sz w:val="24"/>
              </w:rPr>
              <w:t>9267</w:t>
            </w:r>
          </w:p>
        </w:tc>
        <w:tc>
          <w:tcPr>
            <w:tcW w:w="7371" w:type="dxa"/>
            <w:shd w:val="clear" w:color="auto" w:fill="FFFFFF" w:themeFill="background1"/>
            <w:vAlign w:val="center"/>
            <w:hideMark/>
          </w:tcPr>
          <w:p w14:paraId="551844CA" w14:textId="77777777" w:rsidR="00FF0F9B" w:rsidRPr="00EF1E43" w:rsidRDefault="00FF0F9B" w:rsidP="00374F41">
            <w:pPr>
              <w:rPr>
                <w:sz w:val="24"/>
              </w:rPr>
            </w:pPr>
            <w:r w:rsidRPr="00EF1E43">
              <w:rPr>
                <w:sz w:val="24"/>
              </w:rPr>
              <w:t>Tornberg SA, Carstensen JM (1994). Relationship between Quetelet's index and cancer of breast and female genital tract in 47,000 women followed for 25 years. Br J Cancer, 69: 358-61.</w:t>
            </w:r>
          </w:p>
        </w:tc>
      </w:tr>
      <w:tr w:rsidR="00EF1E43" w:rsidRPr="00EF1E43" w14:paraId="64A8CEA9" w14:textId="77777777" w:rsidTr="00CC61F1">
        <w:trPr>
          <w:cantSplit/>
        </w:trPr>
        <w:tc>
          <w:tcPr>
            <w:tcW w:w="1555" w:type="dxa"/>
            <w:shd w:val="clear" w:color="auto" w:fill="FFFFFF" w:themeFill="background1"/>
            <w:noWrap/>
            <w:vAlign w:val="center"/>
            <w:hideMark/>
          </w:tcPr>
          <w:p w14:paraId="57363C65" w14:textId="77777777" w:rsidR="00FF0F9B" w:rsidRPr="00EF1E43" w:rsidRDefault="00FF0F9B" w:rsidP="00374F41">
            <w:pPr>
              <w:jc w:val="center"/>
              <w:rPr>
                <w:sz w:val="24"/>
              </w:rPr>
            </w:pPr>
            <w:r w:rsidRPr="00EF1E43">
              <w:rPr>
                <w:sz w:val="24"/>
              </w:rPr>
              <w:lastRenderedPageBreak/>
              <w:t>100818</w:t>
            </w:r>
          </w:p>
        </w:tc>
        <w:tc>
          <w:tcPr>
            <w:tcW w:w="7371" w:type="dxa"/>
            <w:shd w:val="clear" w:color="auto" w:fill="FFFFFF" w:themeFill="background1"/>
            <w:vAlign w:val="center"/>
            <w:hideMark/>
          </w:tcPr>
          <w:p w14:paraId="56B7CFB9" w14:textId="77777777" w:rsidR="00FF0F9B" w:rsidRPr="00EF1E43" w:rsidRDefault="00FF0F9B" w:rsidP="00374F41">
            <w:pPr>
              <w:rPr>
                <w:sz w:val="24"/>
              </w:rPr>
            </w:pPr>
            <w:r w:rsidRPr="00EF1E43">
              <w:rPr>
                <w:sz w:val="24"/>
              </w:rPr>
              <w:t>Trabert B, Sherman ME, Kannan N, et al (2020). Progesterone and breast cancer. Endocr Rev, 41(2): 320-44.</w:t>
            </w:r>
          </w:p>
        </w:tc>
      </w:tr>
      <w:tr w:rsidR="00EF1E43" w:rsidRPr="00EF1E43" w14:paraId="6F5E8126" w14:textId="77777777" w:rsidTr="00CC61F1">
        <w:trPr>
          <w:cantSplit/>
        </w:trPr>
        <w:tc>
          <w:tcPr>
            <w:tcW w:w="1555" w:type="dxa"/>
            <w:shd w:val="clear" w:color="auto" w:fill="FFFFFF" w:themeFill="background1"/>
            <w:noWrap/>
            <w:vAlign w:val="center"/>
            <w:hideMark/>
          </w:tcPr>
          <w:p w14:paraId="3B0D1D29" w14:textId="77777777" w:rsidR="00FF0F9B" w:rsidRPr="00EF1E43" w:rsidRDefault="00FF0F9B" w:rsidP="00374F41">
            <w:pPr>
              <w:jc w:val="center"/>
              <w:rPr>
                <w:sz w:val="24"/>
              </w:rPr>
            </w:pPr>
            <w:r w:rsidRPr="00EF1E43">
              <w:rPr>
                <w:sz w:val="24"/>
              </w:rPr>
              <w:t>9268</w:t>
            </w:r>
          </w:p>
        </w:tc>
        <w:tc>
          <w:tcPr>
            <w:tcW w:w="7371" w:type="dxa"/>
            <w:shd w:val="clear" w:color="auto" w:fill="FFFFFF" w:themeFill="background1"/>
            <w:vAlign w:val="center"/>
            <w:hideMark/>
          </w:tcPr>
          <w:p w14:paraId="012479BA" w14:textId="77777777" w:rsidR="00FF0F9B" w:rsidRPr="00EF1E43" w:rsidRDefault="00FF0F9B" w:rsidP="00374F41">
            <w:pPr>
              <w:rPr>
                <w:sz w:val="24"/>
              </w:rPr>
            </w:pPr>
            <w:r w:rsidRPr="00EF1E43">
              <w:rPr>
                <w:sz w:val="24"/>
              </w:rPr>
              <w:t>Traina A, Cusimano R, Liquori M, et al (1996). Oral contraceptive use and breast cancer risk in areas with different incidence. Annals of the New York Academy of Sciences, 784: 564-9.</w:t>
            </w:r>
          </w:p>
        </w:tc>
      </w:tr>
      <w:tr w:rsidR="00EF1E43" w:rsidRPr="00EF1E43" w14:paraId="61811D43" w14:textId="77777777" w:rsidTr="00CC61F1">
        <w:trPr>
          <w:cantSplit/>
        </w:trPr>
        <w:tc>
          <w:tcPr>
            <w:tcW w:w="1555" w:type="dxa"/>
            <w:shd w:val="clear" w:color="auto" w:fill="FFFFFF" w:themeFill="background1"/>
            <w:noWrap/>
            <w:vAlign w:val="center"/>
            <w:hideMark/>
          </w:tcPr>
          <w:p w14:paraId="178D91EF" w14:textId="77777777" w:rsidR="00FF0F9B" w:rsidRPr="00EF1E43" w:rsidRDefault="00FF0F9B" w:rsidP="00374F41">
            <w:pPr>
              <w:jc w:val="center"/>
              <w:rPr>
                <w:sz w:val="24"/>
              </w:rPr>
            </w:pPr>
            <w:r w:rsidRPr="00EF1E43">
              <w:rPr>
                <w:sz w:val="24"/>
              </w:rPr>
              <w:t>35587</w:t>
            </w:r>
          </w:p>
        </w:tc>
        <w:tc>
          <w:tcPr>
            <w:tcW w:w="7371" w:type="dxa"/>
            <w:shd w:val="clear" w:color="auto" w:fill="FFFFFF" w:themeFill="background1"/>
            <w:vAlign w:val="center"/>
            <w:hideMark/>
          </w:tcPr>
          <w:p w14:paraId="2D2437E5" w14:textId="77777777" w:rsidR="00FF0F9B" w:rsidRPr="00EF1E43" w:rsidRDefault="00FF0F9B" w:rsidP="00374F41">
            <w:pPr>
              <w:rPr>
                <w:sz w:val="24"/>
              </w:rPr>
            </w:pPr>
            <w:r w:rsidRPr="00EF1E43">
              <w:rPr>
                <w:sz w:val="24"/>
              </w:rPr>
              <w:t>Travis LB, Hill DA, Dores GM, et al (2003). Breast cancer following radiotherapy and chemotherapy among young women with Hodgkin Disease. JAMA, 290(4): 465-475.</w:t>
            </w:r>
          </w:p>
        </w:tc>
      </w:tr>
      <w:tr w:rsidR="00EF1E43" w:rsidRPr="00EF1E43" w14:paraId="5A209208" w14:textId="77777777" w:rsidTr="00CC61F1">
        <w:trPr>
          <w:cantSplit/>
        </w:trPr>
        <w:tc>
          <w:tcPr>
            <w:tcW w:w="1555" w:type="dxa"/>
            <w:shd w:val="clear" w:color="auto" w:fill="FFFFFF" w:themeFill="background1"/>
            <w:noWrap/>
            <w:vAlign w:val="center"/>
            <w:hideMark/>
          </w:tcPr>
          <w:p w14:paraId="314C81B6" w14:textId="77777777" w:rsidR="00FF0F9B" w:rsidRPr="00EF1E43" w:rsidRDefault="00FF0F9B" w:rsidP="00374F41">
            <w:pPr>
              <w:jc w:val="center"/>
              <w:rPr>
                <w:sz w:val="24"/>
              </w:rPr>
            </w:pPr>
            <w:r w:rsidRPr="00EF1E43">
              <w:rPr>
                <w:sz w:val="24"/>
              </w:rPr>
              <w:t>36917</w:t>
            </w:r>
          </w:p>
        </w:tc>
        <w:tc>
          <w:tcPr>
            <w:tcW w:w="7371" w:type="dxa"/>
            <w:shd w:val="clear" w:color="auto" w:fill="FFFFFF" w:themeFill="background1"/>
            <w:vAlign w:val="center"/>
            <w:hideMark/>
          </w:tcPr>
          <w:p w14:paraId="5F18EBF2" w14:textId="77777777" w:rsidR="00FF0F9B" w:rsidRPr="00EF1E43" w:rsidRDefault="00FF0F9B" w:rsidP="00374F41">
            <w:pPr>
              <w:rPr>
                <w:sz w:val="24"/>
              </w:rPr>
            </w:pPr>
            <w:r w:rsidRPr="00EF1E43">
              <w:rPr>
                <w:sz w:val="24"/>
              </w:rPr>
              <w:t>Trentham-Dietz A, Newcomb PA, Egan KM, et al (2000). Weight change and risk of postmenopausal breast cancer (United States). Cancer Causes &amp; Control, 11(11): 533-42.</w:t>
            </w:r>
          </w:p>
        </w:tc>
      </w:tr>
      <w:tr w:rsidR="00EF1E43" w:rsidRPr="00EF1E43" w14:paraId="02026CF6" w14:textId="77777777" w:rsidTr="00CC61F1">
        <w:trPr>
          <w:cantSplit/>
        </w:trPr>
        <w:tc>
          <w:tcPr>
            <w:tcW w:w="1555" w:type="dxa"/>
            <w:shd w:val="clear" w:color="auto" w:fill="FFFFFF" w:themeFill="background1"/>
            <w:noWrap/>
            <w:vAlign w:val="center"/>
            <w:hideMark/>
          </w:tcPr>
          <w:p w14:paraId="2E8F250F" w14:textId="77777777" w:rsidR="00FF0F9B" w:rsidRPr="00EF1E43" w:rsidRDefault="00FF0F9B" w:rsidP="00374F41">
            <w:pPr>
              <w:jc w:val="center"/>
              <w:rPr>
                <w:sz w:val="24"/>
              </w:rPr>
            </w:pPr>
            <w:r w:rsidRPr="00EF1E43">
              <w:rPr>
                <w:sz w:val="24"/>
              </w:rPr>
              <w:t>35626</w:t>
            </w:r>
          </w:p>
        </w:tc>
        <w:tc>
          <w:tcPr>
            <w:tcW w:w="7371" w:type="dxa"/>
            <w:shd w:val="clear" w:color="auto" w:fill="FFFFFF" w:themeFill="background1"/>
            <w:vAlign w:val="center"/>
            <w:hideMark/>
          </w:tcPr>
          <w:p w14:paraId="448D765B" w14:textId="77777777" w:rsidR="00FF0F9B" w:rsidRPr="00EF1E43" w:rsidRDefault="00FF0F9B" w:rsidP="00374F41">
            <w:pPr>
              <w:rPr>
                <w:sz w:val="24"/>
              </w:rPr>
            </w:pPr>
            <w:r w:rsidRPr="00EF1E43">
              <w:rPr>
                <w:sz w:val="24"/>
              </w:rPr>
              <w:t>Tryggvadottir L, Tulinius H, Eyfjord J, et al (2002). Breast cancer risk factors and age at diagnosis: an Icelandic cohort study. Int J Cancer, 98: 604-8.</w:t>
            </w:r>
          </w:p>
        </w:tc>
      </w:tr>
      <w:tr w:rsidR="00EF1E43" w:rsidRPr="00EF1E43" w14:paraId="05A649F7" w14:textId="77777777" w:rsidTr="00CC61F1">
        <w:trPr>
          <w:cantSplit/>
        </w:trPr>
        <w:tc>
          <w:tcPr>
            <w:tcW w:w="1555" w:type="dxa"/>
            <w:shd w:val="clear" w:color="auto" w:fill="FFFFFF" w:themeFill="background1"/>
            <w:noWrap/>
            <w:vAlign w:val="center"/>
            <w:hideMark/>
          </w:tcPr>
          <w:p w14:paraId="321ABC0F" w14:textId="77777777" w:rsidR="00FF0F9B" w:rsidRPr="00EF1E43" w:rsidRDefault="00FF0F9B" w:rsidP="00374F41">
            <w:pPr>
              <w:jc w:val="center"/>
              <w:rPr>
                <w:sz w:val="24"/>
              </w:rPr>
            </w:pPr>
            <w:r w:rsidRPr="00EF1E43">
              <w:rPr>
                <w:sz w:val="24"/>
              </w:rPr>
              <w:t>35732</w:t>
            </w:r>
          </w:p>
        </w:tc>
        <w:tc>
          <w:tcPr>
            <w:tcW w:w="7371" w:type="dxa"/>
            <w:shd w:val="clear" w:color="auto" w:fill="FFFFFF" w:themeFill="background1"/>
            <w:vAlign w:val="center"/>
            <w:hideMark/>
          </w:tcPr>
          <w:p w14:paraId="46AD691D" w14:textId="77777777" w:rsidR="00FF0F9B" w:rsidRPr="00EF1E43" w:rsidRDefault="00FF0F9B" w:rsidP="00374F41">
            <w:pPr>
              <w:rPr>
                <w:sz w:val="24"/>
              </w:rPr>
            </w:pPr>
            <w:r w:rsidRPr="00EF1E43">
              <w:rPr>
                <w:sz w:val="24"/>
              </w:rPr>
              <w:t>Tryggvadottir L, Tulinius H, Eyfjord JE, et al (2001). Breastfeeding and Reduced Risk of Breat Cancer in an Icelandic Cohort Study. American Journal of Epidemiology, 154(1): 37-42.</w:t>
            </w:r>
          </w:p>
        </w:tc>
      </w:tr>
      <w:tr w:rsidR="00EF1E43" w:rsidRPr="00EF1E43" w14:paraId="1C73DC2F" w14:textId="77777777" w:rsidTr="00CC61F1">
        <w:trPr>
          <w:cantSplit/>
        </w:trPr>
        <w:tc>
          <w:tcPr>
            <w:tcW w:w="1555" w:type="dxa"/>
            <w:shd w:val="clear" w:color="auto" w:fill="FFFFFF" w:themeFill="background1"/>
            <w:noWrap/>
            <w:vAlign w:val="center"/>
            <w:hideMark/>
          </w:tcPr>
          <w:p w14:paraId="577046B2" w14:textId="77777777" w:rsidR="00FF0F9B" w:rsidRPr="00EF1E43" w:rsidRDefault="00FF0F9B" w:rsidP="00374F41">
            <w:pPr>
              <w:jc w:val="center"/>
              <w:rPr>
                <w:sz w:val="24"/>
              </w:rPr>
            </w:pPr>
            <w:r w:rsidRPr="00EF1E43">
              <w:rPr>
                <w:sz w:val="24"/>
              </w:rPr>
              <w:t>9491</w:t>
            </w:r>
          </w:p>
        </w:tc>
        <w:tc>
          <w:tcPr>
            <w:tcW w:w="7371" w:type="dxa"/>
            <w:shd w:val="clear" w:color="auto" w:fill="FFFFFF" w:themeFill="background1"/>
            <w:vAlign w:val="center"/>
            <w:hideMark/>
          </w:tcPr>
          <w:p w14:paraId="0954FCD3" w14:textId="77777777" w:rsidR="00FF0F9B" w:rsidRPr="00EF1E43" w:rsidRDefault="00FF0F9B" w:rsidP="00374F41">
            <w:pPr>
              <w:rPr>
                <w:sz w:val="24"/>
              </w:rPr>
            </w:pPr>
            <w:r w:rsidRPr="00EF1E43">
              <w:rPr>
                <w:sz w:val="24"/>
              </w:rPr>
              <w:t>Tynes T (1993). Electromagnetic fields and male breast cancer. Biomed Pharmacother, 47: 425- 7.</w:t>
            </w:r>
          </w:p>
        </w:tc>
      </w:tr>
      <w:tr w:rsidR="00EF1E43" w:rsidRPr="00EF1E43" w14:paraId="356D34F9" w14:textId="77777777" w:rsidTr="00CC61F1">
        <w:trPr>
          <w:cantSplit/>
        </w:trPr>
        <w:tc>
          <w:tcPr>
            <w:tcW w:w="1555" w:type="dxa"/>
            <w:shd w:val="clear" w:color="auto" w:fill="FFFFFF" w:themeFill="background1"/>
            <w:noWrap/>
            <w:vAlign w:val="center"/>
            <w:hideMark/>
          </w:tcPr>
          <w:p w14:paraId="23D2AD06" w14:textId="77777777" w:rsidR="00FF0F9B" w:rsidRPr="00EF1E43" w:rsidRDefault="00FF0F9B" w:rsidP="00374F41">
            <w:pPr>
              <w:jc w:val="center"/>
              <w:rPr>
                <w:sz w:val="24"/>
              </w:rPr>
            </w:pPr>
            <w:r w:rsidRPr="00EF1E43">
              <w:rPr>
                <w:sz w:val="24"/>
              </w:rPr>
              <w:t>36033</w:t>
            </w:r>
          </w:p>
        </w:tc>
        <w:tc>
          <w:tcPr>
            <w:tcW w:w="7371" w:type="dxa"/>
            <w:shd w:val="clear" w:color="auto" w:fill="FFFFFF" w:themeFill="background1"/>
            <w:vAlign w:val="center"/>
            <w:hideMark/>
          </w:tcPr>
          <w:p w14:paraId="644490A0" w14:textId="77777777" w:rsidR="00FF0F9B" w:rsidRPr="00EF1E43" w:rsidRDefault="00FF0F9B" w:rsidP="00374F41">
            <w:pPr>
              <w:rPr>
                <w:sz w:val="24"/>
              </w:rPr>
            </w:pPr>
            <w:r w:rsidRPr="00EF1E43">
              <w:rPr>
                <w:sz w:val="24"/>
              </w:rPr>
              <w:t>Ullrich RL (1999). Risks for Radiation-Induced Breast Cancer: The Debate Continues. Radiation Research, 151: 123-4.</w:t>
            </w:r>
          </w:p>
        </w:tc>
      </w:tr>
      <w:tr w:rsidR="00EF1E43" w:rsidRPr="00EF1E43" w14:paraId="4AA80574" w14:textId="77777777" w:rsidTr="00CC61F1">
        <w:trPr>
          <w:cantSplit/>
        </w:trPr>
        <w:tc>
          <w:tcPr>
            <w:tcW w:w="1555" w:type="dxa"/>
            <w:shd w:val="clear" w:color="auto" w:fill="FFFFFF" w:themeFill="background1"/>
            <w:noWrap/>
            <w:vAlign w:val="center"/>
            <w:hideMark/>
          </w:tcPr>
          <w:p w14:paraId="39960F0C" w14:textId="77777777" w:rsidR="00FF0F9B" w:rsidRPr="00EF1E43" w:rsidRDefault="00FF0F9B" w:rsidP="00374F41">
            <w:pPr>
              <w:jc w:val="center"/>
              <w:rPr>
                <w:sz w:val="24"/>
              </w:rPr>
            </w:pPr>
            <w:r w:rsidRPr="00EF1E43">
              <w:rPr>
                <w:sz w:val="24"/>
              </w:rPr>
              <w:t>87309</w:t>
            </w:r>
          </w:p>
        </w:tc>
        <w:tc>
          <w:tcPr>
            <w:tcW w:w="7371" w:type="dxa"/>
            <w:shd w:val="clear" w:color="auto" w:fill="FFFFFF" w:themeFill="background1"/>
            <w:vAlign w:val="center"/>
            <w:hideMark/>
          </w:tcPr>
          <w:p w14:paraId="4CCC09FD" w14:textId="77777777" w:rsidR="00FF0F9B" w:rsidRPr="00EF1E43" w:rsidRDefault="00FF0F9B" w:rsidP="00374F41">
            <w:pPr>
              <w:rPr>
                <w:sz w:val="24"/>
              </w:rPr>
            </w:pPr>
            <w:r w:rsidRPr="00EF1E43">
              <w:rPr>
                <w:sz w:val="24"/>
              </w:rPr>
              <w:t>Unar-Munguia M, Torres-Mejia G, Colchero MA, et al (2017). Breastfeeding mode and risk of breast cancer: A dose-response meta-analysis. J Human Lact, 33(2): 422-34.</w:t>
            </w:r>
          </w:p>
        </w:tc>
      </w:tr>
      <w:tr w:rsidR="00EF1E43" w:rsidRPr="00EF1E43" w14:paraId="376D9E6E" w14:textId="77777777" w:rsidTr="00CC61F1">
        <w:trPr>
          <w:cantSplit/>
        </w:trPr>
        <w:tc>
          <w:tcPr>
            <w:tcW w:w="1555" w:type="dxa"/>
            <w:shd w:val="clear" w:color="auto" w:fill="FFFFFF" w:themeFill="background1"/>
            <w:noWrap/>
            <w:vAlign w:val="center"/>
            <w:hideMark/>
          </w:tcPr>
          <w:p w14:paraId="2AE6051D" w14:textId="77777777" w:rsidR="00FF0F9B" w:rsidRPr="00EF1E43" w:rsidRDefault="00FF0F9B" w:rsidP="00374F41">
            <w:pPr>
              <w:jc w:val="center"/>
              <w:rPr>
                <w:sz w:val="24"/>
              </w:rPr>
            </w:pPr>
            <w:r w:rsidRPr="00EF1E43">
              <w:rPr>
                <w:sz w:val="24"/>
              </w:rPr>
              <w:t>61775</w:t>
            </w:r>
          </w:p>
        </w:tc>
        <w:tc>
          <w:tcPr>
            <w:tcW w:w="7371" w:type="dxa"/>
            <w:shd w:val="clear" w:color="auto" w:fill="FFFFFF" w:themeFill="background1"/>
            <w:vAlign w:val="center"/>
            <w:hideMark/>
          </w:tcPr>
          <w:p w14:paraId="555EF86F" w14:textId="77777777" w:rsidR="00FF0F9B" w:rsidRPr="00EF1E43" w:rsidRDefault="00FF0F9B" w:rsidP="00374F41">
            <w:pPr>
              <w:rPr>
                <w:sz w:val="24"/>
              </w:rPr>
            </w:pPr>
            <w:r w:rsidRPr="00EF1E43">
              <w:rPr>
                <w:sz w:val="24"/>
              </w:rPr>
              <w:t>United Nations Committee on the Effects of Atomic Radiation (UNSCEAR) (2006). Effects of ionizing radiation. Report to the General Assembly, Vol 1: 1-11. United Nations Publication.</w:t>
            </w:r>
          </w:p>
        </w:tc>
      </w:tr>
      <w:tr w:rsidR="00EF1E43" w:rsidRPr="00EF1E43" w14:paraId="6186DC33" w14:textId="77777777" w:rsidTr="00CC61F1">
        <w:trPr>
          <w:cantSplit/>
        </w:trPr>
        <w:tc>
          <w:tcPr>
            <w:tcW w:w="1555" w:type="dxa"/>
            <w:shd w:val="clear" w:color="auto" w:fill="FFFFFF" w:themeFill="background1"/>
            <w:noWrap/>
            <w:vAlign w:val="center"/>
            <w:hideMark/>
          </w:tcPr>
          <w:p w14:paraId="0363AF37" w14:textId="77777777" w:rsidR="00FF0F9B" w:rsidRPr="00EF1E43" w:rsidRDefault="00FF0F9B" w:rsidP="00374F41">
            <w:pPr>
              <w:jc w:val="center"/>
              <w:rPr>
                <w:sz w:val="24"/>
              </w:rPr>
            </w:pPr>
            <w:r w:rsidRPr="00EF1E43">
              <w:rPr>
                <w:sz w:val="24"/>
              </w:rPr>
              <w:t>60297</w:t>
            </w:r>
          </w:p>
        </w:tc>
        <w:tc>
          <w:tcPr>
            <w:tcW w:w="7371" w:type="dxa"/>
            <w:shd w:val="clear" w:color="auto" w:fill="FFFFFF" w:themeFill="background1"/>
            <w:vAlign w:val="center"/>
            <w:hideMark/>
          </w:tcPr>
          <w:p w14:paraId="22458EE0" w14:textId="77777777" w:rsidR="00FF0F9B" w:rsidRPr="00EF1E43" w:rsidRDefault="00FF0F9B" w:rsidP="00374F41">
            <w:pPr>
              <w:rPr>
                <w:sz w:val="24"/>
              </w:rPr>
            </w:pPr>
            <w:r w:rsidRPr="00EF1E43">
              <w:rPr>
                <w:sz w:val="24"/>
              </w:rPr>
              <w:t>United Nations Committee on the Effects of Atomic Radiation (UNSCEAR) (2008). Effects of ionizing radiation. UNSCEAR 2006 Report. Scientific Annexes A and B. United Nations Scientific Committee on the Effects of Atomic Radiation, Volume 1. United Nations Publication.</w:t>
            </w:r>
          </w:p>
        </w:tc>
      </w:tr>
      <w:tr w:rsidR="00EF1E43" w:rsidRPr="00EF1E43" w14:paraId="6DD57581" w14:textId="77777777" w:rsidTr="00CC61F1">
        <w:trPr>
          <w:cantSplit/>
        </w:trPr>
        <w:tc>
          <w:tcPr>
            <w:tcW w:w="1555" w:type="dxa"/>
            <w:shd w:val="clear" w:color="auto" w:fill="FFFFFF" w:themeFill="background1"/>
            <w:noWrap/>
            <w:vAlign w:val="center"/>
            <w:hideMark/>
          </w:tcPr>
          <w:p w14:paraId="0DBA6C8B" w14:textId="77777777" w:rsidR="00FF0F9B" w:rsidRPr="00EF1E43" w:rsidRDefault="00FF0F9B" w:rsidP="00374F41">
            <w:pPr>
              <w:jc w:val="center"/>
              <w:rPr>
                <w:sz w:val="24"/>
              </w:rPr>
            </w:pPr>
            <w:r w:rsidRPr="00EF1E43">
              <w:rPr>
                <w:sz w:val="24"/>
              </w:rPr>
              <w:t>63163</w:t>
            </w:r>
          </w:p>
        </w:tc>
        <w:tc>
          <w:tcPr>
            <w:tcW w:w="7371" w:type="dxa"/>
            <w:shd w:val="clear" w:color="auto" w:fill="FFFFFF" w:themeFill="background1"/>
            <w:vAlign w:val="center"/>
            <w:hideMark/>
          </w:tcPr>
          <w:p w14:paraId="43E2C612" w14:textId="77777777" w:rsidR="00FF0F9B" w:rsidRPr="00EF1E43" w:rsidRDefault="00FF0F9B" w:rsidP="00374F41">
            <w:pPr>
              <w:rPr>
                <w:sz w:val="24"/>
              </w:rPr>
            </w:pPr>
            <w:r w:rsidRPr="00EF1E43">
              <w:rPr>
                <w:sz w:val="24"/>
              </w:rPr>
              <w:t>United Nations Scientific Committee on the Effects of Atomic Radiation (UNSCEAR) (2006). Effects of ionizing radiation: Epidemiological evaluation of cardiovascular disease and other non-cancer disease following radiation exposure. Annex B, Report Vol 1: 325-83. Retrieved 16 January 2012, from http://www.unscear.org/docs/reports/2006/07-82087_Report_Annex_B_Web.pdf</w:t>
            </w:r>
          </w:p>
        </w:tc>
      </w:tr>
      <w:tr w:rsidR="00EF1E43" w:rsidRPr="00EF1E43" w14:paraId="5689EA2F" w14:textId="77777777" w:rsidTr="00CC61F1">
        <w:trPr>
          <w:cantSplit/>
        </w:trPr>
        <w:tc>
          <w:tcPr>
            <w:tcW w:w="1555" w:type="dxa"/>
            <w:shd w:val="clear" w:color="auto" w:fill="FFFFFF" w:themeFill="background1"/>
            <w:noWrap/>
            <w:vAlign w:val="center"/>
            <w:hideMark/>
          </w:tcPr>
          <w:p w14:paraId="3109D551" w14:textId="77777777" w:rsidR="00FF0F9B" w:rsidRPr="00EF1E43" w:rsidRDefault="00FF0F9B" w:rsidP="00374F41">
            <w:pPr>
              <w:jc w:val="center"/>
              <w:rPr>
                <w:sz w:val="24"/>
              </w:rPr>
            </w:pPr>
            <w:r w:rsidRPr="00EF1E43">
              <w:rPr>
                <w:sz w:val="24"/>
              </w:rPr>
              <w:t>10262</w:t>
            </w:r>
          </w:p>
        </w:tc>
        <w:tc>
          <w:tcPr>
            <w:tcW w:w="7371" w:type="dxa"/>
            <w:shd w:val="clear" w:color="auto" w:fill="FFFFFF" w:themeFill="background1"/>
            <w:vAlign w:val="center"/>
            <w:hideMark/>
          </w:tcPr>
          <w:p w14:paraId="61495D37" w14:textId="77777777" w:rsidR="00FF0F9B" w:rsidRPr="00EF1E43" w:rsidRDefault="00FF0F9B" w:rsidP="00374F41">
            <w:pPr>
              <w:rPr>
                <w:sz w:val="24"/>
              </w:rPr>
            </w:pPr>
            <w:r w:rsidRPr="00EF1E43">
              <w:rPr>
                <w:sz w:val="24"/>
              </w:rPr>
              <w:t>Unknown (Unknown). Medical Progress: Breast cancer. Review Article. NEJM, 319-28.</w:t>
            </w:r>
          </w:p>
        </w:tc>
      </w:tr>
      <w:tr w:rsidR="00EF1E43" w:rsidRPr="00EF1E43" w14:paraId="7FDBD90B" w14:textId="77777777" w:rsidTr="00CC61F1">
        <w:trPr>
          <w:cantSplit/>
        </w:trPr>
        <w:tc>
          <w:tcPr>
            <w:tcW w:w="1555" w:type="dxa"/>
            <w:shd w:val="clear" w:color="auto" w:fill="FFFFFF" w:themeFill="background1"/>
            <w:noWrap/>
            <w:vAlign w:val="center"/>
            <w:hideMark/>
          </w:tcPr>
          <w:p w14:paraId="03E9F9CD" w14:textId="77777777" w:rsidR="00FF0F9B" w:rsidRPr="00EF1E43" w:rsidRDefault="00FF0F9B" w:rsidP="00374F41">
            <w:pPr>
              <w:jc w:val="center"/>
              <w:rPr>
                <w:sz w:val="24"/>
              </w:rPr>
            </w:pPr>
            <w:r w:rsidRPr="00EF1E43">
              <w:rPr>
                <w:sz w:val="24"/>
              </w:rPr>
              <w:t>60305</w:t>
            </w:r>
          </w:p>
        </w:tc>
        <w:tc>
          <w:tcPr>
            <w:tcW w:w="7371" w:type="dxa"/>
            <w:shd w:val="clear" w:color="auto" w:fill="FFFFFF" w:themeFill="background1"/>
            <w:vAlign w:val="center"/>
            <w:hideMark/>
          </w:tcPr>
          <w:p w14:paraId="4220D017" w14:textId="77777777" w:rsidR="00FF0F9B" w:rsidRPr="00EF1E43" w:rsidRDefault="00FF0F9B" w:rsidP="00374F41">
            <w:pPr>
              <w:rPr>
                <w:sz w:val="24"/>
              </w:rPr>
            </w:pPr>
            <w:r w:rsidRPr="00EF1E43">
              <w:rPr>
                <w:sz w:val="24"/>
              </w:rPr>
              <w:t>UNSCEAR (2008). Effects of ionizing radiation. UNSCEAR 2006 Report. United Nations Scientific Committee on the Effects of Atomic Radiation, Volume 1: 87-91. United Nations Publication.</w:t>
            </w:r>
          </w:p>
        </w:tc>
      </w:tr>
      <w:tr w:rsidR="00EF1E43" w:rsidRPr="00EF1E43" w14:paraId="6430700F" w14:textId="77777777" w:rsidTr="00CC61F1">
        <w:trPr>
          <w:cantSplit/>
        </w:trPr>
        <w:tc>
          <w:tcPr>
            <w:tcW w:w="1555" w:type="dxa"/>
            <w:shd w:val="clear" w:color="auto" w:fill="FFFFFF" w:themeFill="background1"/>
            <w:noWrap/>
            <w:vAlign w:val="center"/>
            <w:hideMark/>
          </w:tcPr>
          <w:p w14:paraId="30228145" w14:textId="77777777" w:rsidR="00FF0F9B" w:rsidRPr="00EF1E43" w:rsidRDefault="00FF0F9B" w:rsidP="00374F41">
            <w:pPr>
              <w:jc w:val="center"/>
              <w:rPr>
                <w:sz w:val="24"/>
              </w:rPr>
            </w:pPr>
            <w:r w:rsidRPr="00EF1E43">
              <w:rPr>
                <w:sz w:val="24"/>
              </w:rPr>
              <w:t>60185</w:t>
            </w:r>
          </w:p>
        </w:tc>
        <w:tc>
          <w:tcPr>
            <w:tcW w:w="7371" w:type="dxa"/>
            <w:shd w:val="clear" w:color="auto" w:fill="FFFFFF" w:themeFill="background1"/>
            <w:vAlign w:val="center"/>
            <w:hideMark/>
          </w:tcPr>
          <w:p w14:paraId="36C5FABA" w14:textId="77777777" w:rsidR="00FF0F9B" w:rsidRPr="00EF1E43" w:rsidRDefault="00FF0F9B" w:rsidP="00374F41">
            <w:pPr>
              <w:rPr>
                <w:sz w:val="24"/>
              </w:rPr>
            </w:pPr>
            <w:r w:rsidRPr="00EF1E43">
              <w:rPr>
                <w:sz w:val="24"/>
              </w:rPr>
              <w:t>UNSCEAR (2008). Effects of Ionizing Radiation. UNSCEAR 2006 Report. United Nations Scientific Committee on the Effects of Atomic Radiation, Volume 1: 70-81. United Nations Publication.</w:t>
            </w:r>
          </w:p>
        </w:tc>
      </w:tr>
      <w:tr w:rsidR="00EF1E43" w:rsidRPr="00EF1E43" w14:paraId="57C6A2A4" w14:textId="77777777" w:rsidTr="00CC61F1">
        <w:trPr>
          <w:cantSplit/>
        </w:trPr>
        <w:tc>
          <w:tcPr>
            <w:tcW w:w="1555" w:type="dxa"/>
            <w:shd w:val="clear" w:color="auto" w:fill="FFFFFF" w:themeFill="background1"/>
            <w:noWrap/>
            <w:vAlign w:val="center"/>
            <w:hideMark/>
          </w:tcPr>
          <w:p w14:paraId="3147DC06" w14:textId="77777777" w:rsidR="00FF0F9B" w:rsidRPr="00EF1E43" w:rsidRDefault="00FF0F9B" w:rsidP="00374F41">
            <w:pPr>
              <w:jc w:val="center"/>
              <w:rPr>
                <w:sz w:val="24"/>
              </w:rPr>
            </w:pPr>
            <w:r w:rsidRPr="00EF1E43">
              <w:rPr>
                <w:sz w:val="24"/>
              </w:rPr>
              <w:lastRenderedPageBreak/>
              <w:t>81880</w:t>
            </w:r>
          </w:p>
        </w:tc>
        <w:tc>
          <w:tcPr>
            <w:tcW w:w="7371" w:type="dxa"/>
            <w:shd w:val="clear" w:color="auto" w:fill="FFFFFF" w:themeFill="background1"/>
            <w:vAlign w:val="center"/>
            <w:hideMark/>
          </w:tcPr>
          <w:p w14:paraId="2CD08D3A" w14:textId="77777777" w:rsidR="00FF0F9B" w:rsidRPr="00EF1E43" w:rsidRDefault="00FF0F9B" w:rsidP="00374F41">
            <w:pPr>
              <w:rPr>
                <w:sz w:val="24"/>
              </w:rPr>
            </w:pPr>
            <w:r w:rsidRPr="00EF1E43">
              <w:rPr>
                <w:sz w:val="24"/>
              </w:rPr>
              <w:t>Urban M, Banks E, Egger S, et al (2012). Injectable and oral contraceptive use and cancers of the breast, cervix, ovary, and endometrium in black South African women: case-control study. PLoS Med, 9(3): e1001182.</w:t>
            </w:r>
          </w:p>
        </w:tc>
      </w:tr>
      <w:tr w:rsidR="00EF1E43" w:rsidRPr="00EF1E43" w14:paraId="02CCFD34" w14:textId="77777777" w:rsidTr="00CC61F1">
        <w:trPr>
          <w:cantSplit/>
        </w:trPr>
        <w:tc>
          <w:tcPr>
            <w:tcW w:w="1555" w:type="dxa"/>
            <w:shd w:val="clear" w:color="auto" w:fill="FFFFFF" w:themeFill="background1"/>
            <w:noWrap/>
            <w:vAlign w:val="center"/>
            <w:hideMark/>
          </w:tcPr>
          <w:p w14:paraId="7A5A4CBC" w14:textId="77777777" w:rsidR="00FF0F9B" w:rsidRPr="00EF1E43" w:rsidRDefault="00FF0F9B" w:rsidP="00374F41">
            <w:pPr>
              <w:jc w:val="center"/>
              <w:rPr>
                <w:sz w:val="24"/>
              </w:rPr>
            </w:pPr>
            <w:r w:rsidRPr="00EF1E43">
              <w:rPr>
                <w:sz w:val="24"/>
              </w:rPr>
              <w:t>35733</w:t>
            </w:r>
          </w:p>
        </w:tc>
        <w:tc>
          <w:tcPr>
            <w:tcW w:w="7371" w:type="dxa"/>
            <w:shd w:val="clear" w:color="auto" w:fill="FFFFFF" w:themeFill="background1"/>
            <w:vAlign w:val="center"/>
            <w:hideMark/>
          </w:tcPr>
          <w:p w14:paraId="753EBC5C" w14:textId="77777777" w:rsidR="00FF0F9B" w:rsidRPr="00EF1E43" w:rsidRDefault="00FF0F9B" w:rsidP="00374F41">
            <w:pPr>
              <w:rPr>
                <w:sz w:val="24"/>
              </w:rPr>
            </w:pPr>
            <w:r w:rsidRPr="00EF1E43">
              <w:rPr>
                <w:sz w:val="24"/>
              </w:rPr>
              <w:t>Ursin G, Bernstein L, Wang Y, et al (2004). Reproductive factors and risk of breast carcinoma in a study of white and African-American women. Cancer, 101: 353-62.</w:t>
            </w:r>
          </w:p>
        </w:tc>
      </w:tr>
      <w:tr w:rsidR="00EF1E43" w:rsidRPr="00EF1E43" w14:paraId="2B0C0682" w14:textId="77777777" w:rsidTr="00CC61F1">
        <w:trPr>
          <w:cantSplit/>
        </w:trPr>
        <w:tc>
          <w:tcPr>
            <w:tcW w:w="1555" w:type="dxa"/>
            <w:shd w:val="clear" w:color="auto" w:fill="FFFFFF" w:themeFill="background1"/>
            <w:noWrap/>
            <w:vAlign w:val="center"/>
            <w:hideMark/>
          </w:tcPr>
          <w:p w14:paraId="0D1A5709" w14:textId="77777777" w:rsidR="00FF0F9B" w:rsidRPr="00EF1E43" w:rsidRDefault="00FF0F9B" w:rsidP="00374F41">
            <w:pPr>
              <w:jc w:val="center"/>
              <w:rPr>
                <w:sz w:val="24"/>
              </w:rPr>
            </w:pPr>
            <w:r w:rsidRPr="00EF1E43">
              <w:rPr>
                <w:sz w:val="24"/>
              </w:rPr>
              <w:t>9269</w:t>
            </w:r>
          </w:p>
        </w:tc>
        <w:tc>
          <w:tcPr>
            <w:tcW w:w="7371" w:type="dxa"/>
            <w:shd w:val="clear" w:color="auto" w:fill="FFFFFF" w:themeFill="background1"/>
            <w:vAlign w:val="center"/>
            <w:hideMark/>
          </w:tcPr>
          <w:p w14:paraId="4689AF04" w14:textId="77777777" w:rsidR="00FF0F9B" w:rsidRPr="00EF1E43" w:rsidRDefault="00FF0F9B" w:rsidP="00374F41">
            <w:pPr>
              <w:rPr>
                <w:sz w:val="24"/>
              </w:rPr>
            </w:pPr>
            <w:r w:rsidRPr="00EF1E43">
              <w:rPr>
                <w:sz w:val="24"/>
              </w:rPr>
              <w:t>Ursin G, Longnecker MP, Haile RW, et al (1995). A meta-analysis of body mass index and risk of premenopausal breast cancer. Epidemiology, 6: 137-41.</w:t>
            </w:r>
          </w:p>
        </w:tc>
      </w:tr>
      <w:tr w:rsidR="00EF1E43" w:rsidRPr="00EF1E43" w14:paraId="5645F1F0" w14:textId="77777777" w:rsidTr="00CC61F1">
        <w:trPr>
          <w:cantSplit/>
        </w:trPr>
        <w:tc>
          <w:tcPr>
            <w:tcW w:w="1555" w:type="dxa"/>
            <w:shd w:val="clear" w:color="auto" w:fill="FFFFFF" w:themeFill="background1"/>
            <w:noWrap/>
            <w:vAlign w:val="center"/>
            <w:hideMark/>
          </w:tcPr>
          <w:p w14:paraId="07628086" w14:textId="77777777" w:rsidR="00FF0F9B" w:rsidRPr="00EF1E43" w:rsidRDefault="00FF0F9B" w:rsidP="00374F41">
            <w:pPr>
              <w:jc w:val="center"/>
              <w:rPr>
                <w:sz w:val="24"/>
              </w:rPr>
            </w:pPr>
            <w:r w:rsidRPr="00EF1E43">
              <w:rPr>
                <w:sz w:val="24"/>
              </w:rPr>
              <w:t>35829</w:t>
            </w:r>
          </w:p>
        </w:tc>
        <w:tc>
          <w:tcPr>
            <w:tcW w:w="7371" w:type="dxa"/>
            <w:shd w:val="clear" w:color="auto" w:fill="FFFFFF" w:themeFill="background1"/>
            <w:vAlign w:val="center"/>
            <w:hideMark/>
          </w:tcPr>
          <w:p w14:paraId="68E9393E" w14:textId="77777777" w:rsidR="00FF0F9B" w:rsidRPr="00EF1E43" w:rsidRDefault="00FF0F9B" w:rsidP="00374F41">
            <w:pPr>
              <w:rPr>
                <w:sz w:val="24"/>
              </w:rPr>
            </w:pPr>
            <w:r w:rsidRPr="00EF1E43">
              <w:rPr>
                <w:sz w:val="24"/>
              </w:rPr>
              <w:t>van den Brandt PA, Goldbohm RA, van 't Veer P (1995). Alcohol and breast cancer: results from The Netherlands Cohort Study. American Journal of Epidemiology, 141(10): 907-15.</w:t>
            </w:r>
          </w:p>
        </w:tc>
      </w:tr>
      <w:tr w:rsidR="00EF1E43" w:rsidRPr="00EF1E43" w14:paraId="54C8E4EC" w14:textId="77777777" w:rsidTr="00CC61F1">
        <w:trPr>
          <w:cantSplit/>
        </w:trPr>
        <w:tc>
          <w:tcPr>
            <w:tcW w:w="1555" w:type="dxa"/>
            <w:shd w:val="clear" w:color="auto" w:fill="FFFFFF" w:themeFill="background1"/>
            <w:noWrap/>
            <w:vAlign w:val="center"/>
            <w:hideMark/>
          </w:tcPr>
          <w:p w14:paraId="545F6C0A" w14:textId="77777777" w:rsidR="00FF0F9B" w:rsidRPr="00EF1E43" w:rsidRDefault="00FF0F9B" w:rsidP="00374F41">
            <w:pPr>
              <w:jc w:val="center"/>
              <w:rPr>
                <w:sz w:val="24"/>
              </w:rPr>
            </w:pPr>
            <w:r w:rsidRPr="00EF1E43">
              <w:rPr>
                <w:sz w:val="24"/>
              </w:rPr>
              <w:t>28170</w:t>
            </w:r>
          </w:p>
        </w:tc>
        <w:tc>
          <w:tcPr>
            <w:tcW w:w="7371" w:type="dxa"/>
            <w:shd w:val="clear" w:color="auto" w:fill="FFFFFF" w:themeFill="background1"/>
            <w:vAlign w:val="center"/>
            <w:hideMark/>
          </w:tcPr>
          <w:p w14:paraId="6BC08C07" w14:textId="77777777" w:rsidR="00FF0F9B" w:rsidRPr="00EF1E43" w:rsidRDefault="00FF0F9B" w:rsidP="00374F41">
            <w:pPr>
              <w:rPr>
                <w:sz w:val="24"/>
              </w:rPr>
            </w:pPr>
            <w:r w:rsidRPr="00EF1E43">
              <w:rPr>
                <w:sz w:val="24"/>
              </w:rPr>
              <w:t>van den Heuvel MW, van Bragt AJ, Alnabawy AK, et al (2005). Comparison of ethinylestradiol pharmacokinetics in three hormonal contraceptive formulations: the vaginal ring, the transdermal patch and an oral contraceptive. Contraception, 72(3): 168-74.</w:t>
            </w:r>
          </w:p>
        </w:tc>
      </w:tr>
      <w:tr w:rsidR="00EF1E43" w:rsidRPr="00EF1E43" w14:paraId="152804FE" w14:textId="77777777" w:rsidTr="00CC61F1">
        <w:trPr>
          <w:cantSplit/>
        </w:trPr>
        <w:tc>
          <w:tcPr>
            <w:tcW w:w="1555" w:type="dxa"/>
            <w:shd w:val="clear" w:color="auto" w:fill="FFFFFF" w:themeFill="background1"/>
            <w:noWrap/>
            <w:vAlign w:val="center"/>
            <w:hideMark/>
          </w:tcPr>
          <w:p w14:paraId="3A031FA8" w14:textId="77777777" w:rsidR="00FF0F9B" w:rsidRPr="00EF1E43" w:rsidRDefault="00FF0F9B" w:rsidP="00374F41">
            <w:pPr>
              <w:jc w:val="center"/>
              <w:rPr>
                <w:sz w:val="24"/>
              </w:rPr>
            </w:pPr>
            <w:r w:rsidRPr="00EF1E43">
              <w:rPr>
                <w:sz w:val="24"/>
              </w:rPr>
              <w:t>35589</w:t>
            </w:r>
          </w:p>
        </w:tc>
        <w:tc>
          <w:tcPr>
            <w:tcW w:w="7371" w:type="dxa"/>
            <w:shd w:val="clear" w:color="auto" w:fill="FFFFFF" w:themeFill="background1"/>
            <w:vAlign w:val="center"/>
            <w:hideMark/>
          </w:tcPr>
          <w:p w14:paraId="24E2356B" w14:textId="77777777" w:rsidR="00FF0F9B" w:rsidRPr="00EF1E43" w:rsidRDefault="00FF0F9B" w:rsidP="00374F41">
            <w:pPr>
              <w:rPr>
                <w:sz w:val="24"/>
              </w:rPr>
            </w:pPr>
            <w:r w:rsidRPr="00EF1E43">
              <w:rPr>
                <w:sz w:val="24"/>
              </w:rPr>
              <w:t>van Leeuwen FE, Klokman WJ, Stovall, M, et al (2003). Roles of radiation dose, chemotherapy, and hormonal factors in breast cancer following Hodgkin's Disease. J Natl Cancer Inst, 95: 971-80.</w:t>
            </w:r>
          </w:p>
        </w:tc>
      </w:tr>
      <w:tr w:rsidR="00EF1E43" w:rsidRPr="00EF1E43" w14:paraId="4AA5AB05" w14:textId="77777777" w:rsidTr="00CC61F1">
        <w:trPr>
          <w:cantSplit/>
        </w:trPr>
        <w:tc>
          <w:tcPr>
            <w:tcW w:w="1555" w:type="dxa"/>
            <w:shd w:val="clear" w:color="auto" w:fill="FFFFFF" w:themeFill="background1"/>
            <w:noWrap/>
            <w:vAlign w:val="center"/>
            <w:hideMark/>
          </w:tcPr>
          <w:p w14:paraId="3B5443D0" w14:textId="77777777" w:rsidR="00FF0F9B" w:rsidRPr="00EF1E43" w:rsidRDefault="00FF0F9B" w:rsidP="00374F41">
            <w:pPr>
              <w:jc w:val="center"/>
              <w:rPr>
                <w:sz w:val="24"/>
              </w:rPr>
            </w:pPr>
            <w:r w:rsidRPr="00EF1E43">
              <w:rPr>
                <w:sz w:val="24"/>
              </w:rPr>
              <w:t>71689</w:t>
            </w:r>
          </w:p>
        </w:tc>
        <w:tc>
          <w:tcPr>
            <w:tcW w:w="7371" w:type="dxa"/>
            <w:shd w:val="clear" w:color="auto" w:fill="FFFFFF" w:themeFill="background1"/>
            <w:vAlign w:val="center"/>
            <w:hideMark/>
          </w:tcPr>
          <w:p w14:paraId="2ABA5D9A" w14:textId="77777777" w:rsidR="00FF0F9B" w:rsidRPr="00EF1E43" w:rsidRDefault="00FF0F9B" w:rsidP="00374F41">
            <w:pPr>
              <w:rPr>
                <w:sz w:val="24"/>
              </w:rPr>
            </w:pPr>
            <w:r w:rsidRPr="00EF1E43">
              <w:rPr>
                <w:sz w:val="24"/>
              </w:rPr>
              <w:t>Vanderstraeten J, Verschaeve L, Burda H, et al (2012). Health effects of extremely low-frequency magnetic fields: reconsidering the melatonin hypothesis in the light of current data on magnatoreception. J Appl Toxicol, 32(12): 952-8.</w:t>
            </w:r>
          </w:p>
        </w:tc>
      </w:tr>
      <w:tr w:rsidR="00EF1E43" w:rsidRPr="00EF1E43" w14:paraId="5014A5B1" w14:textId="77777777" w:rsidTr="00CC61F1">
        <w:trPr>
          <w:cantSplit/>
        </w:trPr>
        <w:tc>
          <w:tcPr>
            <w:tcW w:w="1555" w:type="dxa"/>
            <w:shd w:val="clear" w:color="auto" w:fill="FFFFFF" w:themeFill="background1"/>
            <w:noWrap/>
            <w:vAlign w:val="center"/>
            <w:hideMark/>
          </w:tcPr>
          <w:p w14:paraId="509EC2FF" w14:textId="77777777" w:rsidR="00FF0F9B" w:rsidRPr="00EF1E43" w:rsidRDefault="00FF0F9B" w:rsidP="00374F41">
            <w:pPr>
              <w:jc w:val="center"/>
              <w:rPr>
                <w:sz w:val="24"/>
              </w:rPr>
            </w:pPr>
            <w:r w:rsidRPr="00EF1E43">
              <w:rPr>
                <w:sz w:val="24"/>
              </w:rPr>
              <w:t>9591</w:t>
            </w:r>
          </w:p>
        </w:tc>
        <w:tc>
          <w:tcPr>
            <w:tcW w:w="7371" w:type="dxa"/>
            <w:shd w:val="clear" w:color="auto" w:fill="FFFFFF" w:themeFill="background1"/>
            <w:vAlign w:val="center"/>
            <w:hideMark/>
          </w:tcPr>
          <w:p w14:paraId="75AB84DA" w14:textId="77777777" w:rsidR="00FF0F9B" w:rsidRPr="00EF1E43" w:rsidRDefault="00FF0F9B" w:rsidP="00374F41">
            <w:pPr>
              <w:rPr>
                <w:sz w:val="24"/>
              </w:rPr>
            </w:pPr>
            <w:r w:rsidRPr="00EF1E43">
              <w:rPr>
                <w:sz w:val="24"/>
              </w:rPr>
              <w:t>Venn A, Watson L, Lumley J, et al (1995). Breast and ovarian cancer incidence after infertility and in vitro fertilisation. Lancet, 346(8981): 995-1000.</w:t>
            </w:r>
          </w:p>
        </w:tc>
      </w:tr>
      <w:tr w:rsidR="00EF1E43" w:rsidRPr="00EF1E43" w14:paraId="2F7EC384" w14:textId="77777777" w:rsidTr="00CC61F1">
        <w:trPr>
          <w:cantSplit/>
        </w:trPr>
        <w:tc>
          <w:tcPr>
            <w:tcW w:w="1555" w:type="dxa"/>
            <w:shd w:val="clear" w:color="auto" w:fill="FFFFFF" w:themeFill="background1"/>
            <w:noWrap/>
            <w:vAlign w:val="center"/>
            <w:hideMark/>
          </w:tcPr>
          <w:p w14:paraId="432552F0" w14:textId="77777777" w:rsidR="00FF0F9B" w:rsidRPr="00EF1E43" w:rsidRDefault="00FF0F9B" w:rsidP="00374F41">
            <w:pPr>
              <w:jc w:val="center"/>
              <w:rPr>
                <w:sz w:val="24"/>
              </w:rPr>
            </w:pPr>
            <w:r w:rsidRPr="00EF1E43">
              <w:rPr>
                <w:sz w:val="24"/>
              </w:rPr>
              <w:t>71690</w:t>
            </w:r>
          </w:p>
        </w:tc>
        <w:tc>
          <w:tcPr>
            <w:tcW w:w="7371" w:type="dxa"/>
            <w:shd w:val="clear" w:color="auto" w:fill="FFFFFF" w:themeFill="background1"/>
            <w:vAlign w:val="center"/>
            <w:hideMark/>
          </w:tcPr>
          <w:p w14:paraId="09EBA0A6" w14:textId="77777777" w:rsidR="00FF0F9B" w:rsidRPr="00EF1E43" w:rsidRDefault="00FF0F9B" w:rsidP="00374F41">
            <w:pPr>
              <w:rPr>
                <w:sz w:val="24"/>
              </w:rPr>
            </w:pPr>
            <w:r w:rsidRPr="00EF1E43">
              <w:rPr>
                <w:sz w:val="24"/>
              </w:rPr>
              <w:t>Vera-Ramirez L, Ramirez-Tortosa MC, Sanchez-Rovira P, et al (2013). Impact of diet on breast cancer risk: a review of experimental and observational studies. Critical Reviews in Food Science and Nutrition, 53(1): 49-75.</w:t>
            </w:r>
          </w:p>
        </w:tc>
      </w:tr>
      <w:tr w:rsidR="00EF1E43" w:rsidRPr="00EF1E43" w14:paraId="028CC917" w14:textId="77777777" w:rsidTr="00CC61F1">
        <w:trPr>
          <w:cantSplit/>
        </w:trPr>
        <w:tc>
          <w:tcPr>
            <w:tcW w:w="1555" w:type="dxa"/>
            <w:shd w:val="clear" w:color="auto" w:fill="FFFFFF" w:themeFill="background1"/>
            <w:noWrap/>
            <w:vAlign w:val="center"/>
            <w:hideMark/>
          </w:tcPr>
          <w:p w14:paraId="2D1F762C" w14:textId="77777777" w:rsidR="00FF0F9B" w:rsidRPr="00EF1E43" w:rsidRDefault="00FF0F9B" w:rsidP="00374F41">
            <w:pPr>
              <w:jc w:val="center"/>
              <w:rPr>
                <w:sz w:val="24"/>
              </w:rPr>
            </w:pPr>
            <w:r w:rsidRPr="00EF1E43">
              <w:rPr>
                <w:sz w:val="24"/>
              </w:rPr>
              <w:t>37132</w:t>
            </w:r>
          </w:p>
        </w:tc>
        <w:tc>
          <w:tcPr>
            <w:tcW w:w="7371" w:type="dxa"/>
            <w:shd w:val="clear" w:color="auto" w:fill="FFFFFF" w:themeFill="background1"/>
            <w:vAlign w:val="center"/>
            <w:hideMark/>
          </w:tcPr>
          <w:p w14:paraId="2B0539F2" w14:textId="77777777" w:rsidR="00FF0F9B" w:rsidRPr="00EF1E43" w:rsidRDefault="00FF0F9B" w:rsidP="00374F41">
            <w:pPr>
              <w:rPr>
                <w:sz w:val="24"/>
              </w:rPr>
            </w:pPr>
            <w:r w:rsidRPr="00EF1E43">
              <w:rPr>
                <w:sz w:val="24"/>
              </w:rPr>
              <w:t>Verloop J, Rookus MA, van der Kooy K, et al (2000). Physical activity and breast cancer risk in women aged 20-54 years. JNCI, 92(2): 128-35.</w:t>
            </w:r>
          </w:p>
        </w:tc>
      </w:tr>
      <w:tr w:rsidR="00EF1E43" w:rsidRPr="00EF1E43" w14:paraId="7F32CE4A" w14:textId="77777777" w:rsidTr="00CC61F1">
        <w:trPr>
          <w:cantSplit/>
        </w:trPr>
        <w:tc>
          <w:tcPr>
            <w:tcW w:w="1555" w:type="dxa"/>
            <w:shd w:val="clear" w:color="auto" w:fill="FFFFFF" w:themeFill="background1"/>
            <w:noWrap/>
            <w:vAlign w:val="center"/>
            <w:hideMark/>
          </w:tcPr>
          <w:p w14:paraId="6E0B3877" w14:textId="77777777" w:rsidR="00FF0F9B" w:rsidRPr="00EF1E43" w:rsidRDefault="00FF0F9B" w:rsidP="00374F41">
            <w:pPr>
              <w:jc w:val="center"/>
              <w:rPr>
                <w:sz w:val="24"/>
              </w:rPr>
            </w:pPr>
            <w:r w:rsidRPr="00EF1E43">
              <w:rPr>
                <w:sz w:val="24"/>
              </w:rPr>
              <w:t>9271</w:t>
            </w:r>
          </w:p>
        </w:tc>
        <w:tc>
          <w:tcPr>
            <w:tcW w:w="7371" w:type="dxa"/>
            <w:shd w:val="clear" w:color="auto" w:fill="FFFFFF" w:themeFill="background1"/>
            <w:vAlign w:val="center"/>
            <w:hideMark/>
          </w:tcPr>
          <w:p w14:paraId="3F822784" w14:textId="77777777" w:rsidR="00FF0F9B" w:rsidRPr="00EF1E43" w:rsidRDefault="00FF0F9B" w:rsidP="00374F41">
            <w:pPr>
              <w:rPr>
                <w:sz w:val="24"/>
              </w:rPr>
            </w:pPr>
            <w:r w:rsidRPr="00EF1E43">
              <w:rPr>
                <w:sz w:val="24"/>
              </w:rPr>
              <w:t>Veronesi U, Goldhirsch A, Yarnold J (1995). Breast cancer. Oxford Textbook of Oncology, 2nd Edition, 8: 1243-1245, 1282-1289. Oxford University Press Inc, New York.</w:t>
            </w:r>
          </w:p>
        </w:tc>
      </w:tr>
      <w:tr w:rsidR="00EF1E43" w:rsidRPr="00EF1E43" w14:paraId="1376D75D" w14:textId="77777777" w:rsidTr="00CC61F1">
        <w:trPr>
          <w:cantSplit/>
        </w:trPr>
        <w:tc>
          <w:tcPr>
            <w:tcW w:w="1555" w:type="dxa"/>
            <w:shd w:val="clear" w:color="auto" w:fill="FFFFFF" w:themeFill="background1"/>
            <w:noWrap/>
            <w:vAlign w:val="center"/>
            <w:hideMark/>
          </w:tcPr>
          <w:p w14:paraId="5B20D6D5" w14:textId="77777777" w:rsidR="00FF0F9B" w:rsidRPr="00EF1E43" w:rsidRDefault="00FF0F9B" w:rsidP="00374F41">
            <w:pPr>
              <w:jc w:val="center"/>
              <w:rPr>
                <w:sz w:val="24"/>
              </w:rPr>
            </w:pPr>
            <w:r w:rsidRPr="00EF1E43">
              <w:rPr>
                <w:sz w:val="24"/>
              </w:rPr>
              <w:t>9272</w:t>
            </w:r>
          </w:p>
        </w:tc>
        <w:tc>
          <w:tcPr>
            <w:tcW w:w="7371" w:type="dxa"/>
            <w:shd w:val="clear" w:color="auto" w:fill="FFFFFF" w:themeFill="background1"/>
            <w:vAlign w:val="center"/>
            <w:hideMark/>
          </w:tcPr>
          <w:p w14:paraId="15DE7D3A" w14:textId="77777777" w:rsidR="00FF0F9B" w:rsidRPr="00EF1E43" w:rsidRDefault="00FF0F9B" w:rsidP="00374F41">
            <w:pPr>
              <w:rPr>
                <w:sz w:val="24"/>
              </w:rPr>
            </w:pPr>
            <w:r w:rsidRPr="00EF1E43">
              <w:rPr>
                <w:sz w:val="24"/>
              </w:rPr>
              <w:t>Vessey MP (1987). Benefits and risks of oral contraceptives. Oxford Textbook of Medicine, 2nd Edition, 1 11: 11.2-11.4. Oxford University Press, New York.</w:t>
            </w:r>
          </w:p>
        </w:tc>
      </w:tr>
      <w:tr w:rsidR="00EF1E43" w:rsidRPr="00EF1E43" w14:paraId="3285A9E6" w14:textId="77777777" w:rsidTr="00CC61F1">
        <w:trPr>
          <w:cantSplit/>
        </w:trPr>
        <w:tc>
          <w:tcPr>
            <w:tcW w:w="1555" w:type="dxa"/>
            <w:shd w:val="clear" w:color="auto" w:fill="FFFFFF" w:themeFill="background1"/>
            <w:noWrap/>
            <w:vAlign w:val="center"/>
            <w:hideMark/>
          </w:tcPr>
          <w:p w14:paraId="5130D497" w14:textId="77777777" w:rsidR="00FF0F9B" w:rsidRPr="00EF1E43" w:rsidRDefault="00FF0F9B" w:rsidP="00374F41">
            <w:pPr>
              <w:jc w:val="center"/>
              <w:rPr>
                <w:sz w:val="24"/>
              </w:rPr>
            </w:pPr>
            <w:r w:rsidRPr="00EF1E43">
              <w:rPr>
                <w:sz w:val="24"/>
              </w:rPr>
              <w:t>80740</w:t>
            </w:r>
          </w:p>
        </w:tc>
        <w:tc>
          <w:tcPr>
            <w:tcW w:w="7371" w:type="dxa"/>
            <w:shd w:val="clear" w:color="auto" w:fill="FFFFFF" w:themeFill="background1"/>
            <w:vAlign w:val="center"/>
            <w:hideMark/>
          </w:tcPr>
          <w:p w14:paraId="59587B79" w14:textId="77777777" w:rsidR="00FF0F9B" w:rsidRPr="00EF1E43" w:rsidRDefault="00FF0F9B" w:rsidP="00374F41">
            <w:pPr>
              <w:rPr>
                <w:sz w:val="24"/>
              </w:rPr>
            </w:pPr>
            <w:r w:rsidRPr="00EF1E43">
              <w:rPr>
                <w:sz w:val="24"/>
              </w:rPr>
              <w:t>Wadas TJ, Pandya DN, Solingapuram Sai KK, et al (2014). Molecular targeted alpha-particle therapy for oncologic applications. AJR Am J Roentgenol, 203(2): 253-60.</w:t>
            </w:r>
          </w:p>
        </w:tc>
      </w:tr>
      <w:tr w:rsidR="00EF1E43" w:rsidRPr="00EF1E43" w14:paraId="6EC92F26" w14:textId="77777777" w:rsidTr="00CC61F1">
        <w:trPr>
          <w:cantSplit/>
        </w:trPr>
        <w:tc>
          <w:tcPr>
            <w:tcW w:w="1555" w:type="dxa"/>
            <w:shd w:val="clear" w:color="auto" w:fill="FFFFFF" w:themeFill="background1"/>
            <w:noWrap/>
            <w:vAlign w:val="center"/>
            <w:hideMark/>
          </w:tcPr>
          <w:p w14:paraId="4CD3A755" w14:textId="77777777" w:rsidR="00FF0F9B" w:rsidRPr="00EF1E43" w:rsidRDefault="00FF0F9B" w:rsidP="00374F41">
            <w:pPr>
              <w:jc w:val="center"/>
              <w:rPr>
                <w:sz w:val="24"/>
              </w:rPr>
            </w:pPr>
            <w:r w:rsidRPr="00EF1E43">
              <w:rPr>
                <w:sz w:val="24"/>
              </w:rPr>
              <w:t>35593</w:t>
            </w:r>
          </w:p>
        </w:tc>
        <w:tc>
          <w:tcPr>
            <w:tcW w:w="7371" w:type="dxa"/>
            <w:shd w:val="clear" w:color="auto" w:fill="FFFFFF" w:themeFill="background1"/>
            <w:vAlign w:val="center"/>
            <w:hideMark/>
          </w:tcPr>
          <w:p w14:paraId="6EC74C5B" w14:textId="77777777" w:rsidR="00FF0F9B" w:rsidRPr="00EF1E43" w:rsidRDefault="00FF0F9B" w:rsidP="00374F41">
            <w:pPr>
              <w:rPr>
                <w:sz w:val="24"/>
              </w:rPr>
            </w:pPr>
            <w:r w:rsidRPr="00EF1E43">
              <w:rPr>
                <w:sz w:val="24"/>
              </w:rPr>
              <w:t>Wahner-Roedler DL, Nelson DF, et al (2003). Risk of breast cancer and breast cancer characteristics in women treated with supradiaphragmatic radiation for Hodgkin Lymphoma: Mayo Clinic experience. Mayo Clinic Proceedings, 78(6): 708-15.</w:t>
            </w:r>
          </w:p>
        </w:tc>
      </w:tr>
      <w:tr w:rsidR="00EF1E43" w:rsidRPr="00EF1E43" w14:paraId="3CAC542F" w14:textId="77777777" w:rsidTr="00CC61F1">
        <w:trPr>
          <w:cantSplit/>
        </w:trPr>
        <w:tc>
          <w:tcPr>
            <w:tcW w:w="1555" w:type="dxa"/>
            <w:shd w:val="clear" w:color="auto" w:fill="FFFFFF" w:themeFill="background1"/>
            <w:noWrap/>
            <w:vAlign w:val="center"/>
            <w:hideMark/>
          </w:tcPr>
          <w:p w14:paraId="3722BAD1" w14:textId="77777777" w:rsidR="00FF0F9B" w:rsidRPr="00EF1E43" w:rsidRDefault="00FF0F9B" w:rsidP="00374F41">
            <w:pPr>
              <w:jc w:val="center"/>
              <w:rPr>
                <w:sz w:val="24"/>
              </w:rPr>
            </w:pPr>
            <w:r w:rsidRPr="00EF1E43">
              <w:rPr>
                <w:sz w:val="24"/>
              </w:rPr>
              <w:lastRenderedPageBreak/>
              <w:t>59011</w:t>
            </w:r>
          </w:p>
        </w:tc>
        <w:tc>
          <w:tcPr>
            <w:tcW w:w="7371" w:type="dxa"/>
            <w:shd w:val="clear" w:color="auto" w:fill="FFFFFF" w:themeFill="background1"/>
            <w:vAlign w:val="center"/>
            <w:hideMark/>
          </w:tcPr>
          <w:p w14:paraId="4A65C110" w14:textId="77777777" w:rsidR="00FF0F9B" w:rsidRPr="00EF1E43" w:rsidRDefault="00FF0F9B" w:rsidP="00374F41">
            <w:pPr>
              <w:rPr>
                <w:sz w:val="24"/>
              </w:rPr>
            </w:pPr>
            <w:r w:rsidRPr="00EF1E43">
              <w:rPr>
                <w:sz w:val="24"/>
              </w:rPr>
              <w:t>Wakeford R (2009). Radiation in the workplace-a review of studies of the risks of occupational exposure to ionising radiation. J Radiol Prot, 29(2A): A61-79.</w:t>
            </w:r>
          </w:p>
        </w:tc>
      </w:tr>
      <w:tr w:rsidR="00EF1E43" w:rsidRPr="00EF1E43" w14:paraId="6AE31BF2" w14:textId="77777777" w:rsidTr="00CC61F1">
        <w:trPr>
          <w:cantSplit/>
        </w:trPr>
        <w:tc>
          <w:tcPr>
            <w:tcW w:w="1555" w:type="dxa"/>
            <w:shd w:val="clear" w:color="auto" w:fill="FFFFFF" w:themeFill="background1"/>
            <w:noWrap/>
            <w:vAlign w:val="center"/>
            <w:hideMark/>
          </w:tcPr>
          <w:p w14:paraId="3A2672F4" w14:textId="77777777" w:rsidR="00FF0F9B" w:rsidRPr="00EF1E43" w:rsidRDefault="00FF0F9B" w:rsidP="00374F41">
            <w:pPr>
              <w:jc w:val="center"/>
              <w:rPr>
                <w:sz w:val="24"/>
              </w:rPr>
            </w:pPr>
            <w:r w:rsidRPr="00EF1E43">
              <w:rPr>
                <w:sz w:val="24"/>
              </w:rPr>
              <w:t>4701</w:t>
            </w:r>
          </w:p>
        </w:tc>
        <w:tc>
          <w:tcPr>
            <w:tcW w:w="7371" w:type="dxa"/>
            <w:shd w:val="clear" w:color="auto" w:fill="FFFFFF" w:themeFill="background1"/>
            <w:vAlign w:val="center"/>
            <w:hideMark/>
          </w:tcPr>
          <w:p w14:paraId="7014D959" w14:textId="77777777" w:rsidR="00FF0F9B" w:rsidRPr="00EF1E43" w:rsidRDefault="00FF0F9B" w:rsidP="00374F41">
            <w:pPr>
              <w:rPr>
                <w:sz w:val="24"/>
              </w:rPr>
            </w:pPr>
            <w:r w:rsidRPr="00EF1E43">
              <w:rPr>
                <w:sz w:val="24"/>
              </w:rPr>
              <w:t>Wanebo CK, Johnson KG, Sato K, et al (1968). Breast cancer after exposure to the atomic bombings of Hiroshima and Nagasaki. NEJM, 279(13): 667-71.</w:t>
            </w:r>
          </w:p>
        </w:tc>
      </w:tr>
      <w:tr w:rsidR="00EF1E43" w:rsidRPr="00EF1E43" w14:paraId="74D33CDC" w14:textId="77777777" w:rsidTr="00CC61F1">
        <w:trPr>
          <w:cantSplit/>
        </w:trPr>
        <w:tc>
          <w:tcPr>
            <w:tcW w:w="1555" w:type="dxa"/>
            <w:shd w:val="clear" w:color="auto" w:fill="FFFFFF" w:themeFill="background1"/>
            <w:noWrap/>
            <w:vAlign w:val="center"/>
            <w:hideMark/>
          </w:tcPr>
          <w:p w14:paraId="25B4136B" w14:textId="77777777" w:rsidR="00FF0F9B" w:rsidRPr="00EF1E43" w:rsidRDefault="00FF0F9B" w:rsidP="00374F41">
            <w:pPr>
              <w:jc w:val="center"/>
              <w:rPr>
                <w:sz w:val="24"/>
              </w:rPr>
            </w:pPr>
            <w:r w:rsidRPr="00EF1E43">
              <w:rPr>
                <w:sz w:val="24"/>
              </w:rPr>
              <w:t>71691</w:t>
            </w:r>
          </w:p>
        </w:tc>
        <w:tc>
          <w:tcPr>
            <w:tcW w:w="7371" w:type="dxa"/>
            <w:shd w:val="clear" w:color="auto" w:fill="FFFFFF" w:themeFill="background1"/>
            <w:vAlign w:val="center"/>
            <w:hideMark/>
          </w:tcPr>
          <w:p w14:paraId="0859B722" w14:textId="77777777" w:rsidR="00FF0F9B" w:rsidRPr="00EF1E43" w:rsidRDefault="00FF0F9B" w:rsidP="00374F41">
            <w:pPr>
              <w:rPr>
                <w:sz w:val="24"/>
              </w:rPr>
            </w:pPr>
            <w:r w:rsidRPr="00EF1E43">
              <w:rPr>
                <w:sz w:val="24"/>
              </w:rPr>
              <w:t>Wang F, Yeung KL, Chan WC, et al (2013). A meta-analysis on dose-response relationship between night shift work and the risk of breast cancer. Ann Oncol, 24(11): 2724-32.</w:t>
            </w:r>
          </w:p>
        </w:tc>
      </w:tr>
      <w:tr w:rsidR="00EF1E43" w:rsidRPr="00EF1E43" w14:paraId="47BC72A5" w14:textId="77777777" w:rsidTr="00CC61F1">
        <w:trPr>
          <w:cantSplit/>
        </w:trPr>
        <w:tc>
          <w:tcPr>
            <w:tcW w:w="1555" w:type="dxa"/>
            <w:shd w:val="clear" w:color="auto" w:fill="FFFFFF" w:themeFill="background1"/>
            <w:noWrap/>
            <w:vAlign w:val="center"/>
            <w:hideMark/>
          </w:tcPr>
          <w:p w14:paraId="66D2B5E3" w14:textId="77777777" w:rsidR="00FF0F9B" w:rsidRPr="00EF1E43" w:rsidRDefault="00FF0F9B" w:rsidP="00374F41">
            <w:pPr>
              <w:jc w:val="center"/>
              <w:rPr>
                <w:sz w:val="24"/>
              </w:rPr>
            </w:pPr>
            <w:r w:rsidRPr="00EF1E43">
              <w:rPr>
                <w:sz w:val="24"/>
              </w:rPr>
              <w:t>71710</w:t>
            </w:r>
          </w:p>
        </w:tc>
        <w:tc>
          <w:tcPr>
            <w:tcW w:w="7371" w:type="dxa"/>
            <w:shd w:val="clear" w:color="auto" w:fill="FFFFFF" w:themeFill="background1"/>
            <w:vAlign w:val="center"/>
            <w:hideMark/>
          </w:tcPr>
          <w:p w14:paraId="3C98A9F2" w14:textId="77777777" w:rsidR="00FF0F9B" w:rsidRPr="00EF1E43" w:rsidRDefault="00FF0F9B" w:rsidP="00374F41">
            <w:pPr>
              <w:rPr>
                <w:sz w:val="24"/>
              </w:rPr>
            </w:pPr>
            <w:r w:rsidRPr="00EF1E43">
              <w:rPr>
                <w:sz w:val="24"/>
              </w:rPr>
              <w:t>Wang T, Chang P, Wang L, et al (2012). The role of human papillomavirus infection in breast cancer. Med Oncol, 29: 48-55.</w:t>
            </w:r>
          </w:p>
        </w:tc>
      </w:tr>
      <w:tr w:rsidR="00EF1E43" w:rsidRPr="00EF1E43" w14:paraId="0EFE35C7" w14:textId="77777777" w:rsidTr="00CC61F1">
        <w:trPr>
          <w:cantSplit/>
        </w:trPr>
        <w:tc>
          <w:tcPr>
            <w:tcW w:w="1555" w:type="dxa"/>
            <w:shd w:val="clear" w:color="auto" w:fill="FFFFFF" w:themeFill="background1"/>
            <w:noWrap/>
            <w:vAlign w:val="center"/>
            <w:hideMark/>
          </w:tcPr>
          <w:p w14:paraId="2386F398" w14:textId="77777777" w:rsidR="00FF0F9B" w:rsidRPr="00EF1E43" w:rsidRDefault="00FF0F9B" w:rsidP="00374F41">
            <w:pPr>
              <w:jc w:val="center"/>
              <w:rPr>
                <w:sz w:val="24"/>
              </w:rPr>
            </w:pPr>
            <w:r w:rsidRPr="00EF1E43">
              <w:rPr>
                <w:sz w:val="24"/>
              </w:rPr>
              <w:t>25237</w:t>
            </w:r>
          </w:p>
        </w:tc>
        <w:tc>
          <w:tcPr>
            <w:tcW w:w="7371" w:type="dxa"/>
            <w:shd w:val="clear" w:color="auto" w:fill="FFFFFF" w:themeFill="background1"/>
            <w:vAlign w:val="center"/>
            <w:hideMark/>
          </w:tcPr>
          <w:p w14:paraId="0B3BC4EC" w14:textId="77777777" w:rsidR="00FF0F9B" w:rsidRPr="00EF1E43" w:rsidRDefault="00FF0F9B" w:rsidP="00374F41">
            <w:pPr>
              <w:rPr>
                <w:sz w:val="24"/>
              </w:rPr>
            </w:pPr>
            <w:r w:rsidRPr="00EF1E43">
              <w:rPr>
                <w:sz w:val="24"/>
              </w:rPr>
              <w:t>Warner M, Eskenazi B, Mocarelli P, et al (2002). Serum dioxin concentrations and breast cancer risk in the Seveso Women's Health Study. Environmental Health Perspectives, 110(7): 625-8.</w:t>
            </w:r>
          </w:p>
        </w:tc>
      </w:tr>
      <w:tr w:rsidR="00EF1E43" w:rsidRPr="00EF1E43" w14:paraId="33503BE3" w14:textId="77777777" w:rsidTr="00CC61F1">
        <w:trPr>
          <w:cantSplit/>
        </w:trPr>
        <w:tc>
          <w:tcPr>
            <w:tcW w:w="1555" w:type="dxa"/>
            <w:shd w:val="clear" w:color="auto" w:fill="FFFFFF" w:themeFill="background1"/>
            <w:noWrap/>
            <w:vAlign w:val="center"/>
            <w:hideMark/>
          </w:tcPr>
          <w:p w14:paraId="4961D4EE" w14:textId="77777777" w:rsidR="00FF0F9B" w:rsidRPr="00EF1E43" w:rsidRDefault="00FF0F9B" w:rsidP="00374F41">
            <w:pPr>
              <w:jc w:val="center"/>
              <w:rPr>
                <w:sz w:val="24"/>
              </w:rPr>
            </w:pPr>
            <w:r w:rsidRPr="00EF1E43">
              <w:rPr>
                <w:sz w:val="24"/>
              </w:rPr>
              <w:t>35671</w:t>
            </w:r>
          </w:p>
        </w:tc>
        <w:tc>
          <w:tcPr>
            <w:tcW w:w="7371" w:type="dxa"/>
            <w:shd w:val="clear" w:color="auto" w:fill="FFFFFF" w:themeFill="background1"/>
            <w:vAlign w:val="center"/>
            <w:hideMark/>
          </w:tcPr>
          <w:p w14:paraId="49328CCC" w14:textId="77777777" w:rsidR="00FF0F9B" w:rsidRPr="00EF1E43" w:rsidRDefault="00FF0F9B" w:rsidP="00374F41">
            <w:pPr>
              <w:rPr>
                <w:sz w:val="24"/>
              </w:rPr>
            </w:pPr>
            <w:r w:rsidRPr="00EF1E43">
              <w:rPr>
                <w:sz w:val="24"/>
              </w:rPr>
              <w:t>Wartenberg D, Calle EE, Thun MJ, et al (2000). Passive smoking exposure and female breast cancer mortality. J Natl Cancer Inst, 92: 1666-73.</w:t>
            </w:r>
          </w:p>
        </w:tc>
      </w:tr>
      <w:tr w:rsidR="00EF1E43" w:rsidRPr="00EF1E43" w14:paraId="2D3F0AB4" w14:textId="77777777" w:rsidTr="00CC61F1">
        <w:trPr>
          <w:cantSplit/>
        </w:trPr>
        <w:tc>
          <w:tcPr>
            <w:tcW w:w="1555" w:type="dxa"/>
            <w:shd w:val="clear" w:color="auto" w:fill="FFFFFF" w:themeFill="background1"/>
            <w:noWrap/>
            <w:vAlign w:val="center"/>
            <w:hideMark/>
          </w:tcPr>
          <w:p w14:paraId="28163BC6" w14:textId="77777777" w:rsidR="00FF0F9B" w:rsidRPr="00EF1E43" w:rsidRDefault="00FF0F9B" w:rsidP="00374F41">
            <w:pPr>
              <w:jc w:val="center"/>
              <w:rPr>
                <w:sz w:val="24"/>
              </w:rPr>
            </w:pPr>
            <w:r w:rsidRPr="00EF1E43">
              <w:rPr>
                <w:sz w:val="24"/>
              </w:rPr>
              <w:t>9273</w:t>
            </w:r>
          </w:p>
        </w:tc>
        <w:tc>
          <w:tcPr>
            <w:tcW w:w="7371" w:type="dxa"/>
            <w:shd w:val="clear" w:color="auto" w:fill="FFFFFF" w:themeFill="background1"/>
            <w:vAlign w:val="center"/>
            <w:hideMark/>
          </w:tcPr>
          <w:p w14:paraId="77FFD944" w14:textId="77777777" w:rsidR="00FF0F9B" w:rsidRPr="00EF1E43" w:rsidRDefault="00FF0F9B" w:rsidP="00374F41">
            <w:pPr>
              <w:rPr>
                <w:sz w:val="24"/>
              </w:rPr>
            </w:pPr>
            <w:r w:rsidRPr="00EF1E43">
              <w:rPr>
                <w:sz w:val="24"/>
              </w:rPr>
              <w:t>Weed DL, Gorelic LS (1996). The practice of causal inference in cancer epidemiology. Cancer Epidemiology, Biomarkers &amp; Prevention, 5: 303-11.</w:t>
            </w:r>
          </w:p>
        </w:tc>
      </w:tr>
      <w:tr w:rsidR="00EF1E43" w:rsidRPr="00EF1E43" w14:paraId="74980FFF" w14:textId="77777777" w:rsidTr="00CC61F1">
        <w:trPr>
          <w:cantSplit/>
        </w:trPr>
        <w:tc>
          <w:tcPr>
            <w:tcW w:w="1555" w:type="dxa"/>
            <w:shd w:val="clear" w:color="auto" w:fill="FFFFFF" w:themeFill="background1"/>
            <w:noWrap/>
            <w:vAlign w:val="center"/>
            <w:hideMark/>
          </w:tcPr>
          <w:p w14:paraId="668A5EC0" w14:textId="77777777" w:rsidR="00FF0F9B" w:rsidRPr="00EF1E43" w:rsidRDefault="00FF0F9B" w:rsidP="00374F41">
            <w:pPr>
              <w:jc w:val="center"/>
              <w:rPr>
                <w:sz w:val="24"/>
              </w:rPr>
            </w:pPr>
            <w:r w:rsidRPr="00EF1E43">
              <w:rPr>
                <w:sz w:val="24"/>
              </w:rPr>
              <w:t>36905</w:t>
            </w:r>
          </w:p>
        </w:tc>
        <w:tc>
          <w:tcPr>
            <w:tcW w:w="7371" w:type="dxa"/>
            <w:shd w:val="clear" w:color="auto" w:fill="FFFFFF" w:themeFill="background1"/>
            <w:vAlign w:val="center"/>
            <w:hideMark/>
          </w:tcPr>
          <w:p w14:paraId="6561D0E7" w14:textId="77777777" w:rsidR="00FF0F9B" w:rsidRPr="00EF1E43" w:rsidRDefault="00FF0F9B" w:rsidP="00374F41">
            <w:pPr>
              <w:rPr>
                <w:sz w:val="24"/>
              </w:rPr>
            </w:pPr>
            <w:r w:rsidRPr="00EF1E43">
              <w:rPr>
                <w:sz w:val="24"/>
              </w:rPr>
              <w:t>Weiderpass E, Braaten T, Magnusson C, et al (2004). A prospective study of body size in different periods of life and risk of premenopausal breast cancer. Cancer Epidemiology, Biomarkers &amp; Prevention, 13(7): 1121-7.</w:t>
            </w:r>
          </w:p>
        </w:tc>
      </w:tr>
      <w:tr w:rsidR="00EF1E43" w:rsidRPr="00EF1E43" w14:paraId="4AE568B1" w14:textId="77777777" w:rsidTr="00CC61F1">
        <w:trPr>
          <w:cantSplit/>
        </w:trPr>
        <w:tc>
          <w:tcPr>
            <w:tcW w:w="1555" w:type="dxa"/>
            <w:shd w:val="clear" w:color="auto" w:fill="FFFFFF" w:themeFill="background1"/>
            <w:noWrap/>
            <w:vAlign w:val="center"/>
            <w:hideMark/>
          </w:tcPr>
          <w:p w14:paraId="08AAA0ED" w14:textId="77777777" w:rsidR="00FF0F9B" w:rsidRPr="00EF1E43" w:rsidRDefault="00FF0F9B" w:rsidP="00374F41">
            <w:pPr>
              <w:jc w:val="center"/>
              <w:rPr>
                <w:sz w:val="24"/>
              </w:rPr>
            </w:pPr>
            <w:r w:rsidRPr="00EF1E43">
              <w:rPr>
                <w:sz w:val="24"/>
              </w:rPr>
              <w:t>35578</w:t>
            </w:r>
          </w:p>
        </w:tc>
        <w:tc>
          <w:tcPr>
            <w:tcW w:w="7371" w:type="dxa"/>
            <w:shd w:val="clear" w:color="auto" w:fill="FFFFFF" w:themeFill="background1"/>
            <w:vAlign w:val="center"/>
            <w:hideMark/>
          </w:tcPr>
          <w:p w14:paraId="14EC5E2C" w14:textId="77777777" w:rsidR="00FF0F9B" w:rsidRPr="00EF1E43" w:rsidRDefault="00FF0F9B" w:rsidP="00374F41">
            <w:pPr>
              <w:rPr>
                <w:sz w:val="24"/>
              </w:rPr>
            </w:pPr>
            <w:r w:rsidRPr="00EF1E43">
              <w:rPr>
                <w:sz w:val="24"/>
              </w:rPr>
              <w:t>Weiderpass E, Pukkala E, Kauppinen T, et al (1999). Breast cancer and occupational exposures in women in Finland. Am J Ind Med, 36: 48-53.</w:t>
            </w:r>
          </w:p>
        </w:tc>
      </w:tr>
      <w:tr w:rsidR="00EF1E43" w:rsidRPr="00EF1E43" w14:paraId="17ADFB2F" w14:textId="77777777" w:rsidTr="00CC61F1">
        <w:trPr>
          <w:cantSplit/>
        </w:trPr>
        <w:tc>
          <w:tcPr>
            <w:tcW w:w="1555" w:type="dxa"/>
            <w:shd w:val="clear" w:color="auto" w:fill="FFFFFF" w:themeFill="background1"/>
            <w:noWrap/>
            <w:vAlign w:val="center"/>
            <w:hideMark/>
          </w:tcPr>
          <w:p w14:paraId="5DEE3CAB" w14:textId="77777777" w:rsidR="00FF0F9B" w:rsidRPr="00EF1E43" w:rsidRDefault="00FF0F9B" w:rsidP="00374F41">
            <w:pPr>
              <w:jc w:val="center"/>
              <w:rPr>
                <w:sz w:val="24"/>
              </w:rPr>
            </w:pPr>
            <w:r w:rsidRPr="00EF1E43">
              <w:rPr>
                <w:sz w:val="24"/>
              </w:rPr>
              <w:t>9424</w:t>
            </w:r>
          </w:p>
        </w:tc>
        <w:tc>
          <w:tcPr>
            <w:tcW w:w="7371" w:type="dxa"/>
            <w:shd w:val="clear" w:color="auto" w:fill="FFFFFF" w:themeFill="background1"/>
            <w:vAlign w:val="center"/>
            <w:hideMark/>
          </w:tcPr>
          <w:p w14:paraId="179A5B51" w14:textId="77777777" w:rsidR="00FF0F9B" w:rsidRPr="00EF1E43" w:rsidRDefault="00FF0F9B" w:rsidP="00374F41">
            <w:pPr>
              <w:rPr>
                <w:sz w:val="24"/>
              </w:rPr>
            </w:pPr>
            <w:r w:rsidRPr="00EF1E43">
              <w:rPr>
                <w:sz w:val="24"/>
              </w:rPr>
              <w:t>Weiss HA, Brinton LA, Brogan D, et al (1996). Epidemiology of in situ and invasive breast cancer in women aged under 45. British Journal of Cancer, 73: 1298-305.</w:t>
            </w:r>
          </w:p>
        </w:tc>
      </w:tr>
      <w:tr w:rsidR="00EF1E43" w:rsidRPr="00EF1E43" w14:paraId="223D2AB3" w14:textId="77777777" w:rsidTr="00CC61F1">
        <w:trPr>
          <w:cantSplit/>
        </w:trPr>
        <w:tc>
          <w:tcPr>
            <w:tcW w:w="1555" w:type="dxa"/>
            <w:shd w:val="clear" w:color="auto" w:fill="FFFFFF" w:themeFill="background1"/>
            <w:noWrap/>
            <w:vAlign w:val="center"/>
            <w:hideMark/>
          </w:tcPr>
          <w:p w14:paraId="0889FBDD" w14:textId="77777777" w:rsidR="00FF0F9B" w:rsidRPr="00EF1E43" w:rsidRDefault="00FF0F9B" w:rsidP="00374F41">
            <w:pPr>
              <w:jc w:val="center"/>
              <w:rPr>
                <w:sz w:val="24"/>
              </w:rPr>
            </w:pPr>
            <w:r w:rsidRPr="00EF1E43">
              <w:rPr>
                <w:sz w:val="24"/>
              </w:rPr>
              <w:t>36991</w:t>
            </w:r>
          </w:p>
        </w:tc>
        <w:tc>
          <w:tcPr>
            <w:tcW w:w="7371" w:type="dxa"/>
            <w:shd w:val="clear" w:color="auto" w:fill="FFFFFF" w:themeFill="background1"/>
            <w:vAlign w:val="center"/>
            <w:hideMark/>
          </w:tcPr>
          <w:p w14:paraId="30901332" w14:textId="77777777" w:rsidR="00FF0F9B" w:rsidRPr="00EF1E43" w:rsidRDefault="00FF0F9B" w:rsidP="00374F41">
            <w:pPr>
              <w:rPr>
                <w:sz w:val="24"/>
              </w:rPr>
            </w:pPr>
            <w:r w:rsidRPr="00EF1E43">
              <w:rPr>
                <w:sz w:val="24"/>
              </w:rPr>
              <w:t>Weiss JR, Moysich KB, Swede H (2005). Epidemiology of male breast cancer. Cancer Epidemiology, Biomarkers &amp; Prevention, 14(1): 20-6.</w:t>
            </w:r>
          </w:p>
        </w:tc>
      </w:tr>
      <w:tr w:rsidR="00EF1E43" w:rsidRPr="00EF1E43" w14:paraId="56A257AB" w14:textId="77777777" w:rsidTr="00CC61F1">
        <w:trPr>
          <w:cantSplit/>
        </w:trPr>
        <w:tc>
          <w:tcPr>
            <w:tcW w:w="1555" w:type="dxa"/>
            <w:shd w:val="clear" w:color="auto" w:fill="FFFFFF" w:themeFill="background1"/>
            <w:noWrap/>
            <w:vAlign w:val="center"/>
            <w:hideMark/>
          </w:tcPr>
          <w:p w14:paraId="1F9BDE16" w14:textId="77777777" w:rsidR="00FF0F9B" w:rsidRPr="00EF1E43" w:rsidRDefault="00FF0F9B" w:rsidP="00374F41">
            <w:pPr>
              <w:jc w:val="center"/>
              <w:rPr>
                <w:sz w:val="24"/>
              </w:rPr>
            </w:pPr>
            <w:r w:rsidRPr="00EF1E43">
              <w:rPr>
                <w:sz w:val="24"/>
              </w:rPr>
              <w:t>35594</w:t>
            </w:r>
          </w:p>
        </w:tc>
        <w:tc>
          <w:tcPr>
            <w:tcW w:w="7371" w:type="dxa"/>
            <w:shd w:val="clear" w:color="auto" w:fill="FFFFFF" w:themeFill="background1"/>
            <w:vAlign w:val="center"/>
            <w:hideMark/>
          </w:tcPr>
          <w:p w14:paraId="39A3A94A" w14:textId="77777777" w:rsidR="00FF0F9B" w:rsidRPr="00EF1E43" w:rsidRDefault="00FF0F9B" w:rsidP="00374F41">
            <w:pPr>
              <w:rPr>
                <w:sz w:val="24"/>
              </w:rPr>
            </w:pPr>
            <w:r w:rsidRPr="00EF1E43">
              <w:rPr>
                <w:sz w:val="24"/>
              </w:rPr>
              <w:t>Wendland MM, Tsodikov A, Glenn MJ, et al (2004). Time interval to the development of breast carcinoma after treatment for Hodgkin Disease. Cancer, 101(6): 1275-82.</w:t>
            </w:r>
          </w:p>
        </w:tc>
      </w:tr>
      <w:tr w:rsidR="00EF1E43" w:rsidRPr="00EF1E43" w14:paraId="038C957D" w14:textId="77777777" w:rsidTr="00CC61F1">
        <w:trPr>
          <w:cantSplit/>
        </w:trPr>
        <w:tc>
          <w:tcPr>
            <w:tcW w:w="1555" w:type="dxa"/>
            <w:shd w:val="clear" w:color="auto" w:fill="FFFFFF" w:themeFill="background1"/>
            <w:noWrap/>
            <w:vAlign w:val="center"/>
            <w:hideMark/>
          </w:tcPr>
          <w:p w14:paraId="2D0A2885" w14:textId="77777777" w:rsidR="00FF0F9B" w:rsidRPr="00EF1E43" w:rsidRDefault="00FF0F9B" w:rsidP="00374F41">
            <w:pPr>
              <w:jc w:val="center"/>
              <w:rPr>
                <w:sz w:val="24"/>
              </w:rPr>
            </w:pPr>
            <w:r w:rsidRPr="00EF1E43">
              <w:rPr>
                <w:sz w:val="24"/>
              </w:rPr>
              <w:t>35658</w:t>
            </w:r>
          </w:p>
        </w:tc>
        <w:tc>
          <w:tcPr>
            <w:tcW w:w="7371" w:type="dxa"/>
            <w:shd w:val="clear" w:color="auto" w:fill="FFFFFF" w:themeFill="background1"/>
            <w:vAlign w:val="center"/>
            <w:hideMark/>
          </w:tcPr>
          <w:p w14:paraId="79C13148" w14:textId="77777777" w:rsidR="00FF0F9B" w:rsidRPr="00EF1E43" w:rsidRDefault="00FF0F9B" w:rsidP="00374F41">
            <w:pPr>
              <w:rPr>
                <w:sz w:val="24"/>
              </w:rPr>
            </w:pPr>
            <w:r w:rsidRPr="00EF1E43">
              <w:rPr>
                <w:sz w:val="24"/>
              </w:rPr>
              <w:t>Wessely S (2005). Risk, psychiatry and the military. British Journal of Psychiatry, 186: 459-66.</w:t>
            </w:r>
          </w:p>
        </w:tc>
      </w:tr>
      <w:tr w:rsidR="00EF1E43" w:rsidRPr="00EF1E43" w14:paraId="59190F1C" w14:textId="77777777" w:rsidTr="00CC61F1">
        <w:trPr>
          <w:cantSplit/>
        </w:trPr>
        <w:tc>
          <w:tcPr>
            <w:tcW w:w="1555" w:type="dxa"/>
            <w:shd w:val="clear" w:color="auto" w:fill="FFFFFF" w:themeFill="background1"/>
            <w:noWrap/>
            <w:vAlign w:val="center"/>
            <w:hideMark/>
          </w:tcPr>
          <w:p w14:paraId="434F997A" w14:textId="77777777" w:rsidR="00FF0F9B" w:rsidRPr="00EF1E43" w:rsidRDefault="00FF0F9B" w:rsidP="00374F41">
            <w:pPr>
              <w:jc w:val="center"/>
              <w:rPr>
                <w:sz w:val="24"/>
              </w:rPr>
            </w:pPr>
            <w:r w:rsidRPr="00EF1E43">
              <w:rPr>
                <w:sz w:val="24"/>
              </w:rPr>
              <w:t>28174</w:t>
            </w:r>
          </w:p>
        </w:tc>
        <w:tc>
          <w:tcPr>
            <w:tcW w:w="7371" w:type="dxa"/>
            <w:shd w:val="clear" w:color="auto" w:fill="FFFFFF" w:themeFill="background1"/>
            <w:vAlign w:val="center"/>
            <w:hideMark/>
          </w:tcPr>
          <w:p w14:paraId="5FBFB895" w14:textId="77777777" w:rsidR="00FF0F9B" w:rsidRPr="00EF1E43" w:rsidRDefault="00FF0F9B" w:rsidP="00374F41">
            <w:pPr>
              <w:rPr>
                <w:sz w:val="24"/>
              </w:rPr>
            </w:pPr>
            <w:r w:rsidRPr="00EF1E43">
              <w:rPr>
                <w:sz w:val="24"/>
              </w:rPr>
              <w:t>Westoff CL, Pike MC (2018). Hormonal contraception and breast cancer. Contraception, 98(3): 171-3.</w:t>
            </w:r>
          </w:p>
        </w:tc>
      </w:tr>
      <w:tr w:rsidR="00EF1E43" w:rsidRPr="00EF1E43" w14:paraId="3E1A522F" w14:textId="77777777" w:rsidTr="00CC61F1">
        <w:trPr>
          <w:cantSplit/>
        </w:trPr>
        <w:tc>
          <w:tcPr>
            <w:tcW w:w="1555" w:type="dxa"/>
            <w:shd w:val="clear" w:color="auto" w:fill="FFFFFF" w:themeFill="background1"/>
            <w:noWrap/>
            <w:vAlign w:val="center"/>
            <w:hideMark/>
          </w:tcPr>
          <w:p w14:paraId="31657CFD" w14:textId="77777777" w:rsidR="00FF0F9B" w:rsidRPr="00EF1E43" w:rsidRDefault="00FF0F9B" w:rsidP="00374F41">
            <w:pPr>
              <w:jc w:val="center"/>
              <w:rPr>
                <w:sz w:val="24"/>
              </w:rPr>
            </w:pPr>
            <w:r w:rsidRPr="00EF1E43">
              <w:rPr>
                <w:sz w:val="24"/>
              </w:rPr>
              <w:t>4702</w:t>
            </w:r>
          </w:p>
        </w:tc>
        <w:tc>
          <w:tcPr>
            <w:tcW w:w="7371" w:type="dxa"/>
            <w:shd w:val="clear" w:color="auto" w:fill="FFFFFF" w:themeFill="background1"/>
            <w:vAlign w:val="center"/>
            <w:hideMark/>
          </w:tcPr>
          <w:p w14:paraId="1D78CB42" w14:textId="77777777" w:rsidR="00FF0F9B" w:rsidRPr="00EF1E43" w:rsidRDefault="00FF0F9B" w:rsidP="00374F41">
            <w:pPr>
              <w:rPr>
                <w:sz w:val="24"/>
              </w:rPr>
            </w:pPr>
            <w:r w:rsidRPr="00EF1E43">
              <w:rPr>
                <w:sz w:val="24"/>
              </w:rPr>
              <w:t>White E, Malone KE, Weiss NS, et al (1994). Breast cancer among young U.S. women in relation to oral contraceptive use. J Natl Cancer Inst, 86(7): 505-14.</w:t>
            </w:r>
          </w:p>
        </w:tc>
      </w:tr>
      <w:tr w:rsidR="00EF1E43" w:rsidRPr="00EF1E43" w14:paraId="15D9B050" w14:textId="77777777" w:rsidTr="00CC61F1">
        <w:trPr>
          <w:cantSplit/>
        </w:trPr>
        <w:tc>
          <w:tcPr>
            <w:tcW w:w="1555" w:type="dxa"/>
            <w:shd w:val="clear" w:color="auto" w:fill="FFFFFF" w:themeFill="background1"/>
            <w:noWrap/>
            <w:vAlign w:val="center"/>
            <w:hideMark/>
          </w:tcPr>
          <w:p w14:paraId="12CF9930" w14:textId="77777777" w:rsidR="00FF0F9B" w:rsidRPr="00EF1E43" w:rsidRDefault="00FF0F9B" w:rsidP="00374F41">
            <w:pPr>
              <w:jc w:val="center"/>
              <w:rPr>
                <w:sz w:val="24"/>
              </w:rPr>
            </w:pPr>
            <w:r w:rsidRPr="00EF1E43">
              <w:rPr>
                <w:sz w:val="24"/>
              </w:rPr>
              <w:t>37237</w:t>
            </w:r>
          </w:p>
        </w:tc>
        <w:tc>
          <w:tcPr>
            <w:tcW w:w="7371" w:type="dxa"/>
            <w:shd w:val="clear" w:color="auto" w:fill="FFFFFF" w:themeFill="background1"/>
            <w:vAlign w:val="center"/>
            <w:hideMark/>
          </w:tcPr>
          <w:p w14:paraId="41347E2F" w14:textId="77777777" w:rsidR="00FF0F9B" w:rsidRPr="00EF1E43" w:rsidRDefault="00FF0F9B" w:rsidP="00374F41">
            <w:pPr>
              <w:rPr>
                <w:sz w:val="24"/>
              </w:rPr>
            </w:pPr>
            <w:r w:rsidRPr="00EF1E43">
              <w:rPr>
                <w:sz w:val="24"/>
              </w:rPr>
              <w:t>WHO (2002). Weight control and physical activity. IARC Handbooks of Cancer Prevention, 6: 144-55.</w:t>
            </w:r>
          </w:p>
        </w:tc>
      </w:tr>
      <w:tr w:rsidR="00EF1E43" w:rsidRPr="00EF1E43" w14:paraId="1548F0C6" w14:textId="77777777" w:rsidTr="00CC61F1">
        <w:trPr>
          <w:cantSplit/>
        </w:trPr>
        <w:tc>
          <w:tcPr>
            <w:tcW w:w="1555" w:type="dxa"/>
            <w:shd w:val="clear" w:color="auto" w:fill="FFFFFF" w:themeFill="background1"/>
            <w:noWrap/>
            <w:vAlign w:val="center"/>
            <w:hideMark/>
          </w:tcPr>
          <w:p w14:paraId="5B4D9B5E" w14:textId="77777777" w:rsidR="00FF0F9B" w:rsidRPr="00EF1E43" w:rsidRDefault="00FF0F9B" w:rsidP="00374F41">
            <w:pPr>
              <w:jc w:val="center"/>
              <w:rPr>
                <w:sz w:val="24"/>
              </w:rPr>
            </w:pPr>
            <w:r w:rsidRPr="00EF1E43">
              <w:rPr>
                <w:sz w:val="24"/>
              </w:rPr>
              <w:t>9352</w:t>
            </w:r>
          </w:p>
        </w:tc>
        <w:tc>
          <w:tcPr>
            <w:tcW w:w="7371" w:type="dxa"/>
            <w:shd w:val="clear" w:color="auto" w:fill="FFFFFF" w:themeFill="background1"/>
            <w:vAlign w:val="center"/>
            <w:hideMark/>
          </w:tcPr>
          <w:p w14:paraId="4B4E48BA" w14:textId="77777777" w:rsidR="00FF0F9B" w:rsidRPr="00EF1E43" w:rsidRDefault="00FF0F9B" w:rsidP="00374F41">
            <w:pPr>
              <w:rPr>
                <w:sz w:val="24"/>
              </w:rPr>
            </w:pPr>
            <w:r w:rsidRPr="00EF1E43">
              <w:rPr>
                <w:sz w:val="24"/>
              </w:rPr>
              <w:t>WHO Collaborative Study of Neoplasia and Steroid Contraceptives (1991). Breast cancer and depot-medroxyprogesterone acetate: a multinational study. Lancet, 338(8771): 833-8.</w:t>
            </w:r>
          </w:p>
        </w:tc>
      </w:tr>
      <w:tr w:rsidR="00EF1E43" w:rsidRPr="00EF1E43" w14:paraId="0A5AE439" w14:textId="77777777" w:rsidTr="00CC61F1">
        <w:trPr>
          <w:cantSplit/>
        </w:trPr>
        <w:tc>
          <w:tcPr>
            <w:tcW w:w="1555" w:type="dxa"/>
            <w:shd w:val="clear" w:color="auto" w:fill="FFFFFF" w:themeFill="background1"/>
            <w:noWrap/>
            <w:vAlign w:val="center"/>
            <w:hideMark/>
          </w:tcPr>
          <w:p w14:paraId="2A49904E" w14:textId="77777777" w:rsidR="00FF0F9B" w:rsidRPr="00EF1E43" w:rsidRDefault="00FF0F9B" w:rsidP="00374F41">
            <w:pPr>
              <w:jc w:val="center"/>
              <w:rPr>
                <w:sz w:val="24"/>
              </w:rPr>
            </w:pPr>
            <w:r w:rsidRPr="00EF1E43">
              <w:rPr>
                <w:sz w:val="24"/>
              </w:rPr>
              <w:lastRenderedPageBreak/>
              <w:t>9274</w:t>
            </w:r>
          </w:p>
        </w:tc>
        <w:tc>
          <w:tcPr>
            <w:tcW w:w="7371" w:type="dxa"/>
            <w:shd w:val="clear" w:color="auto" w:fill="FFFFFF" w:themeFill="background1"/>
            <w:vAlign w:val="center"/>
            <w:hideMark/>
          </w:tcPr>
          <w:p w14:paraId="6331D8E6" w14:textId="77777777" w:rsidR="00FF0F9B" w:rsidRPr="00EF1E43" w:rsidRDefault="00FF0F9B" w:rsidP="00374F41">
            <w:pPr>
              <w:rPr>
                <w:sz w:val="24"/>
              </w:rPr>
            </w:pPr>
            <w:r w:rsidRPr="00EF1E43">
              <w:rPr>
                <w:sz w:val="24"/>
              </w:rPr>
              <w:t>Willett WC, Hunter DJ, Stampfer MJ, et al (1992). Dietary fat and fiber in relation to risk of breast cancer: an 8-year follow-up. JAMA, 268: 2037-44.</w:t>
            </w:r>
          </w:p>
        </w:tc>
      </w:tr>
      <w:tr w:rsidR="00EF1E43" w:rsidRPr="00EF1E43" w14:paraId="4E413B2A" w14:textId="77777777" w:rsidTr="00CC61F1">
        <w:trPr>
          <w:cantSplit/>
        </w:trPr>
        <w:tc>
          <w:tcPr>
            <w:tcW w:w="1555" w:type="dxa"/>
            <w:shd w:val="clear" w:color="auto" w:fill="FFFFFF" w:themeFill="background1"/>
            <w:noWrap/>
            <w:vAlign w:val="center"/>
            <w:hideMark/>
          </w:tcPr>
          <w:p w14:paraId="5BF20B10" w14:textId="77777777" w:rsidR="00FF0F9B" w:rsidRPr="00EF1E43" w:rsidRDefault="00FF0F9B" w:rsidP="00374F41">
            <w:pPr>
              <w:jc w:val="center"/>
              <w:rPr>
                <w:sz w:val="24"/>
              </w:rPr>
            </w:pPr>
            <w:r w:rsidRPr="00EF1E43">
              <w:rPr>
                <w:sz w:val="24"/>
              </w:rPr>
              <w:t>9567</w:t>
            </w:r>
          </w:p>
        </w:tc>
        <w:tc>
          <w:tcPr>
            <w:tcW w:w="7371" w:type="dxa"/>
            <w:shd w:val="clear" w:color="auto" w:fill="FFFFFF" w:themeFill="background1"/>
            <w:vAlign w:val="center"/>
            <w:hideMark/>
          </w:tcPr>
          <w:p w14:paraId="6F9F5308" w14:textId="77777777" w:rsidR="00FF0F9B" w:rsidRPr="00EF1E43" w:rsidRDefault="00FF0F9B" w:rsidP="00374F41">
            <w:pPr>
              <w:rPr>
                <w:sz w:val="24"/>
              </w:rPr>
            </w:pPr>
            <w:r w:rsidRPr="00EF1E43">
              <w:rPr>
                <w:sz w:val="24"/>
              </w:rPr>
              <w:t>Willett WC, Stamper MJ, Colditz GA, et al (1987). Moderate alcohol consumption and the risk of breast cancer. NEJM, 316(19): 1174-9.</w:t>
            </w:r>
          </w:p>
        </w:tc>
      </w:tr>
      <w:tr w:rsidR="00EF1E43" w:rsidRPr="00EF1E43" w14:paraId="0B5D4E30" w14:textId="77777777" w:rsidTr="00CC61F1">
        <w:trPr>
          <w:cantSplit/>
        </w:trPr>
        <w:tc>
          <w:tcPr>
            <w:tcW w:w="1555" w:type="dxa"/>
            <w:shd w:val="clear" w:color="auto" w:fill="FFFFFF" w:themeFill="background1"/>
            <w:noWrap/>
            <w:vAlign w:val="center"/>
            <w:hideMark/>
          </w:tcPr>
          <w:p w14:paraId="37878B68" w14:textId="77777777" w:rsidR="00FF0F9B" w:rsidRPr="00EF1E43" w:rsidRDefault="00FF0F9B" w:rsidP="00374F41">
            <w:pPr>
              <w:jc w:val="center"/>
              <w:rPr>
                <w:sz w:val="24"/>
              </w:rPr>
            </w:pPr>
            <w:r w:rsidRPr="00EF1E43">
              <w:rPr>
                <w:sz w:val="24"/>
              </w:rPr>
              <w:t>9739</w:t>
            </w:r>
          </w:p>
        </w:tc>
        <w:tc>
          <w:tcPr>
            <w:tcW w:w="7371" w:type="dxa"/>
            <w:shd w:val="clear" w:color="auto" w:fill="FFFFFF" w:themeFill="background1"/>
            <w:vAlign w:val="center"/>
            <w:hideMark/>
          </w:tcPr>
          <w:p w14:paraId="65FBE3C1" w14:textId="77777777" w:rsidR="00FF0F9B" w:rsidRPr="00EF1E43" w:rsidRDefault="00FF0F9B" w:rsidP="00374F41">
            <w:pPr>
              <w:rPr>
                <w:sz w:val="24"/>
              </w:rPr>
            </w:pPr>
            <w:r w:rsidRPr="00EF1E43">
              <w:rPr>
                <w:sz w:val="24"/>
              </w:rPr>
              <w:t>Willett WC, Stampfer MJ (1997). Sobering data on alcohol and breast cancer. Epidemiology, 8(3): 225-7.</w:t>
            </w:r>
          </w:p>
        </w:tc>
      </w:tr>
      <w:tr w:rsidR="00EF1E43" w:rsidRPr="00EF1E43" w14:paraId="0A4A1B01" w14:textId="77777777" w:rsidTr="00CC61F1">
        <w:trPr>
          <w:cantSplit/>
        </w:trPr>
        <w:tc>
          <w:tcPr>
            <w:tcW w:w="1555" w:type="dxa"/>
            <w:shd w:val="clear" w:color="auto" w:fill="FFFFFF" w:themeFill="background1"/>
            <w:noWrap/>
            <w:vAlign w:val="center"/>
            <w:hideMark/>
          </w:tcPr>
          <w:p w14:paraId="158D5092" w14:textId="77777777" w:rsidR="00FF0F9B" w:rsidRPr="00EF1E43" w:rsidRDefault="00FF0F9B" w:rsidP="00374F41">
            <w:pPr>
              <w:jc w:val="center"/>
              <w:rPr>
                <w:sz w:val="24"/>
              </w:rPr>
            </w:pPr>
            <w:r w:rsidRPr="00EF1E43">
              <w:rPr>
                <w:sz w:val="24"/>
              </w:rPr>
              <w:t>4703</w:t>
            </w:r>
          </w:p>
        </w:tc>
        <w:tc>
          <w:tcPr>
            <w:tcW w:w="7371" w:type="dxa"/>
            <w:shd w:val="clear" w:color="auto" w:fill="FFFFFF" w:themeFill="background1"/>
            <w:vAlign w:val="center"/>
            <w:hideMark/>
          </w:tcPr>
          <w:p w14:paraId="6958AF4D" w14:textId="77777777" w:rsidR="00FF0F9B" w:rsidRPr="00EF1E43" w:rsidRDefault="00FF0F9B" w:rsidP="00374F41">
            <w:pPr>
              <w:rPr>
                <w:sz w:val="24"/>
              </w:rPr>
            </w:pPr>
            <w:r w:rsidRPr="00EF1E43">
              <w:rPr>
                <w:sz w:val="24"/>
              </w:rPr>
              <w:t>Willett WC, Stampfer MJ, Colditz GA, et al (1987). Dietary fat and the risk of breast cancer. NEJM, 316(1): 22-8.</w:t>
            </w:r>
          </w:p>
        </w:tc>
      </w:tr>
      <w:tr w:rsidR="00EF1E43" w:rsidRPr="00EF1E43" w14:paraId="38DCDF99" w14:textId="77777777" w:rsidTr="00CC61F1">
        <w:trPr>
          <w:cantSplit/>
        </w:trPr>
        <w:tc>
          <w:tcPr>
            <w:tcW w:w="1555" w:type="dxa"/>
            <w:shd w:val="clear" w:color="auto" w:fill="FFFFFF" w:themeFill="background1"/>
            <w:noWrap/>
            <w:vAlign w:val="center"/>
            <w:hideMark/>
          </w:tcPr>
          <w:p w14:paraId="57FABCC5" w14:textId="77777777" w:rsidR="00FF0F9B" w:rsidRPr="00EF1E43" w:rsidRDefault="00FF0F9B" w:rsidP="00374F41">
            <w:pPr>
              <w:jc w:val="center"/>
              <w:rPr>
                <w:sz w:val="24"/>
              </w:rPr>
            </w:pPr>
            <w:r w:rsidRPr="00EF1E43">
              <w:rPr>
                <w:sz w:val="24"/>
              </w:rPr>
              <w:t>10966</w:t>
            </w:r>
          </w:p>
        </w:tc>
        <w:tc>
          <w:tcPr>
            <w:tcW w:w="7371" w:type="dxa"/>
            <w:shd w:val="clear" w:color="auto" w:fill="FFFFFF" w:themeFill="background1"/>
            <w:vAlign w:val="center"/>
            <w:hideMark/>
          </w:tcPr>
          <w:p w14:paraId="4928AF60" w14:textId="77777777" w:rsidR="00FF0F9B" w:rsidRPr="00EF1E43" w:rsidRDefault="00FF0F9B" w:rsidP="00374F41">
            <w:pPr>
              <w:rPr>
                <w:sz w:val="24"/>
              </w:rPr>
            </w:pPr>
            <w:r w:rsidRPr="00EF1E43">
              <w:rPr>
                <w:sz w:val="24"/>
              </w:rPr>
              <w:t>Williams WV, Mitchell LA, Carlson SK, et al (2018). Association of combined estrogen-progestogen and progestogen-only contraceptives with the development of cancer. Linacre Q, 85(4): 412-52.</w:t>
            </w:r>
          </w:p>
        </w:tc>
      </w:tr>
      <w:tr w:rsidR="00EF1E43" w:rsidRPr="00EF1E43" w14:paraId="77CBAD28" w14:textId="77777777" w:rsidTr="00CC61F1">
        <w:trPr>
          <w:cantSplit/>
        </w:trPr>
        <w:tc>
          <w:tcPr>
            <w:tcW w:w="1555" w:type="dxa"/>
            <w:shd w:val="clear" w:color="auto" w:fill="FFFFFF" w:themeFill="background1"/>
            <w:noWrap/>
            <w:vAlign w:val="center"/>
            <w:hideMark/>
          </w:tcPr>
          <w:p w14:paraId="0C7AD5BD" w14:textId="77777777" w:rsidR="00FF0F9B" w:rsidRPr="00EF1E43" w:rsidRDefault="00FF0F9B" w:rsidP="00374F41">
            <w:pPr>
              <w:jc w:val="center"/>
              <w:rPr>
                <w:sz w:val="24"/>
              </w:rPr>
            </w:pPr>
            <w:r w:rsidRPr="00EF1E43">
              <w:rPr>
                <w:sz w:val="24"/>
              </w:rPr>
              <w:t>71692</w:t>
            </w:r>
          </w:p>
        </w:tc>
        <w:tc>
          <w:tcPr>
            <w:tcW w:w="7371" w:type="dxa"/>
            <w:shd w:val="clear" w:color="auto" w:fill="FFFFFF" w:themeFill="background1"/>
            <w:vAlign w:val="center"/>
            <w:hideMark/>
          </w:tcPr>
          <w:p w14:paraId="5F666F60" w14:textId="77777777" w:rsidR="00FF0F9B" w:rsidRPr="00EF1E43" w:rsidRDefault="00FF0F9B" w:rsidP="00374F41">
            <w:pPr>
              <w:rPr>
                <w:sz w:val="24"/>
              </w:rPr>
            </w:pPr>
            <w:r w:rsidRPr="00EF1E43">
              <w:rPr>
                <w:sz w:val="24"/>
              </w:rPr>
              <w:t>Winzer BM, Whiteman DC, Reeves MM, et al (2011). Physical activity and cancer prevention: a systematic review of clinical trials. Cancer Causes Control, 22: 811-26.</w:t>
            </w:r>
          </w:p>
        </w:tc>
      </w:tr>
      <w:tr w:rsidR="00EF1E43" w:rsidRPr="00EF1E43" w14:paraId="4D6D01BB" w14:textId="77777777" w:rsidTr="00CC61F1">
        <w:trPr>
          <w:cantSplit/>
        </w:trPr>
        <w:tc>
          <w:tcPr>
            <w:tcW w:w="1555" w:type="dxa"/>
            <w:shd w:val="clear" w:color="auto" w:fill="FFFFFF" w:themeFill="background1"/>
            <w:noWrap/>
            <w:vAlign w:val="center"/>
            <w:hideMark/>
          </w:tcPr>
          <w:p w14:paraId="5BBEDE53" w14:textId="77777777" w:rsidR="00FF0F9B" w:rsidRPr="00EF1E43" w:rsidRDefault="00FF0F9B" w:rsidP="00374F41">
            <w:pPr>
              <w:jc w:val="center"/>
              <w:rPr>
                <w:sz w:val="24"/>
              </w:rPr>
            </w:pPr>
            <w:r w:rsidRPr="00EF1E43">
              <w:rPr>
                <w:sz w:val="24"/>
              </w:rPr>
              <w:t>35724</w:t>
            </w:r>
          </w:p>
        </w:tc>
        <w:tc>
          <w:tcPr>
            <w:tcW w:w="7371" w:type="dxa"/>
            <w:shd w:val="clear" w:color="auto" w:fill="FFFFFF" w:themeFill="background1"/>
            <w:vAlign w:val="center"/>
            <w:hideMark/>
          </w:tcPr>
          <w:p w14:paraId="44640DAA" w14:textId="77777777" w:rsidR="00FF0F9B" w:rsidRPr="00EF1E43" w:rsidRDefault="00FF0F9B" w:rsidP="00374F41">
            <w:pPr>
              <w:rPr>
                <w:sz w:val="24"/>
              </w:rPr>
            </w:pPr>
            <w:r w:rsidRPr="00EF1E43">
              <w:rPr>
                <w:sz w:val="24"/>
              </w:rPr>
              <w:t>Wiseman RA (2004). Breast cancer: Critical data analysis concludes that estrogens are not the cause, however lifestyle changes can alter risk rapidly. Journal of Clinical Epidemiology, 57: 766-772.</w:t>
            </w:r>
          </w:p>
        </w:tc>
      </w:tr>
      <w:tr w:rsidR="00EF1E43" w:rsidRPr="00EF1E43" w14:paraId="3B079530" w14:textId="77777777" w:rsidTr="00CC61F1">
        <w:trPr>
          <w:cantSplit/>
        </w:trPr>
        <w:tc>
          <w:tcPr>
            <w:tcW w:w="1555" w:type="dxa"/>
            <w:shd w:val="clear" w:color="auto" w:fill="FFFFFF" w:themeFill="background1"/>
            <w:noWrap/>
            <w:vAlign w:val="center"/>
            <w:hideMark/>
          </w:tcPr>
          <w:p w14:paraId="69E84E01" w14:textId="77777777" w:rsidR="00FF0F9B" w:rsidRPr="00EF1E43" w:rsidRDefault="00FF0F9B" w:rsidP="00374F41">
            <w:pPr>
              <w:jc w:val="center"/>
              <w:rPr>
                <w:sz w:val="24"/>
              </w:rPr>
            </w:pPr>
            <w:r w:rsidRPr="00EF1E43">
              <w:rPr>
                <w:sz w:val="24"/>
              </w:rPr>
              <w:t>4721</w:t>
            </w:r>
          </w:p>
        </w:tc>
        <w:tc>
          <w:tcPr>
            <w:tcW w:w="7371" w:type="dxa"/>
            <w:shd w:val="clear" w:color="auto" w:fill="FFFFFF" w:themeFill="background1"/>
            <w:vAlign w:val="center"/>
            <w:hideMark/>
          </w:tcPr>
          <w:p w14:paraId="10056BDC" w14:textId="77777777" w:rsidR="00FF0F9B" w:rsidRPr="00EF1E43" w:rsidRDefault="00FF0F9B" w:rsidP="00374F41">
            <w:pPr>
              <w:rPr>
                <w:sz w:val="24"/>
              </w:rPr>
            </w:pPr>
            <w:r w:rsidRPr="00EF1E43">
              <w:rPr>
                <w:sz w:val="24"/>
              </w:rPr>
              <w:t>Wolff MS, Toniolo PG, Lee EW, et al (1993). Reports - blood levels of organochlorine residues and risk of breast cancer. J Natl Cancer Inst, 85(8): 648-52.</w:t>
            </w:r>
          </w:p>
        </w:tc>
      </w:tr>
      <w:tr w:rsidR="00EF1E43" w:rsidRPr="00EF1E43" w14:paraId="1671BCCB" w14:textId="77777777" w:rsidTr="00CC61F1">
        <w:trPr>
          <w:cantSplit/>
        </w:trPr>
        <w:tc>
          <w:tcPr>
            <w:tcW w:w="1555" w:type="dxa"/>
            <w:shd w:val="clear" w:color="auto" w:fill="FFFFFF" w:themeFill="background1"/>
            <w:noWrap/>
            <w:vAlign w:val="center"/>
            <w:hideMark/>
          </w:tcPr>
          <w:p w14:paraId="2CF32A1B" w14:textId="77777777" w:rsidR="00FF0F9B" w:rsidRPr="00EF1E43" w:rsidRDefault="00FF0F9B" w:rsidP="00374F41">
            <w:pPr>
              <w:jc w:val="center"/>
              <w:rPr>
                <w:sz w:val="24"/>
              </w:rPr>
            </w:pPr>
            <w:r w:rsidRPr="00EF1E43">
              <w:rPr>
                <w:sz w:val="24"/>
              </w:rPr>
              <w:t>67800</w:t>
            </w:r>
          </w:p>
        </w:tc>
        <w:tc>
          <w:tcPr>
            <w:tcW w:w="7371" w:type="dxa"/>
            <w:shd w:val="clear" w:color="auto" w:fill="FFFFFF" w:themeFill="background1"/>
            <w:vAlign w:val="center"/>
            <w:hideMark/>
          </w:tcPr>
          <w:p w14:paraId="07A31538" w14:textId="77777777" w:rsidR="00FF0F9B" w:rsidRPr="00EF1E43" w:rsidRDefault="00FF0F9B" w:rsidP="00374F41">
            <w:pPr>
              <w:rPr>
                <w:sz w:val="24"/>
              </w:rPr>
            </w:pPr>
            <w:r w:rsidRPr="00EF1E43">
              <w:rPr>
                <w:sz w:val="24"/>
              </w:rPr>
              <w:t>World Cancer Research Fund / American Institute for Cancer Research (2007). Food, Nutrition, Physical Activity and the Prevention of Cancer: A Global Perspective. WCRF International.</w:t>
            </w:r>
          </w:p>
        </w:tc>
      </w:tr>
      <w:tr w:rsidR="00EF1E43" w:rsidRPr="00EF1E43" w14:paraId="7AAC8272" w14:textId="77777777" w:rsidTr="00CC61F1">
        <w:trPr>
          <w:cantSplit/>
        </w:trPr>
        <w:tc>
          <w:tcPr>
            <w:tcW w:w="1555" w:type="dxa"/>
            <w:shd w:val="clear" w:color="auto" w:fill="FFFFFF" w:themeFill="background1"/>
            <w:noWrap/>
            <w:vAlign w:val="center"/>
            <w:hideMark/>
          </w:tcPr>
          <w:p w14:paraId="24647B1C" w14:textId="77777777" w:rsidR="00FF0F9B" w:rsidRPr="00EF1E43" w:rsidRDefault="00FF0F9B" w:rsidP="00374F41">
            <w:pPr>
              <w:jc w:val="center"/>
              <w:rPr>
                <w:sz w:val="24"/>
              </w:rPr>
            </w:pPr>
            <w:r w:rsidRPr="00EF1E43">
              <w:rPr>
                <w:sz w:val="24"/>
              </w:rPr>
              <w:t>70155</w:t>
            </w:r>
          </w:p>
        </w:tc>
        <w:tc>
          <w:tcPr>
            <w:tcW w:w="7371" w:type="dxa"/>
            <w:shd w:val="clear" w:color="auto" w:fill="FFFFFF" w:themeFill="background1"/>
            <w:vAlign w:val="center"/>
            <w:hideMark/>
          </w:tcPr>
          <w:p w14:paraId="3DD39FF6" w14:textId="77777777" w:rsidR="00FF0F9B" w:rsidRPr="00EF1E43" w:rsidRDefault="00FF0F9B" w:rsidP="00374F41">
            <w:pPr>
              <w:rPr>
                <w:sz w:val="24"/>
              </w:rPr>
            </w:pPr>
            <w:r w:rsidRPr="00EF1E43">
              <w:rPr>
                <w:sz w:val="24"/>
              </w:rPr>
              <w:t>World Health Organization (2008). Pharmaceuticals. IARC Monographs - A Review of Human Carcinogens, Vol 100 Part A. World Health Organization International Agency for Research on Cancer. Lyon France.</w:t>
            </w:r>
          </w:p>
        </w:tc>
      </w:tr>
      <w:tr w:rsidR="00EF1E43" w:rsidRPr="00EF1E43" w14:paraId="1B7E7CF1" w14:textId="77777777" w:rsidTr="00CC61F1">
        <w:trPr>
          <w:cantSplit/>
        </w:trPr>
        <w:tc>
          <w:tcPr>
            <w:tcW w:w="1555" w:type="dxa"/>
            <w:shd w:val="clear" w:color="auto" w:fill="FFFFFF" w:themeFill="background1"/>
            <w:noWrap/>
            <w:vAlign w:val="center"/>
            <w:hideMark/>
          </w:tcPr>
          <w:p w14:paraId="471546B3" w14:textId="77777777" w:rsidR="00FF0F9B" w:rsidRPr="00EF1E43" w:rsidRDefault="00FF0F9B" w:rsidP="00374F41">
            <w:pPr>
              <w:jc w:val="center"/>
              <w:rPr>
                <w:sz w:val="24"/>
              </w:rPr>
            </w:pPr>
            <w:r w:rsidRPr="00EF1E43">
              <w:rPr>
                <w:sz w:val="24"/>
              </w:rPr>
              <w:t>80741</w:t>
            </w:r>
          </w:p>
        </w:tc>
        <w:tc>
          <w:tcPr>
            <w:tcW w:w="7371" w:type="dxa"/>
            <w:shd w:val="clear" w:color="auto" w:fill="FFFFFF" w:themeFill="background1"/>
            <w:vAlign w:val="center"/>
            <w:hideMark/>
          </w:tcPr>
          <w:p w14:paraId="16462177" w14:textId="77777777" w:rsidR="00FF0F9B" w:rsidRPr="00EF1E43" w:rsidRDefault="00FF0F9B" w:rsidP="00374F41">
            <w:pPr>
              <w:rPr>
                <w:sz w:val="24"/>
              </w:rPr>
            </w:pPr>
            <w:r w:rsidRPr="00EF1E43">
              <w:rPr>
                <w:sz w:val="24"/>
              </w:rPr>
              <w:t>World Nuclear Association (2016). Plutonium. Retrieved 8 February 2017, from http://www.world-nuclear.org/information-library/nuclear-fuel-cycle/fuel-recycling/plutonium.aspx</w:t>
            </w:r>
          </w:p>
        </w:tc>
      </w:tr>
      <w:tr w:rsidR="00EF1E43" w:rsidRPr="00EF1E43" w14:paraId="66699869" w14:textId="77777777" w:rsidTr="00CC61F1">
        <w:trPr>
          <w:cantSplit/>
        </w:trPr>
        <w:tc>
          <w:tcPr>
            <w:tcW w:w="1555" w:type="dxa"/>
            <w:shd w:val="clear" w:color="auto" w:fill="FFFFFF" w:themeFill="background1"/>
            <w:noWrap/>
            <w:vAlign w:val="center"/>
            <w:hideMark/>
          </w:tcPr>
          <w:p w14:paraId="5E8BF18E" w14:textId="77777777" w:rsidR="00FF0F9B" w:rsidRPr="00EF1E43" w:rsidRDefault="00FF0F9B" w:rsidP="00374F41">
            <w:pPr>
              <w:jc w:val="center"/>
              <w:rPr>
                <w:sz w:val="24"/>
              </w:rPr>
            </w:pPr>
            <w:r w:rsidRPr="00EF1E43">
              <w:rPr>
                <w:sz w:val="24"/>
              </w:rPr>
              <w:t>35592</w:t>
            </w:r>
          </w:p>
        </w:tc>
        <w:tc>
          <w:tcPr>
            <w:tcW w:w="7371" w:type="dxa"/>
            <w:shd w:val="clear" w:color="auto" w:fill="FFFFFF" w:themeFill="background1"/>
            <w:vAlign w:val="center"/>
            <w:hideMark/>
          </w:tcPr>
          <w:p w14:paraId="39BEC3C8" w14:textId="77777777" w:rsidR="00FF0F9B" w:rsidRPr="00EF1E43" w:rsidRDefault="00FF0F9B" w:rsidP="00374F41">
            <w:pPr>
              <w:rPr>
                <w:sz w:val="24"/>
              </w:rPr>
            </w:pPr>
            <w:r w:rsidRPr="00EF1E43">
              <w:rPr>
                <w:sz w:val="24"/>
              </w:rPr>
              <w:t>Wrensch M, Chew T, Farren G, et al (2003). Risk factors for breast cancer in a population with high incidence rates. Breast Cancer Research, 5(4): R88-R102.</w:t>
            </w:r>
          </w:p>
        </w:tc>
      </w:tr>
      <w:tr w:rsidR="00EF1E43" w:rsidRPr="00EF1E43" w14:paraId="1A5E54ED" w14:textId="77777777" w:rsidTr="00CC61F1">
        <w:trPr>
          <w:cantSplit/>
        </w:trPr>
        <w:tc>
          <w:tcPr>
            <w:tcW w:w="1555" w:type="dxa"/>
            <w:shd w:val="clear" w:color="auto" w:fill="FFFFFF" w:themeFill="background1"/>
            <w:noWrap/>
            <w:vAlign w:val="center"/>
            <w:hideMark/>
          </w:tcPr>
          <w:p w14:paraId="7C08DC4B" w14:textId="77777777" w:rsidR="00FF0F9B" w:rsidRPr="00EF1E43" w:rsidRDefault="00FF0F9B" w:rsidP="00374F41">
            <w:pPr>
              <w:jc w:val="center"/>
              <w:rPr>
                <w:sz w:val="24"/>
              </w:rPr>
            </w:pPr>
            <w:r w:rsidRPr="00EF1E43">
              <w:rPr>
                <w:sz w:val="24"/>
              </w:rPr>
              <w:t>57671</w:t>
            </w:r>
          </w:p>
        </w:tc>
        <w:tc>
          <w:tcPr>
            <w:tcW w:w="7371" w:type="dxa"/>
            <w:shd w:val="clear" w:color="auto" w:fill="FFFFFF" w:themeFill="background1"/>
            <w:vAlign w:val="center"/>
            <w:hideMark/>
          </w:tcPr>
          <w:p w14:paraId="7AF81584" w14:textId="77777777" w:rsidR="00FF0F9B" w:rsidRPr="00EF1E43" w:rsidRDefault="00FF0F9B" w:rsidP="00374F41">
            <w:pPr>
              <w:rPr>
                <w:sz w:val="24"/>
              </w:rPr>
            </w:pPr>
            <w:r w:rsidRPr="00EF1E43">
              <w:rPr>
                <w:sz w:val="24"/>
              </w:rPr>
              <w:t>Wrixon AD (2008). New ICRP recommendations. J Radiol Prot, 28(2): 161-8.</w:t>
            </w:r>
          </w:p>
        </w:tc>
      </w:tr>
      <w:tr w:rsidR="00EF1E43" w:rsidRPr="00EF1E43" w14:paraId="1BEE5C87" w14:textId="77777777" w:rsidTr="00CC61F1">
        <w:trPr>
          <w:cantSplit/>
        </w:trPr>
        <w:tc>
          <w:tcPr>
            <w:tcW w:w="1555" w:type="dxa"/>
            <w:shd w:val="clear" w:color="auto" w:fill="FFFFFF" w:themeFill="background1"/>
            <w:noWrap/>
            <w:vAlign w:val="center"/>
            <w:hideMark/>
          </w:tcPr>
          <w:p w14:paraId="2FECD833" w14:textId="77777777" w:rsidR="00FF0F9B" w:rsidRPr="00EF1E43" w:rsidRDefault="00FF0F9B" w:rsidP="00374F41">
            <w:pPr>
              <w:jc w:val="center"/>
              <w:rPr>
                <w:sz w:val="24"/>
              </w:rPr>
            </w:pPr>
            <w:r w:rsidRPr="00EF1E43">
              <w:rPr>
                <w:sz w:val="24"/>
              </w:rPr>
              <w:t>37123</w:t>
            </w:r>
          </w:p>
        </w:tc>
        <w:tc>
          <w:tcPr>
            <w:tcW w:w="7371" w:type="dxa"/>
            <w:shd w:val="clear" w:color="auto" w:fill="FFFFFF" w:themeFill="background1"/>
            <w:vAlign w:val="center"/>
            <w:hideMark/>
          </w:tcPr>
          <w:p w14:paraId="2C2ED6AC" w14:textId="77777777" w:rsidR="00FF0F9B" w:rsidRPr="00EF1E43" w:rsidRDefault="00FF0F9B" w:rsidP="00374F41">
            <w:pPr>
              <w:rPr>
                <w:sz w:val="24"/>
              </w:rPr>
            </w:pPr>
            <w:r w:rsidRPr="00EF1E43">
              <w:rPr>
                <w:sz w:val="24"/>
              </w:rPr>
              <w:t>Wyshak G, Frisch RE (2000). Breast cancer among former college athletes compared to non-athletes: a 15-year follow-up. Br J Cancer, 82(3): 726-730.</w:t>
            </w:r>
          </w:p>
        </w:tc>
      </w:tr>
      <w:tr w:rsidR="00EF1E43" w:rsidRPr="00EF1E43" w14:paraId="6EC7665A" w14:textId="77777777" w:rsidTr="00CC61F1">
        <w:trPr>
          <w:cantSplit/>
        </w:trPr>
        <w:tc>
          <w:tcPr>
            <w:tcW w:w="1555" w:type="dxa"/>
            <w:shd w:val="clear" w:color="auto" w:fill="FFFFFF" w:themeFill="background1"/>
            <w:noWrap/>
            <w:vAlign w:val="center"/>
            <w:hideMark/>
          </w:tcPr>
          <w:p w14:paraId="22606AEE" w14:textId="77777777" w:rsidR="00FF0F9B" w:rsidRPr="00EF1E43" w:rsidRDefault="00FF0F9B" w:rsidP="00374F41">
            <w:pPr>
              <w:jc w:val="center"/>
              <w:rPr>
                <w:sz w:val="24"/>
              </w:rPr>
            </w:pPr>
            <w:r w:rsidRPr="00EF1E43">
              <w:rPr>
                <w:sz w:val="24"/>
              </w:rPr>
              <w:t>71693</w:t>
            </w:r>
          </w:p>
        </w:tc>
        <w:tc>
          <w:tcPr>
            <w:tcW w:w="7371" w:type="dxa"/>
            <w:shd w:val="clear" w:color="auto" w:fill="FFFFFF" w:themeFill="background1"/>
            <w:vAlign w:val="center"/>
            <w:hideMark/>
          </w:tcPr>
          <w:p w14:paraId="67F2F5AA" w14:textId="77777777" w:rsidR="00FF0F9B" w:rsidRPr="00EF1E43" w:rsidRDefault="00FF0F9B" w:rsidP="00374F41">
            <w:pPr>
              <w:rPr>
                <w:sz w:val="24"/>
              </w:rPr>
            </w:pPr>
            <w:r w:rsidRPr="00EF1E43">
              <w:rPr>
                <w:sz w:val="24"/>
              </w:rPr>
              <w:t>Xue F, Michels KB (2007). Diabetes, metabolic syndrome, and breast cancer: a review of the current evidence. Am J Clin Nutr, 86(Suppl): 823S-35S.</w:t>
            </w:r>
          </w:p>
        </w:tc>
      </w:tr>
      <w:tr w:rsidR="00EF1E43" w:rsidRPr="00EF1E43" w14:paraId="2DED8A97" w14:textId="77777777" w:rsidTr="00CC61F1">
        <w:trPr>
          <w:cantSplit/>
        </w:trPr>
        <w:tc>
          <w:tcPr>
            <w:tcW w:w="1555" w:type="dxa"/>
            <w:shd w:val="clear" w:color="auto" w:fill="FFFFFF" w:themeFill="background1"/>
            <w:noWrap/>
            <w:vAlign w:val="center"/>
            <w:hideMark/>
          </w:tcPr>
          <w:p w14:paraId="72AE849A" w14:textId="77777777" w:rsidR="00FF0F9B" w:rsidRPr="00EF1E43" w:rsidRDefault="00FF0F9B" w:rsidP="00374F41">
            <w:pPr>
              <w:jc w:val="center"/>
              <w:rPr>
                <w:sz w:val="24"/>
              </w:rPr>
            </w:pPr>
            <w:r w:rsidRPr="00EF1E43">
              <w:rPr>
                <w:sz w:val="24"/>
              </w:rPr>
              <w:t>35591</w:t>
            </w:r>
          </w:p>
        </w:tc>
        <w:tc>
          <w:tcPr>
            <w:tcW w:w="7371" w:type="dxa"/>
            <w:shd w:val="clear" w:color="auto" w:fill="FFFFFF" w:themeFill="background1"/>
            <w:vAlign w:val="center"/>
            <w:hideMark/>
          </w:tcPr>
          <w:p w14:paraId="2C21F62B" w14:textId="77777777" w:rsidR="00FF0F9B" w:rsidRPr="00EF1E43" w:rsidRDefault="00FF0F9B" w:rsidP="00374F41">
            <w:pPr>
              <w:rPr>
                <w:sz w:val="24"/>
              </w:rPr>
            </w:pPr>
            <w:r w:rsidRPr="00EF1E43">
              <w:rPr>
                <w:sz w:val="24"/>
              </w:rPr>
              <w:t>Yahalom J (2003). Breast cancer after Hodgkin Disease - Hope for a safer cure. JAMA, 290(4): 529-31.</w:t>
            </w:r>
          </w:p>
        </w:tc>
      </w:tr>
      <w:tr w:rsidR="00EF1E43" w:rsidRPr="00EF1E43" w14:paraId="4DA6A75D" w14:textId="77777777" w:rsidTr="00CC61F1">
        <w:trPr>
          <w:cantSplit/>
        </w:trPr>
        <w:tc>
          <w:tcPr>
            <w:tcW w:w="1555" w:type="dxa"/>
            <w:shd w:val="clear" w:color="auto" w:fill="FFFFFF" w:themeFill="background1"/>
            <w:noWrap/>
            <w:vAlign w:val="center"/>
            <w:hideMark/>
          </w:tcPr>
          <w:p w14:paraId="0CEA9AD3" w14:textId="77777777" w:rsidR="00FF0F9B" w:rsidRPr="00EF1E43" w:rsidRDefault="00FF0F9B" w:rsidP="00374F41">
            <w:pPr>
              <w:jc w:val="center"/>
              <w:rPr>
                <w:sz w:val="24"/>
              </w:rPr>
            </w:pPr>
            <w:r w:rsidRPr="00EF1E43">
              <w:rPr>
                <w:sz w:val="24"/>
              </w:rPr>
              <w:t>37127</w:t>
            </w:r>
          </w:p>
        </w:tc>
        <w:tc>
          <w:tcPr>
            <w:tcW w:w="7371" w:type="dxa"/>
            <w:shd w:val="clear" w:color="auto" w:fill="FFFFFF" w:themeFill="background1"/>
            <w:vAlign w:val="center"/>
            <w:hideMark/>
          </w:tcPr>
          <w:p w14:paraId="1F424D92" w14:textId="77777777" w:rsidR="00FF0F9B" w:rsidRPr="00EF1E43" w:rsidRDefault="00FF0F9B" w:rsidP="00374F41">
            <w:pPr>
              <w:rPr>
                <w:sz w:val="24"/>
              </w:rPr>
            </w:pPr>
            <w:r w:rsidRPr="00EF1E43">
              <w:rPr>
                <w:sz w:val="24"/>
              </w:rPr>
              <w:t>Yang D, Bernstein L, Wu AH (2003). Physical activity and breast cancer risk among Asian-American women in Los Angeles. A case-control study. Cancer, 97: 2565-75.</w:t>
            </w:r>
          </w:p>
        </w:tc>
      </w:tr>
      <w:tr w:rsidR="00EF1E43" w:rsidRPr="00EF1E43" w14:paraId="3EA13522" w14:textId="77777777" w:rsidTr="00CC61F1">
        <w:trPr>
          <w:cantSplit/>
        </w:trPr>
        <w:tc>
          <w:tcPr>
            <w:tcW w:w="1555" w:type="dxa"/>
            <w:shd w:val="clear" w:color="auto" w:fill="FFFFFF" w:themeFill="background1"/>
            <w:noWrap/>
            <w:vAlign w:val="center"/>
            <w:hideMark/>
          </w:tcPr>
          <w:p w14:paraId="0D6F8603" w14:textId="77777777" w:rsidR="00FF0F9B" w:rsidRPr="00EF1E43" w:rsidRDefault="00FF0F9B" w:rsidP="00374F41">
            <w:pPr>
              <w:jc w:val="center"/>
              <w:rPr>
                <w:sz w:val="24"/>
              </w:rPr>
            </w:pPr>
            <w:r w:rsidRPr="00EF1E43">
              <w:rPr>
                <w:sz w:val="24"/>
              </w:rPr>
              <w:lastRenderedPageBreak/>
              <w:t>15740</w:t>
            </w:r>
          </w:p>
        </w:tc>
        <w:tc>
          <w:tcPr>
            <w:tcW w:w="7371" w:type="dxa"/>
            <w:shd w:val="clear" w:color="auto" w:fill="FFFFFF" w:themeFill="background1"/>
            <w:vAlign w:val="center"/>
            <w:hideMark/>
          </w:tcPr>
          <w:p w14:paraId="0A74D1CC" w14:textId="77777777" w:rsidR="00FF0F9B" w:rsidRPr="00EF1E43" w:rsidRDefault="00FF0F9B" w:rsidP="00374F41">
            <w:pPr>
              <w:rPr>
                <w:sz w:val="24"/>
              </w:rPr>
            </w:pPr>
            <w:r w:rsidRPr="00EF1E43">
              <w:rPr>
                <w:sz w:val="24"/>
              </w:rPr>
              <w:t>Yin SN, Hayes RB, Linet MS, et al (1996). A cohort study of cancer among benzene-exposed workers in China: overall results. Am J Ind Med, 29(3): 227-35.</w:t>
            </w:r>
          </w:p>
        </w:tc>
      </w:tr>
      <w:tr w:rsidR="00EF1E43" w:rsidRPr="00EF1E43" w14:paraId="289D0F6D" w14:textId="77777777" w:rsidTr="00CC61F1">
        <w:trPr>
          <w:cantSplit/>
        </w:trPr>
        <w:tc>
          <w:tcPr>
            <w:tcW w:w="1555" w:type="dxa"/>
            <w:shd w:val="clear" w:color="auto" w:fill="FFFFFF" w:themeFill="background1"/>
            <w:noWrap/>
            <w:vAlign w:val="center"/>
            <w:hideMark/>
          </w:tcPr>
          <w:p w14:paraId="498031C4" w14:textId="77777777" w:rsidR="00FF0F9B" w:rsidRPr="00EF1E43" w:rsidRDefault="00FF0F9B" w:rsidP="00374F41">
            <w:pPr>
              <w:jc w:val="center"/>
              <w:rPr>
                <w:sz w:val="24"/>
              </w:rPr>
            </w:pPr>
            <w:r w:rsidRPr="00EF1E43">
              <w:rPr>
                <w:sz w:val="24"/>
              </w:rPr>
              <w:t>9275</w:t>
            </w:r>
          </w:p>
        </w:tc>
        <w:tc>
          <w:tcPr>
            <w:tcW w:w="7371" w:type="dxa"/>
            <w:shd w:val="clear" w:color="auto" w:fill="FFFFFF" w:themeFill="background1"/>
            <w:vAlign w:val="center"/>
            <w:hideMark/>
          </w:tcPr>
          <w:p w14:paraId="560212EE" w14:textId="77777777" w:rsidR="00FF0F9B" w:rsidRPr="00EF1E43" w:rsidRDefault="00FF0F9B" w:rsidP="00374F41">
            <w:pPr>
              <w:rPr>
                <w:sz w:val="24"/>
              </w:rPr>
            </w:pPr>
            <w:r w:rsidRPr="00EF1E43">
              <w:rPr>
                <w:sz w:val="24"/>
              </w:rPr>
              <w:t>Yong LC, Brown CC, Schatzkin A, et al (1996). Prospective study of relative weight and risk of breast cancer: the breast cancer detection demonstration project follow-up study, 1979 to 1987-1989. Am J Epidemiol, 143(10): 985-95.</w:t>
            </w:r>
          </w:p>
        </w:tc>
      </w:tr>
      <w:tr w:rsidR="00EF1E43" w:rsidRPr="00EF1E43" w14:paraId="6B5A5E25" w14:textId="77777777" w:rsidTr="00CC61F1">
        <w:trPr>
          <w:cantSplit/>
        </w:trPr>
        <w:tc>
          <w:tcPr>
            <w:tcW w:w="1555" w:type="dxa"/>
            <w:shd w:val="clear" w:color="auto" w:fill="FFFFFF" w:themeFill="background1"/>
            <w:noWrap/>
            <w:vAlign w:val="center"/>
            <w:hideMark/>
          </w:tcPr>
          <w:p w14:paraId="2C658FB5" w14:textId="77777777" w:rsidR="00FF0F9B" w:rsidRPr="00EF1E43" w:rsidRDefault="00FF0F9B" w:rsidP="00374F41">
            <w:pPr>
              <w:jc w:val="center"/>
              <w:rPr>
                <w:sz w:val="24"/>
              </w:rPr>
            </w:pPr>
            <w:r w:rsidRPr="00EF1E43">
              <w:rPr>
                <w:sz w:val="24"/>
              </w:rPr>
              <w:t>71695</w:t>
            </w:r>
          </w:p>
        </w:tc>
        <w:tc>
          <w:tcPr>
            <w:tcW w:w="7371" w:type="dxa"/>
            <w:shd w:val="clear" w:color="auto" w:fill="FFFFFF" w:themeFill="background1"/>
            <w:vAlign w:val="center"/>
            <w:hideMark/>
          </w:tcPr>
          <w:p w14:paraId="4F46D4B1" w14:textId="77777777" w:rsidR="00FF0F9B" w:rsidRPr="00EF1E43" w:rsidRDefault="00FF0F9B" w:rsidP="00374F41">
            <w:pPr>
              <w:rPr>
                <w:sz w:val="24"/>
              </w:rPr>
            </w:pPr>
            <w:r w:rsidRPr="00EF1E43">
              <w:rPr>
                <w:sz w:val="24"/>
              </w:rPr>
              <w:t>Yong M, Nasterlack M (2012). Shift work and cancer: state of science and practical consequences. Arh Hig Rada Toksikol, 63: 153-60.</w:t>
            </w:r>
          </w:p>
        </w:tc>
      </w:tr>
      <w:tr w:rsidR="00EF1E43" w:rsidRPr="00EF1E43" w14:paraId="3F05FFD3" w14:textId="77777777" w:rsidTr="00CC61F1">
        <w:trPr>
          <w:cantSplit/>
        </w:trPr>
        <w:tc>
          <w:tcPr>
            <w:tcW w:w="1555" w:type="dxa"/>
            <w:shd w:val="clear" w:color="auto" w:fill="FFFFFF" w:themeFill="background1"/>
            <w:noWrap/>
            <w:vAlign w:val="center"/>
            <w:hideMark/>
          </w:tcPr>
          <w:p w14:paraId="04DA951A" w14:textId="77777777" w:rsidR="00FF0F9B" w:rsidRPr="00EF1E43" w:rsidRDefault="00FF0F9B" w:rsidP="00374F41">
            <w:pPr>
              <w:jc w:val="center"/>
              <w:rPr>
                <w:sz w:val="24"/>
              </w:rPr>
            </w:pPr>
            <w:r w:rsidRPr="00EF1E43">
              <w:rPr>
                <w:sz w:val="24"/>
              </w:rPr>
              <w:t>36914</w:t>
            </w:r>
          </w:p>
        </w:tc>
        <w:tc>
          <w:tcPr>
            <w:tcW w:w="7371" w:type="dxa"/>
            <w:shd w:val="clear" w:color="auto" w:fill="FFFFFF" w:themeFill="background1"/>
            <w:vAlign w:val="center"/>
            <w:hideMark/>
          </w:tcPr>
          <w:p w14:paraId="5096AA09" w14:textId="77777777" w:rsidR="00FF0F9B" w:rsidRPr="00EF1E43" w:rsidRDefault="00FF0F9B" w:rsidP="00374F41">
            <w:pPr>
              <w:rPr>
                <w:sz w:val="24"/>
              </w:rPr>
            </w:pPr>
            <w:r w:rsidRPr="00EF1E43">
              <w:rPr>
                <w:sz w:val="24"/>
              </w:rPr>
              <w:t>Yoo KY, Tajima K, Park SK, et al (2001). Postmenopausal obesity as a breast cancer risk factor according to estrogen and progesterone receptor status (Japan). Cancer Letters, 167: 57-63.</w:t>
            </w:r>
          </w:p>
        </w:tc>
      </w:tr>
      <w:tr w:rsidR="00EF1E43" w:rsidRPr="00EF1E43" w14:paraId="667DB224" w14:textId="77777777" w:rsidTr="00CC61F1">
        <w:trPr>
          <w:cantSplit/>
        </w:trPr>
        <w:tc>
          <w:tcPr>
            <w:tcW w:w="1555" w:type="dxa"/>
            <w:shd w:val="clear" w:color="auto" w:fill="FFFFFF" w:themeFill="background1"/>
            <w:noWrap/>
            <w:vAlign w:val="center"/>
            <w:hideMark/>
          </w:tcPr>
          <w:p w14:paraId="64341259" w14:textId="77777777" w:rsidR="00FF0F9B" w:rsidRPr="00EF1E43" w:rsidRDefault="00FF0F9B" w:rsidP="00374F41">
            <w:pPr>
              <w:jc w:val="center"/>
              <w:rPr>
                <w:sz w:val="24"/>
              </w:rPr>
            </w:pPr>
            <w:r w:rsidRPr="00EF1E43">
              <w:rPr>
                <w:sz w:val="24"/>
              </w:rPr>
              <w:t>38264</w:t>
            </w:r>
          </w:p>
        </w:tc>
        <w:tc>
          <w:tcPr>
            <w:tcW w:w="7371" w:type="dxa"/>
            <w:shd w:val="clear" w:color="auto" w:fill="FFFFFF" w:themeFill="background1"/>
            <w:vAlign w:val="center"/>
            <w:hideMark/>
          </w:tcPr>
          <w:p w14:paraId="3CB0D239" w14:textId="77777777" w:rsidR="00FF0F9B" w:rsidRPr="00EF1E43" w:rsidRDefault="00FF0F9B" w:rsidP="00374F41">
            <w:pPr>
              <w:rPr>
                <w:sz w:val="24"/>
              </w:rPr>
            </w:pPr>
            <w:r w:rsidRPr="00EF1E43">
              <w:rPr>
                <w:sz w:val="24"/>
              </w:rPr>
              <w:t>Zakaria HM, Al-Mulhim AM, Hadi MS (2004). Male breast carcinoma: experience from a university hospital in Saudi Arabia. The Breast Journal, 10(5): 466-8.</w:t>
            </w:r>
          </w:p>
        </w:tc>
      </w:tr>
      <w:tr w:rsidR="00EF1E43" w:rsidRPr="00EF1E43" w14:paraId="12B20E25" w14:textId="77777777" w:rsidTr="00CC61F1">
        <w:trPr>
          <w:cantSplit/>
        </w:trPr>
        <w:tc>
          <w:tcPr>
            <w:tcW w:w="1555" w:type="dxa"/>
            <w:shd w:val="clear" w:color="auto" w:fill="FFFFFF" w:themeFill="background1"/>
            <w:noWrap/>
            <w:vAlign w:val="center"/>
            <w:hideMark/>
          </w:tcPr>
          <w:p w14:paraId="7F27FC52" w14:textId="77777777" w:rsidR="00FF0F9B" w:rsidRPr="00EF1E43" w:rsidRDefault="00FF0F9B" w:rsidP="00374F41">
            <w:pPr>
              <w:jc w:val="center"/>
              <w:rPr>
                <w:sz w:val="24"/>
              </w:rPr>
            </w:pPr>
            <w:r w:rsidRPr="00EF1E43">
              <w:rPr>
                <w:sz w:val="24"/>
              </w:rPr>
              <w:t>35731</w:t>
            </w:r>
          </w:p>
        </w:tc>
        <w:tc>
          <w:tcPr>
            <w:tcW w:w="7371" w:type="dxa"/>
            <w:shd w:val="clear" w:color="auto" w:fill="FFFFFF" w:themeFill="background1"/>
            <w:vAlign w:val="center"/>
            <w:hideMark/>
          </w:tcPr>
          <w:p w14:paraId="3C07CF8C" w14:textId="77777777" w:rsidR="00FF0F9B" w:rsidRPr="00EF1E43" w:rsidRDefault="00FF0F9B" w:rsidP="00374F41">
            <w:pPr>
              <w:rPr>
                <w:sz w:val="24"/>
              </w:rPr>
            </w:pPr>
            <w:r w:rsidRPr="00EF1E43">
              <w:rPr>
                <w:sz w:val="24"/>
              </w:rPr>
              <w:t>Zheng T, Holford TR, Mayne ST, et al (2001). Lactation and breast cancer risk: a case-control study in Connecticut. British Journal of Cancer, 84(11): 1472-1476.</w:t>
            </w:r>
          </w:p>
        </w:tc>
      </w:tr>
      <w:tr w:rsidR="00EF1E43" w:rsidRPr="00EF1E43" w14:paraId="21D72B89" w14:textId="77777777" w:rsidTr="00CC61F1">
        <w:trPr>
          <w:cantSplit/>
        </w:trPr>
        <w:tc>
          <w:tcPr>
            <w:tcW w:w="1555" w:type="dxa"/>
            <w:shd w:val="clear" w:color="auto" w:fill="FFFFFF" w:themeFill="background1"/>
            <w:noWrap/>
            <w:vAlign w:val="center"/>
            <w:hideMark/>
          </w:tcPr>
          <w:p w14:paraId="53D56494" w14:textId="77777777" w:rsidR="00FF0F9B" w:rsidRPr="00EF1E43" w:rsidRDefault="00FF0F9B" w:rsidP="00374F41">
            <w:pPr>
              <w:jc w:val="center"/>
              <w:rPr>
                <w:sz w:val="24"/>
              </w:rPr>
            </w:pPr>
            <w:r w:rsidRPr="00EF1E43">
              <w:rPr>
                <w:sz w:val="24"/>
              </w:rPr>
              <w:t>35567</w:t>
            </w:r>
          </w:p>
        </w:tc>
        <w:tc>
          <w:tcPr>
            <w:tcW w:w="7371" w:type="dxa"/>
            <w:shd w:val="clear" w:color="auto" w:fill="FFFFFF" w:themeFill="background1"/>
            <w:vAlign w:val="center"/>
            <w:hideMark/>
          </w:tcPr>
          <w:p w14:paraId="3C805204" w14:textId="77777777" w:rsidR="00FF0F9B" w:rsidRPr="00EF1E43" w:rsidRDefault="00FF0F9B" w:rsidP="00374F41">
            <w:pPr>
              <w:rPr>
                <w:sz w:val="24"/>
              </w:rPr>
            </w:pPr>
            <w:r w:rsidRPr="00EF1E43">
              <w:rPr>
                <w:sz w:val="24"/>
              </w:rPr>
              <w:t>Zheng T, Holford TR, Mayne ST, et al (2002). Radiation exposure from diagnostic and therapeutic treatments and risk of breast cancer. Eur J Cancer Prev, 11: 229-35.</w:t>
            </w:r>
          </w:p>
        </w:tc>
      </w:tr>
      <w:tr w:rsidR="00EF1E43" w:rsidRPr="00EF1E43" w14:paraId="226EC603" w14:textId="77777777" w:rsidTr="00CC61F1">
        <w:trPr>
          <w:cantSplit/>
        </w:trPr>
        <w:tc>
          <w:tcPr>
            <w:tcW w:w="1555" w:type="dxa"/>
            <w:shd w:val="clear" w:color="auto" w:fill="FFFFFF" w:themeFill="background1"/>
            <w:noWrap/>
            <w:vAlign w:val="center"/>
            <w:hideMark/>
          </w:tcPr>
          <w:p w14:paraId="56ADF691" w14:textId="77777777" w:rsidR="00FF0F9B" w:rsidRPr="00EF1E43" w:rsidRDefault="00FF0F9B" w:rsidP="00374F41">
            <w:pPr>
              <w:jc w:val="center"/>
              <w:rPr>
                <w:sz w:val="24"/>
              </w:rPr>
            </w:pPr>
            <w:r w:rsidRPr="00EF1E43">
              <w:rPr>
                <w:sz w:val="24"/>
              </w:rPr>
              <w:t>87310</w:t>
            </w:r>
          </w:p>
        </w:tc>
        <w:tc>
          <w:tcPr>
            <w:tcW w:w="7371" w:type="dxa"/>
            <w:shd w:val="clear" w:color="auto" w:fill="FFFFFF" w:themeFill="background1"/>
            <w:vAlign w:val="center"/>
            <w:hideMark/>
          </w:tcPr>
          <w:p w14:paraId="6AD903AC" w14:textId="77777777" w:rsidR="00FF0F9B" w:rsidRPr="00EF1E43" w:rsidRDefault="00FF0F9B" w:rsidP="00374F41">
            <w:pPr>
              <w:rPr>
                <w:sz w:val="24"/>
              </w:rPr>
            </w:pPr>
            <w:r w:rsidRPr="00EF1E43">
              <w:rPr>
                <w:sz w:val="24"/>
              </w:rPr>
              <w:t>Zhou Y, Chen J, Li Q, et al (2015). Association between breastfeeding and breast cancer risk: Evidence from a meta-analysis. Breastfeed Med, 10(3): 175-82.</w:t>
            </w:r>
          </w:p>
        </w:tc>
      </w:tr>
      <w:tr w:rsidR="00EF1E43" w:rsidRPr="00EF1E43" w14:paraId="73AC79DA" w14:textId="77777777" w:rsidTr="00CC61F1">
        <w:trPr>
          <w:cantSplit/>
        </w:trPr>
        <w:tc>
          <w:tcPr>
            <w:tcW w:w="1555" w:type="dxa"/>
            <w:shd w:val="clear" w:color="auto" w:fill="FFFFFF" w:themeFill="background1"/>
            <w:noWrap/>
            <w:vAlign w:val="center"/>
            <w:hideMark/>
          </w:tcPr>
          <w:p w14:paraId="0EAF238E" w14:textId="77777777" w:rsidR="00FF0F9B" w:rsidRPr="00EF1E43" w:rsidRDefault="00FF0F9B" w:rsidP="00374F41">
            <w:pPr>
              <w:jc w:val="center"/>
              <w:rPr>
                <w:sz w:val="24"/>
              </w:rPr>
            </w:pPr>
            <w:r w:rsidRPr="00EF1E43">
              <w:rPr>
                <w:sz w:val="24"/>
              </w:rPr>
              <w:t>36923</w:t>
            </w:r>
          </w:p>
        </w:tc>
        <w:tc>
          <w:tcPr>
            <w:tcW w:w="7371" w:type="dxa"/>
            <w:shd w:val="clear" w:color="auto" w:fill="FFFFFF" w:themeFill="background1"/>
            <w:vAlign w:val="center"/>
            <w:hideMark/>
          </w:tcPr>
          <w:p w14:paraId="6FF3B67B" w14:textId="77777777" w:rsidR="00FF0F9B" w:rsidRPr="00EF1E43" w:rsidRDefault="00FF0F9B" w:rsidP="00374F41">
            <w:pPr>
              <w:rPr>
                <w:sz w:val="24"/>
              </w:rPr>
            </w:pPr>
            <w:r w:rsidRPr="00EF1E43">
              <w:rPr>
                <w:sz w:val="24"/>
              </w:rPr>
              <w:t>Zhu K, Caulfield J, Hunter S, et al (2005). Body mass index and breast cancer risk in African American women. Ann Epidemiol, 15: 123-8.</w:t>
            </w:r>
          </w:p>
        </w:tc>
      </w:tr>
      <w:tr w:rsidR="00EF1E43" w:rsidRPr="00EF1E43" w14:paraId="52480A4B" w14:textId="77777777" w:rsidTr="00CC61F1">
        <w:trPr>
          <w:cantSplit/>
        </w:trPr>
        <w:tc>
          <w:tcPr>
            <w:tcW w:w="1555" w:type="dxa"/>
            <w:shd w:val="clear" w:color="auto" w:fill="FFFFFF" w:themeFill="background1"/>
            <w:noWrap/>
            <w:vAlign w:val="center"/>
            <w:hideMark/>
          </w:tcPr>
          <w:p w14:paraId="3ACB9310" w14:textId="77777777" w:rsidR="00FF0F9B" w:rsidRPr="00EF1E43" w:rsidRDefault="00FF0F9B" w:rsidP="00374F41">
            <w:pPr>
              <w:jc w:val="center"/>
              <w:rPr>
                <w:sz w:val="24"/>
              </w:rPr>
            </w:pPr>
            <w:r w:rsidRPr="00EF1E43">
              <w:rPr>
                <w:sz w:val="24"/>
              </w:rPr>
              <w:t>35603</w:t>
            </w:r>
          </w:p>
        </w:tc>
        <w:tc>
          <w:tcPr>
            <w:tcW w:w="7371" w:type="dxa"/>
            <w:shd w:val="clear" w:color="auto" w:fill="FFFFFF" w:themeFill="background1"/>
            <w:vAlign w:val="center"/>
            <w:hideMark/>
          </w:tcPr>
          <w:p w14:paraId="2ED591D3" w14:textId="77777777" w:rsidR="00FF0F9B" w:rsidRPr="00EF1E43" w:rsidRDefault="00FF0F9B" w:rsidP="00374F41">
            <w:pPr>
              <w:rPr>
                <w:sz w:val="24"/>
              </w:rPr>
            </w:pPr>
            <w:r w:rsidRPr="00EF1E43">
              <w:rPr>
                <w:sz w:val="24"/>
              </w:rPr>
              <w:t>Zhu K, Hunter S, Payne-Wilks K, et al (2003). Use of electric bedding devices and risk of breast cancer in African-American women. American Journal of Epidemiology, 158(8): 798-806.</w:t>
            </w:r>
          </w:p>
        </w:tc>
      </w:tr>
      <w:tr w:rsidR="00EF1E43" w:rsidRPr="00EF1E43" w14:paraId="7084AD74" w14:textId="77777777" w:rsidTr="00CC61F1">
        <w:trPr>
          <w:cantSplit/>
        </w:trPr>
        <w:tc>
          <w:tcPr>
            <w:tcW w:w="1555" w:type="dxa"/>
            <w:shd w:val="clear" w:color="auto" w:fill="FFFFFF" w:themeFill="background1"/>
            <w:noWrap/>
            <w:vAlign w:val="center"/>
            <w:hideMark/>
          </w:tcPr>
          <w:p w14:paraId="30BFB364" w14:textId="77777777" w:rsidR="00FF0F9B" w:rsidRPr="00EF1E43" w:rsidRDefault="00FF0F9B" w:rsidP="00374F41">
            <w:pPr>
              <w:jc w:val="center"/>
              <w:rPr>
                <w:sz w:val="24"/>
              </w:rPr>
            </w:pPr>
            <w:r w:rsidRPr="00EF1E43">
              <w:rPr>
                <w:sz w:val="24"/>
              </w:rPr>
              <w:t>87311</w:t>
            </w:r>
          </w:p>
        </w:tc>
        <w:tc>
          <w:tcPr>
            <w:tcW w:w="7371" w:type="dxa"/>
            <w:shd w:val="clear" w:color="auto" w:fill="FFFFFF" w:themeFill="background1"/>
            <w:vAlign w:val="center"/>
            <w:hideMark/>
          </w:tcPr>
          <w:p w14:paraId="4551DC7E" w14:textId="77777777" w:rsidR="00FF0F9B" w:rsidRPr="00EF1E43" w:rsidRDefault="00FF0F9B" w:rsidP="00374F41">
            <w:pPr>
              <w:rPr>
                <w:sz w:val="24"/>
              </w:rPr>
            </w:pPr>
            <w:r w:rsidRPr="00EF1E43">
              <w:rPr>
                <w:sz w:val="24"/>
              </w:rPr>
              <w:t>Zidi I, Kharrat N, Sebai R, et al (2016). Pregnancy and breastfeeding: a new theory for sHLA-G in breast cancer patients? Immunol Res, 64(2): 636-9.</w:t>
            </w:r>
          </w:p>
        </w:tc>
      </w:tr>
      <w:tr w:rsidR="00EF1E43" w:rsidRPr="00EF1E43" w14:paraId="2F5E997C" w14:textId="77777777" w:rsidTr="00CC61F1">
        <w:trPr>
          <w:cantSplit/>
        </w:trPr>
        <w:tc>
          <w:tcPr>
            <w:tcW w:w="1555" w:type="dxa"/>
            <w:shd w:val="clear" w:color="auto" w:fill="FFFFFF" w:themeFill="background1"/>
            <w:noWrap/>
            <w:vAlign w:val="center"/>
            <w:hideMark/>
          </w:tcPr>
          <w:p w14:paraId="2CFF399F" w14:textId="77777777" w:rsidR="00FF0F9B" w:rsidRPr="00EF1E43" w:rsidRDefault="00FF0F9B" w:rsidP="00374F41">
            <w:pPr>
              <w:jc w:val="center"/>
              <w:rPr>
                <w:sz w:val="24"/>
              </w:rPr>
            </w:pPr>
            <w:r w:rsidRPr="00EF1E43">
              <w:rPr>
                <w:sz w:val="24"/>
              </w:rPr>
              <w:t>36907</w:t>
            </w:r>
          </w:p>
        </w:tc>
        <w:tc>
          <w:tcPr>
            <w:tcW w:w="7371" w:type="dxa"/>
            <w:shd w:val="clear" w:color="auto" w:fill="FFFFFF" w:themeFill="background1"/>
            <w:vAlign w:val="center"/>
            <w:hideMark/>
          </w:tcPr>
          <w:p w14:paraId="5652539D" w14:textId="77777777" w:rsidR="00FF0F9B" w:rsidRPr="00EF1E43" w:rsidRDefault="00FF0F9B" w:rsidP="00374F41">
            <w:pPr>
              <w:rPr>
                <w:sz w:val="24"/>
              </w:rPr>
            </w:pPr>
            <w:r w:rsidRPr="00EF1E43">
              <w:rPr>
                <w:sz w:val="24"/>
              </w:rPr>
              <w:t>Ziegler RG, Hoover RN, Nomura AMY, et al (1996). Relative weight, weight change, height, and breast cancer risk in Asian-American women. JNCI, 88(10): 650-60.</w:t>
            </w:r>
          </w:p>
        </w:tc>
      </w:tr>
      <w:tr w:rsidR="00EF1E43" w:rsidRPr="00EF1E43" w14:paraId="21DA82A1" w14:textId="77777777" w:rsidTr="00CC61F1">
        <w:trPr>
          <w:cantSplit/>
        </w:trPr>
        <w:tc>
          <w:tcPr>
            <w:tcW w:w="1555" w:type="dxa"/>
            <w:shd w:val="clear" w:color="auto" w:fill="FFFFFF" w:themeFill="background1"/>
            <w:noWrap/>
            <w:vAlign w:val="center"/>
            <w:hideMark/>
          </w:tcPr>
          <w:p w14:paraId="5B32EFA7" w14:textId="77777777" w:rsidR="00FF0F9B" w:rsidRPr="00EF1E43" w:rsidRDefault="00FF0F9B" w:rsidP="00374F41">
            <w:pPr>
              <w:jc w:val="center"/>
              <w:rPr>
                <w:sz w:val="24"/>
              </w:rPr>
            </w:pPr>
            <w:r w:rsidRPr="00EF1E43">
              <w:rPr>
                <w:sz w:val="24"/>
              </w:rPr>
              <w:t>35613</w:t>
            </w:r>
          </w:p>
        </w:tc>
        <w:tc>
          <w:tcPr>
            <w:tcW w:w="7371" w:type="dxa"/>
            <w:shd w:val="clear" w:color="auto" w:fill="FFFFFF" w:themeFill="background1"/>
            <w:vAlign w:val="center"/>
            <w:hideMark/>
          </w:tcPr>
          <w:p w14:paraId="4C20D00E" w14:textId="77777777" w:rsidR="00FF0F9B" w:rsidRPr="00EF1E43" w:rsidRDefault="00FF0F9B" w:rsidP="00374F41">
            <w:pPr>
              <w:rPr>
                <w:sz w:val="24"/>
              </w:rPr>
            </w:pPr>
            <w:r w:rsidRPr="00EF1E43">
              <w:rPr>
                <w:sz w:val="24"/>
              </w:rPr>
              <w:t>Zielinski SL (2005). Study examines NSAID use and breast cancer risk. J National Cancer Institute, 97(11): 785.</w:t>
            </w:r>
          </w:p>
        </w:tc>
      </w:tr>
      <w:tr w:rsidR="00EF1E43" w:rsidRPr="00EF1E43" w14:paraId="2DE0B16B" w14:textId="77777777" w:rsidTr="00CC61F1">
        <w:trPr>
          <w:cantSplit/>
        </w:trPr>
        <w:tc>
          <w:tcPr>
            <w:tcW w:w="1555" w:type="dxa"/>
            <w:shd w:val="clear" w:color="auto" w:fill="FFFFFF" w:themeFill="background1"/>
            <w:noWrap/>
            <w:vAlign w:val="center"/>
            <w:hideMark/>
          </w:tcPr>
          <w:p w14:paraId="56D21049" w14:textId="77777777" w:rsidR="00FF0F9B" w:rsidRPr="00EF1E43" w:rsidRDefault="00FF0F9B" w:rsidP="00374F41">
            <w:pPr>
              <w:jc w:val="center"/>
              <w:rPr>
                <w:sz w:val="24"/>
              </w:rPr>
            </w:pPr>
            <w:r w:rsidRPr="00EF1E43">
              <w:rPr>
                <w:sz w:val="24"/>
              </w:rPr>
              <w:t>71697</w:t>
            </w:r>
          </w:p>
        </w:tc>
        <w:tc>
          <w:tcPr>
            <w:tcW w:w="7371" w:type="dxa"/>
            <w:shd w:val="clear" w:color="auto" w:fill="FFFFFF" w:themeFill="background1"/>
            <w:vAlign w:val="center"/>
            <w:hideMark/>
          </w:tcPr>
          <w:p w14:paraId="53C7AA64" w14:textId="77777777" w:rsidR="00FF0F9B" w:rsidRPr="00EF1E43" w:rsidRDefault="00FF0F9B" w:rsidP="00374F41">
            <w:pPr>
              <w:rPr>
                <w:sz w:val="24"/>
              </w:rPr>
            </w:pPr>
            <w:r w:rsidRPr="00EF1E43">
              <w:rPr>
                <w:sz w:val="24"/>
              </w:rPr>
              <w:t>Zreik TG, Mazloom A, Chen Y, et al (2010). Fertility drugs and the risk of breast cancer: a meta-analysis and review. Breast Cancer Res Treat, 124: 13-26.</w:t>
            </w:r>
          </w:p>
        </w:tc>
      </w:tr>
    </w:tbl>
    <w:p w14:paraId="20032FB6" w14:textId="77777777" w:rsidR="00B671A4" w:rsidRPr="00EF1E43" w:rsidRDefault="00B671A4" w:rsidP="00374F41">
      <w:pPr>
        <w:jc w:val="both"/>
        <w:rPr>
          <w:sz w:val="24"/>
        </w:rPr>
      </w:pPr>
    </w:p>
    <w:p w14:paraId="354A2ACA" w14:textId="77777777" w:rsidR="008F6149" w:rsidRPr="00EF1E43" w:rsidRDefault="008F6149" w:rsidP="00374F41">
      <w:pPr>
        <w:pStyle w:val="Heading2"/>
        <w:keepNext w:val="0"/>
        <w:keepLines w:val="0"/>
        <w:rPr>
          <w:sz w:val="24"/>
          <w:szCs w:val="24"/>
        </w:rPr>
        <w:sectPr w:rsidR="008F6149" w:rsidRPr="00EF1E43" w:rsidSect="00FA4B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tbl>
      <w:tblPr>
        <w:tblW w:w="8250" w:type="dxa"/>
        <w:tblLayout w:type="fixed"/>
        <w:tblCellMar>
          <w:left w:w="30" w:type="dxa"/>
          <w:right w:w="30" w:type="dxa"/>
        </w:tblCellMar>
        <w:tblLook w:val="0000" w:firstRow="0" w:lastRow="0" w:firstColumn="0" w:lastColumn="0" w:noHBand="0" w:noVBand="0"/>
      </w:tblPr>
      <w:tblGrid>
        <w:gridCol w:w="8250"/>
      </w:tblGrid>
      <w:tr w:rsidR="0061279B" w:rsidRPr="00EF1E43" w14:paraId="4E855A27" w14:textId="77777777" w:rsidTr="032D082D">
        <w:trPr>
          <w:cantSplit/>
          <w:trHeight w:val="851"/>
        </w:trPr>
        <w:tc>
          <w:tcPr>
            <w:tcW w:w="8250" w:type="dxa"/>
            <w:vAlign w:val="center"/>
          </w:tcPr>
          <w:p w14:paraId="795860C5" w14:textId="7980FBA1" w:rsidR="0061279B" w:rsidRPr="00EF1E43" w:rsidRDefault="4A8DCAA0" w:rsidP="00374F41">
            <w:pPr>
              <w:pStyle w:val="Heading2"/>
              <w:keepNext w:val="0"/>
              <w:keepLines w:val="0"/>
              <w:rPr>
                <w:sz w:val="24"/>
                <w:szCs w:val="24"/>
              </w:rPr>
            </w:pPr>
            <w:bookmarkStart w:id="8" w:name="_Toc135294609"/>
            <w:r w:rsidRPr="032D082D">
              <w:rPr>
                <w:sz w:val="24"/>
                <w:szCs w:val="24"/>
              </w:rPr>
              <w:lastRenderedPageBreak/>
              <w:t xml:space="preserve">TABLE </w:t>
            </w:r>
            <w:r w:rsidR="33EBE5D0" w:rsidRPr="032D082D">
              <w:rPr>
                <w:sz w:val="24"/>
                <w:szCs w:val="24"/>
              </w:rPr>
              <w:t>2</w:t>
            </w:r>
            <w:r w:rsidRPr="032D082D">
              <w:rPr>
                <w:sz w:val="24"/>
                <w:szCs w:val="24"/>
              </w:rPr>
              <w:t xml:space="preserve"> </w:t>
            </w:r>
            <w:r w:rsidR="00DD76BE" w:rsidRPr="298E2DA4">
              <w:rPr>
                <w:sz w:val="24"/>
                <w:szCs w:val="24"/>
              </w:rPr>
              <w:t>APPLICANT</w:t>
            </w:r>
            <w:r w:rsidR="7E17D5D0" w:rsidRPr="298E2DA4">
              <w:rPr>
                <w:sz w:val="24"/>
                <w:szCs w:val="24"/>
              </w:rPr>
              <w:t>’</w:t>
            </w:r>
            <w:r w:rsidR="00DD76BE" w:rsidRPr="298E2DA4">
              <w:rPr>
                <w:sz w:val="24"/>
                <w:szCs w:val="24"/>
              </w:rPr>
              <w:t>S</w:t>
            </w:r>
            <w:r w:rsidR="00DD76BE">
              <w:rPr>
                <w:sz w:val="24"/>
                <w:szCs w:val="24"/>
              </w:rPr>
              <w:t xml:space="preserve"> INFORMATION TO THE RMA</w:t>
            </w:r>
            <w:r w:rsidR="00657AB0">
              <w:rPr>
                <w:sz w:val="24"/>
                <w:szCs w:val="24"/>
              </w:rPr>
              <w:t>,</w:t>
            </w:r>
            <w:r w:rsidR="00D30564">
              <w:rPr>
                <w:sz w:val="24"/>
                <w:szCs w:val="24"/>
              </w:rPr>
              <w:t xml:space="preserve"> AS </w:t>
            </w:r>
            <w:r w:rsidR="009E4BBC">
              <w:rPr>
                <w:sz w:val="24"/>
                <w:szCs w:val="24"/>
              </w:rPr>
              <w:t>ADVISED</w:t>
            </w:r>
            <w:r w:rsidR="00D30564">
              <w:rPr>
                <w:sz w:val="24"/>
                <w:szCs w:val="24"/>
              </w:rPr>
              <w:t xml:space="preserve"> BY THE APPLICANT</w:t>
            </w:r>
            <w:bookmarkEnd w:id="8"/>
            <w:r w:rsidR="00DD76BE">
              <w:rPr>
                <w:sz w:val="24"/>
                <w:szCs w:val="24"/>
              </w:rPr>
              <w:t xml:space="preserve"> </w:t>
            </w:r>
          </w:p>
        </w:tc>
      </w:tr>
    </w:tbl>
    <w:p w14:paraId="7B0CC87E" w14:textId="0C235EA3" w:rsidR="0061279B" w:rsidRPr="00EF1E43" w:rsidRDefault="0061279B" w:rsidP="00374F41">
      <w:pPr>
        <w:jc w:val="both"/>
        <w:rPr>
          <w:sz w:val="24"/>
        </w:rPr>
      </w:pPr>
    </w:p>
    <w:tbl>
      <w:tblPr>
        <w:tblW w:w="9406" w:type="dxa"/>
        <w:tblCellMar>
          <w:left w:w="30" w:type="dxa"/>
          <w:right w:w="30" w:type="dxa"/>
        </w:tblCellMar>
        <w:tblLook w:val="0000" w:firstRow="0" w:lastRow="0" w:firstColumn="0" w:lastColumn="0" w:noHBand="0" w:noVBand="0"/>
      </w:tblPr>
      <w:tblGrid>
        <w:gridCol w:w="728"/>
        <w:gridCol w:w="8678"/>
      </w:tblGrid>
      <w:tr w:rsidR="00EF1E43" w:rsidRPr="00EF1E43" w14:paraId="4E060B9E"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3474912B" w14:textId="77777777" w:rsidR="004F7AB0" w:rsidRPr="00EF1E43" w:rsidRDefault="004F7AB0" w:rsidP="00374F41">
            <w:pPr>
              <w:jc w:val="both"/>
              <w:rPr>
                <w:b/>
                <w:sz w:val="24"/>
              </w:rPr>
            </w:pPr>
          </w:p>
          <w:p w14:paraId="76F20126" w14:textId="77777777" w:rsidR="004F7AB0" w:rsidRPr="00EF1E43" w:rsidRDefault="004F7AB0" w:rsidP="00374F41">
            <w:pPr>
              <w:jc w:val="both"/>
              <w:rPr>
                <w:b/>
                <w:sz w:val="24"/>
              </w:rPr>
            </w:pPr>
            <w:r w:rsidRPr="00EF1E43">
              <w:rPr>
                <w:b/>
                <w:sz w:val="24"/>
              </w:rPr>
              <w:t>RMA ID</w:t>
            </w:r>
          </w:p>
        </w:tc>
        <w:tc>
          <w:tcPr>
            <w:tcW w:w="7993" w:type="dxa"/>
            <w:tcBorders>
              <w:top w:val="single" w:sz="4" w:space="0" w:color="auto"/>
              <w:left w:val="single" w:sz="4" w:space="0" w:color="auto"/>
              <w:bottom w:val="single" w:sz="4" w:space="0" w:color="auto"/>
              <w:right w:val="single" w:sz="4" w:space="0" w:color="auto"/>
            </w:tcBorders>
            <w:vAlign w:val="center"/>
          </w:tcPr>
          <w:p w14:paraId="3D23098A" w14:textId="77777777" w:rsidR="004F7AB0" w:rsidRPr="00EF1E43" w:rsidRDefault="004F7AB0" w:rsidP="00374F41">
            <w:pPr>
              <w:jc w:val="both"/>
              <w:rPr>
                <w:b/>
                <w:sz w:val="24"/>
              </w:rPr>
            </w:pPr>
          </w:p>
          <w:p w14:paraId="0431BAFE" w14:textId="77777777" w:rsidR="004F7AB0" w:rsidRPr="00EF1E43" w:rsidRDefault="004F7AB0" w:rsidP="00374F41">
            <w:pPr>
              <w:jc w:val="both"/>
              <w:rPr>
                <w:b/>
                <w:sz w:val="24"/>
              </w:rPr>
            </w:pPr>
            <w:r w:rsidRPr="00EF1E43">
              <w:rPr>
                <w:b/>
                <w:sz w:val="24"/>
              </w:rPr>
              <w:t xml:space="preserve">                                    Title</w:t>
            </w:r>
          </w:p>
          <w:p w14:paraId="02DF5D2C" w14:textId="77777777" w:rsidR="004F7AB0" w:rsidRPr="00EF1E43" w:rsidRDefault="004F7AB0" w:rsidP="00374F41">
            <w:pPr>
              <w:jc w:val="both"/>
              <w:rPr>
                <w:b/>
                <w:sz w:val="24"/>
              </w:rPr>
            </w:pPr>
          </w:p>
        </w:tc>
      </w:tr>
      <w:tr w:rsidR="032D082D" w14:paraId="7FCF5246" w14:textId="77777777" w:rsidTr="032D082D">
        <w:trPr>
          <w:cantSplit/>
          <w:trHeight w:val="300"/>
        </w:trPr>
        <w:tc>
          <w:tcPr>
            <w:tcW w:w="728" w:type="dxa"/>
            <w:tcBorders>
              <w:top w:val="single" w:sz="4" w:space="0" w:color="auto"/>
              <w:left w:val="single" w:sz="4" w:space="0" w:color="auto"/>
              <w:bottom w:val="single" w:sz="4" w:space="0" w:color="auto"/>
              <w:right w:val="single" w:sz="4" w:space="0" w:color="auto"/>
            </w:tcBorders>
            <w:vAlign w:val="center"/>
          </w:tcPr>
          <w:p w14:paraId="58F893CD" w14:textId="77777777" w:rsidR="21F1AC66" w:rsidRDefault="21F1AC66" w:rsidP="00374F41">
            <w:pPr>
              <w:jc w:val="both"/>
              <w:rPr>
                <w:sz w:val="24"/>
              </w:rPr>
            </w:pPr>
            <w:r w:rsidRPr="0026682A">
              <w:rPr>
                <w:sz w:val="24"/>
              </w:rPr>
              <w:t>1.25</w:t>
            </w:r>
          </w:p>
        </w:tc>
        <w:tc>
          <w:tcPr>
            <w:tcW w:w="8678" w:type="dxa"/>
            <w:tcBorders>
              <w:top w:val="single" w:sz="4" w:space="0" w:color="auto"/>
              <w:left w:val="single" w:sz="4" w:space="0" w:color="auto"/>
              <w:bottom w:val="single" w:sz="4" w:space="0" w:color="auto"/>
              <w:right w:val="single" w:sz="4" w:space="0" w:color="auto"/>
            </w:tcBorders>
            <w:vAlign w:val="center"/>
          </w:tcPr>
          <w:p w14:paraId="534B036D" w14:textId="77777777" w:rsidR="21F1AC66" w:rsidRDefault="21F1AC66" w:rsidP="00374F41">
            <w:pPr>
              <w:rPr>
                <w:rFonts w:eastAsia="Arial"/>
                <w:sz w:val="24"/>
              </w:rPr>
            </w:pPr>
            <w:r w:rsidRPr="032D082D">
              <w:rPr>
                <w:rFonts w:eastAsia="Arial"/>
                <w:sz w:val="24"/>
                <w:highlight w:val="black"/>
              </w:rPr>
              <w:t>Name Redacted</w:t>
            </w:r>
            <w:r w:rsidRPr="032D082D">
              <w:rPr>
                <w:rFonts w:eastAsia="Arial"/>
                <w:sz w:val="24"/>
              </w:rPr>
              <w:t xml:space="preserve"> - Request for review and submissions - malignant neoplasm of the breast and Combined Oral Contraceptive Pill - 29 November 2020</w:t>
            </w:r>
          </w:p>
        </w:tc>
      </w:tr>
      <w:tr w:rsidR="00D534A6" w:rsidRPr="00EF1E43" w14:paraId="1BAA9BD4" w14:textId="77777777" w:rsidTr="032D082D">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9433ED" w14:textId="77777777" w:rsidR="00D534A6" w:rsidRPr="00EF1E43" w:rsidRDefault="00D534A6"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shd w:val="clear" w:color="auto" w:fill="auto"/>
            <w:vAlign w:val="center"/>
          </w:tcPr>
          <w:p w14:paraId="0398E58A" w14:textId="77777777" w:rsidR="00D534A6" w:rsidRPr="00D534A6" w:rsidRDefault="00D534A6" w:rsidP="00374F41">
            <w:pPr>
              <w:rPr>
                <w:sz w:val="24"/>
              </w:rPr>
            </w:pPr>
            <w:r w:rsidRPr="00D534A6">
              <w:rPr>
                <w:bCs/>
                <w:sz w:val="24"/>
              </w:rPr>
              <w:t>Australian Institute of Health and Welfare 2018. Causes of death among serving and ex-serving Australian Defence Force personnel: 2002–2015. Cat. no. PHE 228. Canberra: AIHW. Available from:  https://www.aihw.gov.au/getmedia/3e2b9b2e-937d-48cb-a5e9-c69814284d91/aihw-phe-228.pdf.aspx?inline=true</w:t>
            </w:r>
          </w:p>
        </w:tc>
      </w:tr>
      <w:tr w:rsidR="00EF1E43" w:rsidRPr="00EF1E43" w14:paraId="5F4A8196"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7B28CC6F" w14:textId="77777777" w:rsidR="009C2193" w:rsidRPr="00EF1E43" w:rsidRDefault="009C2193"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6737B5E8" w14:textId="77777777" w:rsidR="009C2193" w:rsidRPr="00EF1E43" w:rsidRDefault="009C2193" w:rsidP="00374F41">
            <w:pPr>
              <w:rPr>
                <w:bCs/>
                <w:sz w:val="24"/>
              </w:rPr>
            </w:pPr>
            <w:r w:rsidRPr="00EF1E43">
              <w:rPr>
                <w:bCs/>
                <w:sz w:val="24"/>
              </w:rPr>
              <w:t>Australian Product Information for Nuva</w:t>
            </w:r>
            <w:r w:rsidR="00382E50" w:rsidRPr="00EF1E43">
              <w:rPr>
                <w:bCs/>
                <w:sz w:val="24"/>
              </w:rPr>
              <w:t>R</w:t>
            </w:r>
            <w:r w:rsidRPr="00EF1E43">
              <w:rPr>
                <w:bCs/>
                <w:sz w:val="24"/>
              </w:rPr>
              <w:t>ing</w:t>
            </w:r>
            <w:r w:rsidR="00382E50" w:rsidRPr="00EF1E43">
              <w:rPr>
                <w:bCs/>
                <w:sz w:val="24"/>
              </w:rPr>
              <w:t>.</w:t>
            </w:r>
          </w:p>
        </w:tc>
      </w:tr>
      <w:tr w:rsidR="00EF1E43" w:rsidRPr="00EF1E43" w14:paraId="1CB46DBF"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485A3E72" w14:textId="77777777" w:rsidR="009C2193" w:rsidRPr="00EF1E43" w:rsidRDefault="009C2193"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491A64EB" w14:textId="63347591" w:rsidR="009C2193" w:rsidRPr="00EF1E43" w:rsidRDefault="009C2193" w:rsidP="00374F41">
            <w:pPr>
              <w:rPr>
                <w:bCs/>
                <w:sz w:val="24"/>
              </w:rPr>
            </w:pPr>
            <w:r w:rsidRPr="00EF1E43">
              <w:rPr>
                <w:bCs/>
                <w:sz w:val="24"/>
              </w:rPr>
              <w:t>Centers for Disease Control (2020)</w:t>
            </w:r>
            <w:r w:rsidR="00F22ADB" w:rsidRPr="00EF1E43">
              <w:rPr>
                <w:bCs/>
                <w:sz w:val="24"/>
              </w:rPr>
              <w:t>.</w:t>
            </w:r>
            <w:r w:rsidRPr="00EF1E43">
              <w:rPr>
                <w:bCs/>
                <w:sz w:val="24"/>
              </w:rPr>
              <w:t xml:space="preserve"> Classifications for combined hormonal contraceptives. Retrieved 26 November 2011, from </w:t>
            </w:r>
          </w:p>
          <w:p w14:paraId="149E6C7B" w14:textId="77777777" w:rsidR="009C2193" w:rsidRPr="00EF1E43" w:rsidRDefault="009C2193" w:rsidP="00374F41">
            <w:pPr>
              <w:rPr>
                <w:bCs/>
                <w:sz w:val="24"/>
              </w:rPr>
            </w:pPr>
            <w:r w:rsidRPr="00EF1E43">
              <w:rPr>
                <w:bCs/>
                <w:sz w:val="24"/>
              </w:rPr>
              <w:t>https://www.cdc.gov/reproductivehealth/contraception/mmwr/mec/appendixd.html</w:t>
            </w:r>
          </w:p>
        </w:tc>
      </w:tr>
      <w:tr w:rsidR="00EF1E43" w:rsidRPr="00EF1E43" w14:paraId="050F4495"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50E301AA" w14:textId="77777777" w:rsidR="004D0AC1" w:rsidRPr="00EF1E43" w:rsidRDefault="004D0AC1"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2FC3C953" w14:textId="77777777" w:rsidR="004D0AC1" w:rsidRPr="00EF1E43" w:rsidRDefault="004D0AC1" w:rsidP="00374F41">
            <w:pPr>
              <w:rPr>
                <w:bCs/>
                <w:sz w:val="24"/>
              </w:rPr>
            </w:pPr>
            <w:r w:rsidRPr="00EF1E43">
              <w:rPr>
                <w:bCs/>
                <w:sz w:val="24"/>
              </w:rPr>
              <w:t>Cogliano VJ, Baan R, Straif K, Grosse Y, et al (2011). Preventable exposures associated with human cancers. J Natl Cancer Inst, 103(24):1827-39.</w:t>
            </w:r>
          </w:p>
        </w:tc>
      </w:tr>
      <w:tr w:rsidR="00EF1E43" w:rsidRPr="00EF1E43" w14:paraId="1E1AAA61"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35C6A9EC" w14:textId="77777777" w:rsidR="004D0AC1" w:rsidRPr="00EF1E43" w:rsidRDefault="004D0AC1"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21719981" w14:textId="4F93AD03" w:rsidR="004D0AC1" w:rsidRPr="00EF1E43" w:rsidRDefault="004D0AC1" w:rsidP="00374F41">
            <w:pPr>
              <w:rPr>
                <w:bCs/>
                <w:sz w:val="24"/>
              </w:rPr>
            </w:pPr>
            <w:r w:rsidRPr="00EF1E43">
              <w:rPr>
                <w:bCs/>
                <w:sz w:val="24"/>
              </w:rPr>
              <w:t>Consumer Medicine Information for NuvaRing.</w:t>
            </w:r>
            <w:r w:rsidR="00D81606" w:rsidRPr="00EF1E43">
              <w:rPr>
                <w:bCs/>
                <w:sz w:val="24"/>
              </w:rPr>
              <w:t xml:space="preserve"> </w:t>
            </w:r>
          </w:p>
        </w:tc>
      </w:tr>
      <w:tr w:rsidR="00EF1E43" w:rsidRPr="00EF1E43" w14:paraId="690F3391"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00070DC7" w14:textId="77777777" w:rsidR="004D0AC1" w:rsidRPr="00EF1E43" w:rsidRDefault="004D0AC1"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3831C995" w14:textId="5D72201B" w:rsidR="004D0AC1" w:rsidRPr="00EF1E43" w:rsidRDefault="004D0AC1" w:rsidP="00374F41">
            <w:pPr>
              <w:rPr>
                <w:bCs/>
                <w:sz w:val="24"/>
              </w:rPr>
            </w:pPr>
            <w:r w:rsidRPr="00EF1E43">
              <w:rPr>
                <w:bCs/>
                <w:sz w:val="24"/>
              </w:rPr>
              <w:t>Del Pup L, Codacci-Pisanelli G, Peccatori F (2019). Breast cancer risk of hormonal contraception: Counselling considering new evidence. Crit Rev Oncol Hematol, 137:123-130.</w:t>
            </w:r>
          </w:p>
        </w:tc>
      </w:tr>
      <w:tr w:rsidR="00EF1E43" w:rsidRPr="00EF1E43" w14:paraId="53456E1E"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073A24BC" w14:textId="77777777" w:rsidR="00491B58" w:rsidRPr="00EF1E43" w:rsidRDefault="00491B58"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00157C12" w14:textId="7E46A3D7" w:rsidR="00491B58" w:rsidRPr="00EF1E43" w:rsidRDefault="00491B58" w:rsidP="00374F41">
            <w:pPr>
              <w:rPr>
                <w:bCs/>
                <w:sz w:val="24"/>
              </w:rPr>
            </w:pPr>
            <w:r w:rsidRPr="00EF1E43">
              <w:rPr>
                <w:bCs/>
                <w:sz w:val="24"/>
              </w:rPr>
              <w:t>Family Planning Victoria (FPV) (2020). List of Combined Hormonal Contraceptives available in Australia.</w:t>
            </w:r>
          </w:p>
        </w:tc>
      </w:tr>
      <w:tr w:rsidR="00EF1E43" w:rsidRPr="00EF1E43" w14:paraId="1A94E07B"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299E5BDA" w14:textId="77777777" w:rsidR="004D0AC1" w:rsidRPr="00EF1E43" w:rsidRDefault="00613FAF" w:rsidP="00374F41">
            <w:pPr>
              <w:jc w:val="both"/>
              <w:rPr>
                <w:bCs/>
                <w:sz w:val="24"/>
              </w:rPr>
            </w:pPr>
            <w:r w:rsidRPr="00EF1E43">
              <w:rPr>
                <w:bCs/>
                <w:sz w:val="24"/>
              </w:rPr>
              <w:t>88981</w:t>
            </w:r>
          </w:p>
        </w:tc>
        <w:tc>
          <w:tcPr>
            <w:tcW w:w="7993" w:type="dxa"/>
            <w:tcBorders>
              <w:top w:val="single" w:sz="4" w:space="0" w:color="auto"/>
              <w:left w:val="single" w:sz="4" w:space="0" w:color="auto"/>
              <w:bottom w:val="single" w:sz="4" w:space="0" w:color="auto"/>
              <w:right w:val="single" w:sz="4" w:space="0" w:color="auto"/>
            </w:tcBorders>
            <w:vAlign w:val="center"/>
          </w:tcPr>
          <w:p w14:paraId="3CC988E0" w14:textId="1991BC3A" w:rsidR="004D0AC1" w:rsidRPr="00EF1E43" w:rsidRDefault="004D0AC1" w:rsidP="00374F41">
            <w:pPr>
              <w:rPr>
                <w:bCs/>
                <w:sz w:val="24"/>
              </w:rPr>
            </w:pPr>
            <w:r w:rsidRPr="00EF1E43">
              <w:rPr>
                <w:bCs/>
                <w:sz w:val="24"/>
              </w:rPr>
              <w:t>International Agency for Research on Cancer (2012)</w:t>
            </w:r>
            <w:r w:rsidR="00F22ADB" w:rsidRPr="00EF1E43">
              <w:rPr>
                <w:bCs/>
                <w:sz w:val="24"/>
              </w:rPr>
              <w:t>.</w:t>
            </w:r>
            <w:r w:rsidRPr="00EF1E43">
              <w:rPr>
                <w:bCs/>
                <w:sz w:val="24"/>
              </w:rPr>
              <w:t xml:space="preserve"> Pharmaceuticals. Combined </w:t>
            </w:r>
            <w:r w:rsidR="00DD76BE">
              <w:rPr>
                <w:bCs/>
                <w:sz w:val="24"/>
              </w:rPr>
              <w:t xml:space="preserve"> </w:t>
            </w:r>
            <w:r w:rsidRPr="00EF1E43">
              <w:rPr>
                <w:bCs/>
                <w:sz w:val="24"/>
              </w:rPr>
              <w:t xml:space="preserve">estrogen-progestogen contraceptives. Retrieved 30 November 2020, from </w:t>
            </w:r>
            <w:r w:rsidR="00DD76BE">
              <w:rPr>
                <w:bCs/>
                <w:sz w:val="24"/>
              </w:rPr>
              <w:t xml:space="preserve"> </w:t>
            </w:r>
            <w:r w:rsidRPr="00EF1E43">
              <w:rPr>
                <w:bCs/>
                <w:sz w:val="24"/>
              </w:rPr>
              <w:t>https://publications.iarc.fr/118.</w:t>
            </w:r>
          </w:p>
        </w:tc>
      </w:tr>
      <w:tr w:rsidR="00EF1E43" w:rsidRPr="00EF1E43" w14:paraId="1230C791"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5C747FC3" w14:textId="77777777" w:rsidR="004D0AC1" w:rsidRPr="00EF1E43" w:rsidRDefault="004D0AC1"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7C5634B4" w14:textId="77777777" w:rsidR="004D0AC1" w:rsidRPr="00EF1E43" w:rsidRDefault="004D0AC1" w:rsidP="00374F41">
            <w:pPr>
              <w:rPr>
                <w:bCs/>
                <w:sz w:val="24"/>
              </w:rPr>
            </w:pPr>
            <w:r w:rsidRPr="00EF1E43">
              <w:rPr>
                <w:bCs/>
                <w:sz w:val="24"/>
              </w:rPr>
              <w:t>Kang M, Skinner R, Foran T (2007). Sex, contraception and health. Aust Fam Physician, 36(8):594-600.</w:t>
            </w:r>
          </w:p>
        </w:tc>
      </w:tr>
      <w:tr w:rsidR="00EF1E43" w:rsidRPr="00EF1E43" w14:paraId="472A9DD9"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7464C7FC" w14:textId="77777777" w:rsidR="004D0AC1" w:rsidRPr="00EF1E43" w:rsidRDefault="004D0AC1" w:rsidP="00374F41">
            <w:pPr>
              <w:jc w:val="both"/>
              <w:rPr>
                <w:bCs/>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5959053B" w14:textId="77777777" w:rsidR="004D0AC1" w:rsidRPr="00EF1E43" w:rsidRDefault="004D0AC1" w:rsidP="00374F41">
            <w:pPr>
              <w:rPr>
                <w:bCs/>
                <w:sz w:val="24"/>
              </w:rPr>
            </w:pPr>
            <w:r w:rsidRPr="00EF1E43">
              <w:rPr>
                <w:bCs/>
                <w:sz w:val="24"/>
              </w:rPr>
              <w:t>McNamee K, Harvey C, Bateson D (2013). A practical guide to contraception. Part 1: Contraceptive pills and vaginal rings. MedicineToday, 14(7): 18-32.</w:t>
            </w:r>
          </w:p>
        </w:tc>
      </w:tr>
      <w:tr w:rsidR="0052453D" w:rsidRPr="00EF1E43" w14:paraId="552DC196"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48F65982" w14:textId="77777777" w:rsidR="0052453D" w:rsidRPr="00EF1E43" w:rsidRDefault="0052453D" w:rsidP="00374F41">
            <w:pPr>
              <w:jc w:val="both"/>
              <w:rPr>
                <w:bCs/>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2DD4BB9A" w14:textId="77777777" w:rsidR="0052453D" w:rsidRPr="00EF1E43" w:rsidRDefault="6E79B5B6" w:rsidP="00374F41">
            <w:pPr>
              <w:rPr>
                <w:sz w:val="24"/>
              </w:rPr>
            </w:pPr>
            <w:r w:rsidRPr="12777ED4">
              <w:rPr>
                <w:sz w:val="24"/>
              </w:rPr>
              <w:t>Therapeutic Goods Administration (TGA) (2015). Medicines Safety Update, 6(3).</w:t>
            </w:r>
          </w:p>
        </w:tc>
      </w:tr>
      <w:tr w:rsidR="00EF1E43" w:rsidRPr="00EF1E43" w14:paraId="0D04D9ED"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57686BA3" w14:textId="77777777" w:rsidR="004D0AC1" w:rsidRPr="00EF1E43" w:rsidRDefault="002D2123" w:rsidP="00374F41">
            <w:pPr>
              <w:jc w:val="both"/>
              <w:rPr>
                <w:bCs/>
                <w:sz w:val="24"/>
              </w:rPr>
            </w:pPr>
            <w:r w:rsidRPr="00EF1E43">
              <w:rPr>
                <w:bCs/>
                <w:sz w:val="24"/>
              </w:rPr>
              <w:t>25467</w:t>
            </w:r>
          </w:p>
        </w:tc>
        <w:tc>
          <w:tcPr>
            <w:tcW w:w="7993" w:type="dxa"/>
            <w:tcBorders>
              <w:top w:val="single" w:sz="4" w:space="0" w:color="auto"/>
              <w:left w:val="single" w:sz="4" w:space="0" w:color="auto"/>
              <w:bottom w:val="single" w:sz="4" w:space="0" w:color="auto"/>
              <w:right w:val="single" w:sz="4" w:space="0" w:color="auto"/>
            </w:tcBorders>
            <w:vAlign w:val="center"/>
          </w:tcPr>
          <w:p w14:paraId="5BF62561" w14:textId="77777777" w:rsidR="004D0AC1" w:rsidRPr="00EF1E43" w:rsidRDefault="004D0AC1" w:rsidP="00374F41">
            <w:pPr>
              <w:rPr>
                <w:bCs/>
                <w:sz w:val="24"/>
              </w:rPr>
            </w:pPr>
            <w:r w:rsidRPr="00EF1E43">
              <w:rPr>
                <w:bCs/>
                <w:sz w:val="24"/>
              </w:rPr>
              <w:t>The Royal Australian and New Zealand College of Obstetricians and Gynaecologists (RANZCOG) (2019). Combined Hormonal Contraceptives.</w:t>
            </w:r>
          </w:p>
        </w:tc>
      </w:tr>
      <w:tr w:rsidR="00EF1E43" w:rsidRPr="00EF1E43" w14:paraId="1AB16FCF"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0E290ADA" w14:textId="77777777" w:rsidR="004D0AC1" w:rsidRPr="00EF1E43" w:rsidRDefault="004D0AC1" w:rsidP="00374F41">
            <w:pPr>
              <w:jc w:val="both"/>
              <w:rPr>
                <w:b/>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5792180C" w14:textId="7B9A3CE8" w:rsidR="004D0AC1" w:rsidRPr="00EF1E43" w:rsidRDefault="004D0AC1" w:rsidP="00374F41">
            <w:pPr>
              <w:rPr>
                <w:bCs/>
                <w:sz w:val="24"/>
              </w:rPr>
            </w:pPr>
            <w:r w:rsidRPr="00EF1E43">
              <w:rPr>
                <w:bCs/>
                <w:sz w:val="24"/>
              </w:rPr>
              <w:t>Westhoff CL, Pike MC (2018). Hormonal contraception and breast cancer. Contraception, 98(3):171-173.</w:t>
            </w:r>
          </w:p>
        </w:tc>
      </w:tr>
      <w:tr w:rsidR="004D0AC1" w:rsidRPr="00EF1E43" w14:paraId="7C528A3E" w14:textId="77777777" w:rsidTr="032D082D">
        <w:trPr>
          <w:cantSplit/>
        </w:trPr>
        <w:tc>
          <w:tcPr>
            <w:tcW w:w="1413" w:type="dxa"/>
            <w:tcBorders>
              <w:top w:val="single" w:sz="4" w:space="0" w:color="auto"/>
              <w:left w:val="single" w:sz="4" w:space="0" w:color="auto"/>
              <w:bottom w:val="single" w:sz="4" w:space="0" w:color="auto"/>
              <w:right w:val="single" w:sz="4" w:space="0" w:color="auto"/>
            </w:tcBorders>
            <w:vAlign w:val="center"/>
          </w:tcPr>
          <w:p w14:paraId="241B1DCF" w14:textId="77777777" w:rsidR="004D0AC1" w:rsidRPr="00EF1E43" w:rsidRDefault="004D0AC1" w:rsidP="00374F41">
            <w:pPr>
              <w:jc w:val="both"/>
              <w:rPr>
                <w:bCs/>
                <w:sz w:val="24"/>
              </w:rPr>
            </w:pPr>
          </w:p>
        </w:tc>
        <w:tc>
          <w:tcPr>
            <w:tcW w:w="7993" w:type="dxa"/>
            <w:tcBorders>
              <w:top w:val="single" w:sz="4" w:space="0" w:color="auto"/>
              <w:left w:val="single" w:sz="4" w:space="0" w:color="auto"/>
              <w:bottom w:val="single" w:sz="4" w:space="0" w:color="auto"/>
              <w:right w:val="single" w:sz="4" w:space="0" w:color="auto"/>
            </w:tcBorders>
            <w:vAlign w:val="center"/>
          </w:tcPr>
          <w:p w14:paraId="3F535E39" w14:textId="77777777" w:rsidR="004D0AC1" w:rsidRPr="00EF1E43" w:rsidRDefault="004D0AC1" w:rsidP="00374F41">
            <w:pPr>
              <w:rPr>
                <w:bCs/>
                <w:sz w:val="24"/>
              </w:rPr>
            </w:pPr>
            <w:r w:rsidRPr="00EF1E43">
              <w:rPr>
                <w:bCs/>
                <w:sz w:val="24"/>
              </w:rPr>
              <w:t>Zolfaroli I, Tarín JJ, Cano A (2018). The action of estrogens and progestogens in the</w:t>
            </w:r>
            <w:r w:rsidRPr="00EF1E43">
              <w:rPr>
                <w:bCs/>
              </w:rPr>
              <w:t xml:space="preserve"> </w:t>
            </w:r>
            <w:r w:rsidRPr="00EF1E43">
              <w:rPr>
                <w:bCs/>
                <w:sz w:val="24"/>
              </w:rPr>
              <w:t>young female breast. Eur J Obstet Gynecol Reprod Biol, 230:204-207.</w:t>
            </w:r>
          </w:p>
        </w:tc>
      </w:tr>
    </w:tbl>
    <w:p w14:paraId="058E6F0D" w14:textId="77777777" w:rsidR="00B671A4" w:rsidRPr="00EF1E43" w:rsidRDefault="00B671A4" w:rsidP="00374F41">
      <w:pPr>
        <w:jc w:val="both"/>
        <w:rPr>
          <w:b/>
          <w:bCs/>
          <w:sz w:val="24"/>
        </w:rPr>
      </w:pPr>
    </w:p>
    <w:p w14:paraId="1E019DDB" w14:textId="77777777" w:rsidR="00C2056D" w:rsidRDefault="004C0C62" w:rsidP="00374F41">
      <w:pPr>
        <w:rPr>
          <w:bCs/>
          <w:sz w:val="24"/>
        </w:rPr>
        <w:sectPr w:rsidR="00C2056D" w:rsidSect="000A6E32">
          <w:pgSz w:w="11906" w:h="16838"/>
          <w:pgMar w:top="1440" w:right="1440" w:bottom="1440" w:left="1440" w:header="709" w:footer="709" w:gutter="0"/>
          <w:cols w:space="708"/>
          <w:docGrid w:linePitch="360"/>
        </w:sectPr>
      </w:pPr>
      <w:bookmarkStart w:id="9" w:name="_Toc415563755"/>
      <w:r w:rsidRPr="00EF1E43">
        <w:rPr>
          <w:bCs/>
          <w:sz w:val="24"/>
        </w:rPr>
        <w:t xml:space="preserve"> </w:t>
      </w:r>
    </w:p>
    <w:tbl>
      <w:tblPr>
        <w:tblW w:w="8250" w:type="dxa"/>
        <w:tblLayout w:type="fixed"/>
        <w:tblCellMar>
          <w:left w:w="30" w:type="dxa"/>
          <w:right w:w="30" w:type="dxa"/>
        </w:tblCellMar>
        <w:tblLook w:val="0000" w:firstRow="0" w:lastRow="0" w:firstColumn="0" w:lastColumn="0" w:noHBand="0" w:noVBand="0"/>
      </w:tblPr>
      <w:tblGrid>
        <w:gridCol w:w="8250"/>
      </w:tblGrid>
      <w:tr w:rsidR="00B671A4" w:rsidRPr="00EF1E43" w14:paraId="79883FCA" w14:textId="77777777" w:rsidTr="2BC1AD04">
        <w:trPr>
          <w:cantSplit/>
          <w:trHeight w:val="851"/>
        </w:trPr>
        <w:tc>
          <w:tcPr>
            <w:tcW w:w="8250" w:type="dxa"/>
            <w:vAlign w:val="center"/>
          </w:tcPr>
          <w:p w14:paraId="0A4AFAE8" w14:textId="421F3387" w:rsidR="00B671A4" w:rsidRPr="00EF1E43" w:rsidRDefault="00B671A4" w:rsidP="00374F41">
            <w:pPr>
              <w:pStyle w:val="Heading2"/>
              <w:keepNext w:val="0"/>
              <w:keepLines w:val="0"/>
              <w:rPr>
                <w:caps/>
                <w:sz w:val="24"/>
                <w:szCs w:val="24"/>
              </w:rPr>
            </w:pPr>
            <w:bookmarkStart w:id="10" w:name="_Toc135294610"/>
            <w:r w:rsidRPr="2BC1AD04">
              <w:rPr>
                <w:caps/>
                <w:sz w:val="24"/>
                <w:szCs w:val="24"/>
              </w:rPr>
              <w:lastRenderedPageBreak/>
              <w:t xml:space="preserve">TABLE </w:t>
            </w:r>
            <w:r w:rsidR="0DFCCDDC" w:rsidRPr="2BC1AD04">
              <w:rPr>
                <w:caps/>
                <w:sz w:val="24"/>
                <w:szCs w:val="24"/>
              </w:rPr>
              <w:t>3</w:t>
            </w:r>
            <w:r w:rsidR="7C2670E7" w:rsidRPr="2BC1AD04">
              <w:rPr>
                <w:caps/>
                <w:sz w:val="24"/>
                <w:szCs w:val="24"/>
              </w:rPr>
              <w:t xml:space="preserve"> NEW </w:t>
            </w:r>
            <w:r w:rsidR="2BBA0BEB" w:rsidRPr="2BC1AD04">
              <w:rPr>
                <w:caps/>
                <w:sz w:val="24"/>
                <w:szCs w:val="24"/>
              </w:rPr>
              <w:t>Information</w:t>
            </w:r>
            <w:r w:rsidR="7C2670E7" w:rsidRPr="2BC1AD04">
              <w:rPr>
                <w:caps/>
                <w:sz w:val="24"/>
                <w:szCs w:val="24"/>
              </w:rPr>
              <w:t xml:space="preserve"> </w:t>
            </w:r>
            <w:bookmarkEnd w:id="9"/>
            <w:r w:rsidR="00D83687">
              <w:rPr>
                <w:caps/>
                <w:sz w:val="24"/>
                <w:szCs w:val="24"/>
              </w:rPr>
              <w:t>KNOWN TO THe COUNCIL</w:t>
            </w:r>
            <w:bookmarkEnd w:id="10"/>
          </w:p>
        </w:tc>
      </w:tr>
    </w:tbl>
    <w:p w14:paraId="7B041A58" w14:textId="77777777" w:rsidR="00B671A4" w:rsidRPr="00EF1E43" w:rsidRDefault="00B671A4" w:rsidP="00374F41">
      <w:pPr>
        <w:jc w:val="both"/>
        <w:rPr>
          <w:sz w:val="24"/>
        </w:rPr>
      </w:pPr>
    </w:p>
    <w:p w14:paraId="6773ACCF" w14:textId="77777777" w:rsidR="00B671A4" w:rsidRDefault="00B671A4" w:rsidP="00374F41">
      <w:pPr>
        <w:jc w:val="both"/>
        <w:rPr>
          <w:sz w:val="24"/>
        </w:rPr>
      </w:pPr>
    </w:p>
    <w:tbl>
      <w:tblPr>
        <w:tblW w:w="9639" w:type="dxa"/>
        <w:tblLayout w:type="fixed"/>
        <w:tblCellMar>
          <w:left w:w="30" w:type="dxa"/>
          <w:right w:w="30" w:type="dxa"/>
        </w:tblCellMar>
        <w:tblLook w:val="0000" w:firstRow="0" w:lastRow="0" w:firstColumn="0" w:lastColumn="0" w:noHBand="0" w:noVBand="0"/>
      </w:tblPr>
      <w:tblGrid>
        <w:gridCol w:w="9639"/>
      </w:tblGrid>
      <w:tr w:rsidR="0052453D" w:rsidRPr="00DD76BE" w14:paraId="47FF2F4B" w14:textId="77777777" w:rsidTr="032D082D">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5BB9715E" w14:textId="77777777" w:rsidR="0052453D" w:rsidRPr="008610B9" w:rsidRDefault="0052453D" w:rsidP="00374F41">
            <w:pPr>
              <w:rPr>
                <w:b/>
                <w:bCs/>
                <w:sz w:val="24"/>
              </w:rPr>
            </w:pPr>
          </w:p>
          <w:p w14:paraId="743EF9C3" w14:textId="7075BFBD" w:rsidR="0052453D" w:rsidRPr="004B629B" w:rsidRDefault="0052453D" w:rsidP="00374F41">
            <w:pPr>
              <w:jc w:val="center"/>
              <w:rPr>
                <w:b/>
                <w:bCs/>
                <w:sz w:val="24"/>
              </w:rPr>
            </w:pPr>
            <w:r w:rsidRPr="004B629B">
              <w:rPr>
                <w:b/>
                <w:bCs/>
                <w:sz w:val="24"/>
              </w:rPr>
              <w:t>Title</w:t>
            </w:r>
          </w:p>
          <w:p w14:paraId="2F00AD25" w14:textId="77777777" w:rsidR="0052453D" w:rsidRPr="004B629B" w:rsidRDefault="0052453D" w:rsidP="00374F41">
            <w:pPr>
              <w:rPr>
                <w:b/>
                <w:bCs/>
                <w:sz w:val="24"/>
              </w:rPr>
            </w:pPr>
          </w:p>
        </w:tc>
      </w:tr>
      <w:tr w:rsidR="0052453D" w:rsidRPr="00DD76BE" w14:paraId="191CDDAF" w14:textId="77777777" w:rsidTr="032D082D">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488B0A74" w14:textId="11697655" w:rsidR="0052453D" w:rsidRPr="00CA32D6" w:rsidRDefault="009820C8" w:rsidP="00374F41">
            <w:pPr>
              <w:rPr>
                <w:bCs/>
                <w:sz w:val="24"/>
              </w:rPr>
            </w:pPr>
            <w:r w:rsidRPr="008610B9">
              <w:rPr>
                <w:bCs/>
                <w:sz w:val="24"/>
              </w:rPr>
              <w:t>B</w:t>
            </w:r>
            <w:r w:rsidRPr="00CA32D6">
              <w:rPr>
                <w:bCs/>
                <w:sz w:val="24"/>
              </w:rPr>
              <w:t>lack A, Guilbert E, Costescu D,</w:t>
            </w:r>
            <w:r w:rsidRPr="00EE3724">
              <w:rPr>
                <w:bCs/>
                <w:sz w:val="24"/>
              </w:rPr>
              <w:t xml:space="preserve"> Dunn</w:t>
            </w:r>
            <w:r>
              <w:rPr>
                <w:bCs/>
                <w:sz w:val="24"/>
              </w:rPr>
              <w:t xml:space="preserve"> </w:t>
            </w:r>
            <w:r w:rsidRPr="00EE3724">
              <w:rPr>
                <w:bCs/>
                <w:sz w:val="24"/>
              </w:rPr>
              <w:t>S, Fisher</w:t>
            </w:r>
            <w:r>
              <w:rPr>
                <w:bCs/>
                <w:sz w:val="24"/>
              </w:rPr>
              <w:t xml:space="preserve"> </w:t>
            </w:r>
            <w:r w:rsidRPr="00EE3724">
              <w:rPr>
                <w:bCs/>
                <w:sz w:val="24"/>
              </w:rPr>
              <w:t>W, Kives S, Mirosh M, Norman</w:t>
            </w:r>
            <w:r>
              <w:rPr>
                <w:bCs/>
                <w:sz w:val="24"/>
              </w:rPr>
              <w:t xml:space="preserve"> </w:t>
            </w:r>
            <w:r w:rsidRPr="00EE3724">
              <w:rPr>
                <w:bCs/>
                <w:sz w:val="24"/>
              </w:rPr>
              <w:t>WV, Pymar H, Reid R, Roy G, Varto</w:t>
            </w:r>
            <w:r>
              <w:rPr>
                <w:bCs/>
                <w:sz w:val="24"/>
              </w:rPr>
              <w:t xml:space="preserve"> </w:t>
            </w:r>
            <w:r w:rsidRPr="00EE3724">
              <w:rPr>
                <w:bCs/>
                <w:sz w:val="24"/>
              </w:rPr>
              <w:t>H, Waddington</w:t>
            </w:r>
            <w:r>
              <w:rPr>
                <w:bCs/>
                <w:sz w:val="24"/>
              </w:rPr>
              <w:t xml:space="preserve"> </w:t>
            </w:r>
            <w:r w:rsidRPr="00EE3724">
              <w:rPr>
                <w:bCs/>
                <w:sz w:val="24"/>
              </w:rPr>
              <w:t xml:space="preserve">A, Wagner MS, </w:t>
            </w:r>
            <w:r>
              <w:rPr>
                <w:bCs/>
                <w:sz w:val="24"/>
              </w:rPr>
              <w:t>and</w:t>
            </w:r>
            <w:r w:rsidRPr="00EE3724">
              <w:rPr>
                <w:bCs/>
                <w:sz w:val="24"/>
              </w:rPr>
              <w:t xml:space="preserve"> Whelan AM</w:t>
            </w:r>
            <w:r w:rsidRPr="00CA32D6">
              <w:rPr>
                <w:bCs/>
                <w:sz w:val="24"/>
              </w:rPr>
              <w:t xml:space="preserve"> (2017) </w:t>
            </w:r>
            <w:r>
              <w:rPr>
                <w:bCs/>
                <w:sz w:val="24"/>
              </w:rPr>
              <w:t>‘</w:t>
            </w:r>
            <w:r w:rsidRPr="00CA32D6">
              <w:rPr>
                <w:bCs/>
                <w:sz w:val="24"/>
              </w:rPr>
              <w:t>No. 329-Canadian Contraception Consensus Part 4 of 4 Chapter 9: Combined Hormonal Contraception</w:t>
            </w:r>
            <w:r>
              <w:rPr>
                <w:bCs/>
                <w:sz w:val="24"/>
              </w:rPr>
              <w:t>’,</w:t>
            </w:r>
            <w:r w:rsidRPr="00CA32D6">
              <w:rPr>
                <w:bCs/>
                <w:sz w:val="24"/>
              </w:rPr>
              <w:t xml:space="preserve"> </w:t>
            </w:r>
            <w:r w:rsidRPr="00B82DC5">
              <w:rPr>
                <w:bCs/>
                <w:i/>
                <w:iCs/>
                <w:sz w:val="24"/>
              </w:rPr>
              <w:t>Journal of Obstetrics and Gynaecology Canada</w:t>
            </w:r>
            <w:r w:rsidRPr="00CA32D6">
              <w:rPr>
                <w:bCs/>
                <w:sz w:val="24"/>
              </w:rPr>
              <w:t>, 39(4): 229-268.e5.</w:t>
            </w:r>
          </w:p>
        </w:tc>
      </w:tr>
      <w:tr w:rsidR="0052453D" w:rsidRPr="00DD76BE" w14:paraId="7F14A523" w14:textId="77777777" w:rsidTr="032D082D">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4A1ABEC0" w14:textId="24071891" w:rsidR="0052453D" w:rsidRPr="008610B9" w:rsidRDefault="006E71A0" w:rsidP="00374F41">
            <w:pPr>
              <w:rPr>
                <w:b/>
                <w:bCs/>
                <w:sz w:val="24"/>
              </w:rPr>
            </w:pPr>
            <w:r w:rsidRPr="006E71A0">
              <w:rPr>
                <w:bCs/>
                <w:sz w:val="24"/>
              </w:rPr>
              <w:t xml:space="preserve">FSRH (Faculty of Sexual and Reproductive Healthcare) (2016, Amended 2019) </w:t>
            </w:r>
            <w:r w:rsidRPr="005C4ECD">
              <w:rPr>
                <w:bCs/>
                <w:i/>
                <w:iCs/>
                <w:sz w:val="24"/>
              </w:rPr>
              <w:t>UK medical eligibility criteria for contraceptive use</w:t>
            </w:r>
            <w:r w:rsidRPr="006E71A0">
              <w:rPr>
                <w:bCs/>
                <w:sz w:val="24"/>
              </w:rPr>
              <w:t>, FSRH.</w:t>
            </w:r>
          </w:p>
        </w:tc>
      </w:tr>
      <w:tr w:rsidR="0052453D" w:rsidRPr="00DD76BE" w14:paraId="444D9017" w14:textId="77777777" w:rsidTr="032D082D">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5610244D" w14:textId="253C763E" w:rsidR="0052453D" w:rsidRPr="008610B9" w:rsidRDefault="00D50A45" w:rsidP="00374F41">
            <w:pPr>
              <w:rPr>
                <w:b/>
                <w:bCs/>
                <w:sz w:val="24"/>
              </w:rPr>
            </w:pPr>
            <w:r w:rsidRPr="00D50A45">
              <w:rPr>
                <w:bCs/>
                <w:sz w:val="24"/>
              </w:rPr>
              <w:t xml:space="preserve">FSRH (Faculty of Sexual and Reproductive Healthcare) (2019, Amended 2020) </w:t>
            </w:r>
            <w:r w:rsidRPr="005C4ECD">
              <w:rPr>
                <w:bCs/>
                <w:i/>
                <w:iCs/>
                <w:sz w:val="24"/>
              </w:rPr>
              <w:t>Combined hormonal contraception</w:t>
            </w:r>
            <w:r w:rsidRPr="00D50A45">
              <w:rPr>
                <w:bCs/>
                <w:sz w:val="24"/>
              </w:rPr>
              <w:t xml:space="preserve">, FSRH. </w:t>
            </w:r>
          </w:p>
        </w:tc>
      </w:tr>
      <w:tr w:rsidR="0052453D" w:rsidRPr="00DD76BE" w14:paraId="2D6A33C3" w14:textId="77777777" w:rsidTr="032D082D">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6E9D8E55" w14:textId="3759EC08" w:rsidR="0052453D" w:rsidRPr="004B629B" w:rsidRDefault="00434649" w:rsidP="00374F41">
            <w:pPr>
              <w:rPr>
                <w:b/>
                <w:bCs/>
                <w:sz w:val="24"/>
              </w:rPr>
            </w:pPr>
            <w:r w:rsidRPr="00434649">
              <w:rPr>
                <w:bCs/>
                <w:sz w:val="24"/>
              </w:rPr>
              <w:t xml:space="preserve">WHO (World Health Organization) (2015) </w:t>
            </w:r>
            <w:r w:rsidRPr="005C4ECD">
              <w:rPr>
                <w:bCs/>
                <w:i/>
                <w:iCs/>
                <w:sz w:val="24"/>
              </w:rPr>
              <w:t>Medical eligibility criteria for contraceptive use</w:t>
            </w:r>
            <w:r w:rsidRPr="00434649">
              <w:rPr>
                <w:bCs/>
                <w:sz w:val="24"/>
              </w:rPr>
              <w:t>, WHO.</w:t>
            </w:r>
          </w:p>
        </w:tc>
      </w:tr>
    </w:tbl>
    <w:p w14:paraId="5E50946F" w14:textId="77777777" w:rsidR="0052453D" w:rsidRDefault="0052453D" w:rsidP="00374F41">
      <w:pPr>
        <w:jc w:val="both"/>
        <w:rPr>
          <w:sz w:val="24"/>
        </w:rPr>
      </w:pPr>
    </w:p>
    <w:p w14:paraId="545B42EF" w14:textId="77777777" w:rsidR="0052453D" w:rsidRPr="00EF1E43" w:rsidRDefault="0052453D" w:rsidP="00374F41">
      <w:pPr>
        <w:jc w:val="both"/>
        <w:rPr>
          <w:sz w:val="24"/>
        </w:rPr>
      </w:pPr>
    </w:p>
    <w:p w14:paraId="4C23B825" w14:textId="77777777" w:rsidR="008F6149" w:rsidRPr="00EF1E43" w:rsidRDefault="008F6149" w:rsidP="00374F41">
      <w:pPr>
        <w:pStyle w:val="Heading2"/>
        <w:keepNext w:val="0"/>
        <w:keepLines w:val="0"/>
        <w:rPr>
          <w:caps/>
          <w:sz w:val="24"/>
          <w:szCs w:val="24"/>
        </w:rPr>
        <w:sectPr w:rsidR="008F6149" w:rsidRPr="00EF1E43" w:rsidSect="000A6E32">
          <w:footerReference w:type="first" r:id="rId14"/>
          <w:pgSz w:w="11906" w:h="16838"/>
          <w:pgMar w:top="1440" w:right="1440" w:bottom="1440" w:left="1440" w:header="709" w:footer="709" w:gutter="0"/>
          <w:cols w:space="708"/>
          <w:docGrid w:linePitch="360"/>
        </w:sectPr>
      </w:pPr>
    </w:p>
    <w:p w14:paraId="115C3DCF" w14:textId="3BB60B2F" w:rsidR="00AC0F50" w:rsidRPr="00EF1E43" w:rsidRDefault="00B671A4" w:rsidP="00374F41">
      <w:pPr>
        <w:pStyle w:val="Heading2"/>
        <w:keepNext w:val="0"/>
        <w:keepLines w:val="0"/>
        <w:rPr>
          <w:sz w:val="24"/>
          <w:szCs w:val="24"/>
        </w:rPr>
      </w:pPr>
      <w:bookmarkStart w:id="11" w:name="_Toc135294611"/>
      <w:bookmarkStart w:id="12" w:name="_Toc415563757"/>
      <w:r w:rsidRPr="00EF1E43">
        <w:rPr>
          <w:sz w:val="24"/>
          <w:szCs w:val="24"/>
        </w:rPr>
        <w:lastRenderedPageBreak/>
        <w:t>APPENDIX B:</w:t>
      </w:r>
      <w:bookmarkEnd w:id="11"/>
      <w:r w:rsidRPr="00EF1E43">
        <w:rPr>
          <w:sz w:val="24"/>
          <w:szCs w:val="24"/>
        </w:rPr>
        <w:t xml:space="preserve">  </w:t>
      </w:r>
    </w:p>
    <w:p w14:paraId="1ABBE3ED" w14:textId="32C2E6D0" w:rsidR="00B671A4" w:rsidRDefault="00B671A4" w:rsidP="00374F41">
      <w:pPr>
        <w:pStyle w:val="Heading2"/>
        <w:keepNext w:val="0"/>
        <w:keepLines w:val="0"/>
        <w:rPr>
          <w:sz w:val="24"/>
          <w:szCs w:val="24"/>
        </w:rPr>
      </w:pPr>
      <w:bookmarkStart w:id="13" w:name="_Toc135294612"/>
      <w:r w:rsidRPr="00EF1E43">
        <w:rPr>
          <w:sz w:val="24"/>
          <w:szCs w:val="24"/>
        </w:rPr>
        <w:t>THE CONSTITUTED COUNCIL AND LEGISLATIVE FRAMEWORK OF THE REVIEW</w:t>
      </w:r>
      <w:bookmarkEnd w:id="12"/>
      <w:bookmarkEnd w:id="13"/>
    </w:p>
    <w:p w14:paraId="7A1D8D2E" w14:textId="77777777" w:rsidR="005E2DB8" w:rsidRPr="00CA32D6" w:rsidRDefault="005E2DB8" w:rsidP="00374F41">
      <w:pPr>
        <w:pStyle w:val="NumberLevel1"/>
      </w:pPr>
    </w:p>
    <w:p w14:paraId="3523B7A4" w14:textId="77777777" w:rsidR="00B671A4" w:rsidRPr="00CA32D6" w:rsidRDefault="00B671A4" w:rsidP="00374F41">
      <w:pPr>
        <w:pStyle w:val="Caption"/>
        <w:spacing w:after="160" w:line="360" w:lineRule="auto"/>
        <w:rPr>
          <w:rFonts w:eastAsia="Calibri"/>
          <w:bCs w:val="0"/>
          <w:i/>
          <w:sz w:val="24"/>
          <w:szCs w:val="24"/>
        </w:rPr>
      </w:pPr>
      <w:r w:rsidRPr="00CA32D6">
        <w:rPr>
          <w:rFonts w:eastAsia="Calibri"/>
          <w:bCs w:val="0"/>
          <w:i/>
          <w:sz w:val="24"/>
          <w:szCs w:val="24"/>
        </w:rPr>
        <w:t>The Specialist Medical Review Council</w:t>
      </w:r>
      <w:r w:rsidR="5D524E39" w:rsidRPr="00CA32D6">
        <w:rPr>
          <w:rFonts w:eastAsia="Calibri"/>
          <w:bCs w:val="0"/>
          <w:i/>
          <w:sz w:val="24"/>
          <w:szCs w:val="24"/>
        </w:rPr>
        <w:t xml:space="preserve"> (SMRC)</w:t>
      </w:r>
    </w:p>
    <w:p w14:paraId="3648DF6D" w14:textId="77777777" w:rsidR="00B671A4" w:rsidRPr="00CA32D6" w:rsidRDefault="53151029" w:rsidP="00374F41">
      <w:pPr>
        <w:pStyle w:val="NumberLevel1"/>
        <w:numPr>
          <w:ilvl w:val="0"/>
          <w:numId w:val="72"/>
        </w:numPr>
        <w:spacing w:before="0" w:after="160" w:line="360" w:lineRule="auto"/>
        <w:rPr>
          <w:rFonts w:eastAsia="Calibri"/>
          <w:sz w:val="24"/>
          <w:szCs w:val="24"/>
        </w:rPr>
      </w:pPr>
      <w:r w:rsidRPr="00CA32D6">
        <w:rPr>
          <w:rFonts w:eastAsia="Calibri"/>
          <w:sz w:val="24"/>
          <w:szCs w:val="24"/>
        </w:rPr>
        <w:t>The SMRC is an independent statutory body responsible to the Minister for Veterans’ Affairs (the Minister).</w:t>
      </w:r>
      <w:r w:rsidR="26DCDC6F" w:rsidRPr="00CA32D6">
        <w:rPr>
          <w:rFonts w:eastAsia="Calibri"/>
          <w:sz w:val="24"/>
          <w:szCs w:val="24"/>
        </w:rPr>
        <w:t xml:space="preserve"> Members of the SMRC are medical practitioners and medical scientists appointed as Councillors by the Minister. </w:t>
      </w:r>
    </w:p>
    <w:p w14:paraId="5610B39A" w14:textId="77777777" w:rsidR="001367BC" w:rsidRPr="001367BC" w:rsidRDefault="01C1DB1C" w:rsidP="00374F41">
      <w:pPr>
        <w:pStyle w:val="NumberLevel1"/>
        <w:numPr>
          <w:ilvl w:val="0"/>
          <w:numId w:val="72"/>
        </w:numPr>
        <w:spacing w:before="0" w:after="160" w:line="360" w:lineRule="auto"/>
        <w:rPr>
          <w:rFonts w:eastAsia="Calibri"/>
          <w:sz w:val="24"/>
          <w:szCs w:val="24"/>
        </w:rPr>
      </w:pPr>
      <w:r w:rsidRPr="00CA32D6">
        <w:rPr>
          <w:rFonts w:eastAsia="Calibri"/>
          <w:sz w:val="24"/>
        </w:rPr>
        <w:t>The Minister must appoint one of the Councillors to be the Convener. If the Council does not include the Convener, the Convener must appoint one of the Councillors selected for the review to preside at all meetings as Presiding Councillor</w:t>
      </w:r>
      <w:r w:rsidR="00035ED5">
        <w:rPr>
          <w:rFonts w:eastAsia="Calibri"/>
          <w:sz w:val="24"/>
        </w:rPr>
        <w:t>.</w:t>
      </w:r>
      <w:r w:rsidRPr="00CA32D6">
        <w:rPr>
          <w:rFonts w:eastAsia="Calibri"/>
          <w:sz w:val="24"/>
        </w:rPr>
        <w:t xml:space="preserve"> </w:t>
      </w:r>
    </w:p>
    <w:p w14:paraId="5D54574A" w14:textId="18342A56" w:rsidR="00B671A4" w:rsidRPr="00CA32D6" w:rsidRDefault="26DCDC6F" w:rsidP="00374F41">
      <w:pPr>
        <w:pStyle w:val="NumberLevel1"/>
        <w:numPr>
          <w:ilvl w:val="0"/>
          <w:numId w:val="72"/>
        </w:numPr>
        <w:spacing w:before="0" w:after="160" w:line="360" w:lineRule="auto"/>
        <w:rPr>
          <w:rFonts w:eastAsia="Calibri"/>
          <w:sz w:val="24"/>
          <w:szCs w:val="24"/>
        </w:rPr>
      </w:pPr>
      <w:r w:rsidRPr="00CA32D6">
        <w:rPr>
          <w:rFonts w:eastAsia="Calibri"/>
          <w:sz w:val="24"/>
        </w:rPr>
        <w:t xml:space="preserve">A </w:t>
      </w:r>
      <w:r w:rsidR="7147BB95" w:rsidRPr="00CA32D6">
        <w:rPr>
          <w:rFonts w:eastAsia="Calibri"/>
          <w:sz w:val="24"/>
        </w:rPr>
        <w:t>Council</w:t>
      </w:r>
      <w:r w:rsidR="53151029" w:rsidRPr="00CA32D6">
        <w:rPr>
          <w:rFonts w:eastAsia="Calibri"/>
          <w:sz w:val="24"/>
        </w:rPr>
        <w:t xml:space="preserve"> consists of </w:t>
      </w:r>
      <w:r w:rsidR="007B60DB">
        <w:rPr>
          <w:rFonts w:eastAsia="Calibri"/>
          <w:sz w:val="24"/>
        </w:rPr>
        <w:t>three to five</w:t>
      </w:r>
      <w:r w:rsidR="153CEC73" w:rsidRPr="00CA32D6">
        <w:rPr>
          <w:rFonts w:eastAsia="Calibri"/>
          <w:sz w:val="24"/>
        </w:rPr>
        <w:t xml:space="preserve"> Councillors </w:t>
      </w:r>
      <w:r w:rsidR="53151029" w:rsidRPr="00CA32D6">
        <w:rPr>
          <w:rFonts w:eastAsia="Calibri"/>
          <w:sz w:val="24"/>
        </w:rPr>
        <w:t xml:space="preserve">selected by the Convener of the SMRC for a particular review on the basis of their expertise in the injury or disease relevant to the </w:t>
      </w:r>
      <w:r w:rsidR="004C446C">
        <w:rPr>
          <w:rFonts w:eastAsia="Calibri"/>
          <w:sz w:val="24"/>
          <w:szCs w:val="24"/>
        </w:rPr>
        <w:t xml:space="preserve">Statements of Principles </w:t>
      </w:r>
      <w:r w:rsidR="53151029" w:rsidRPr="00CA32D6">
        <w:rPr>
          <w:rFonts w:eastAsia="Calibri"/>
          <w:sz w:val="24"/>
        </w:rPr>
        <w:t xml:space="preserve">subject to </w:t>
      </w:r>
      <w:r w:rsidR="00CA32D6" w:rsidRPr="00CA32D6">
        <w:rPr>
          <w:rFonts w:eastAsia="Calibri"/>
          <w:sz w:val="24"/>
        </w:rPr>
        <w:t>review.</w:t>
      </w:r>
      <w:r w:rsidR="00CA32D6" w:rsidRPr="00CA32D6">
        <w:rPr>
          <w:rFonts w:eastAsia="Calibri"/>
          <w:sz w:val="24"/>
          <w:szCs w:val="24"/>
        </w:rPr>
        <w:t xml:space="preserve"> The</w:t>
      </w:r>
      <w:r w:rsidR="1CBD568D" w:rsidRPr="00CA32D6">
        <w:rPr>
          <w:rFonts w:eastAsia="Calibri"/>
          <w:sz w:val="24"/>
          <w:szCs w:val="24"/>
        </w:rPr>
        <w:t xml:space="preserve"> composition of each Council changes from review to review depending on the issues relevant to the particular </w:t>
      </w:r>
      <w:r w:rsidR="004C446C">
        <w:rPr>
          <w:rFonts w:eastAsia="Calibri"/>
          <w:sz w:val="24"/>
          <w:szCs w:val="24"/>
        </w:rPr>
        <w:t xml:space="preserve">Statement of Principles </w:t>
      </w:r>
      <w:r w:rsidR="1CBD568D" w:rsidRPr="00CA32D6">
        <w:rPr>
          <w:rFonts w:eastAsia="Calibri"/>
          <w:sz w:val="24"/>
          <w:szCs w:val="24"/>
        </w:rPr>
        <w:t xml:space="preserve">under review. </w:t>
      </w:r>
    </w:p>
    <w:p w14:paraId="3868DC01" w14:textId="77777777" w:rsidR="00374F41" w:rsidRDefault="00374F41">
      <w:pPr>
        <w:rPr>
          <w:rFonts w:eastAsia="Calibri"/>
          <w:b/>
          <w:i/>
          <w:sz w:val="24"/>
        </w:rPr>
      </w:pPr>
      <w:r>
        <w:rPr>
          <w:rFonts w:eastAsia="Calibri"/>
          <w:b/>
          <w:i/>
          <w:sz w:val="24"/>
        </w:rPr>
        <w:br w:type="page"/>
      </w:r>
    </w:p>
    <w:p w14:paraId="76D0F426" w14:textId="1A1F28B1" w:rsidR="00DD76BE" w:rsidRPr="00CA32D6" w:rsidRDefault="00B860FE" w:rsidP="00374F41">
      <w:pPr>
        <w:pStyle w:val="NumberLevel1"/>
        <w:spacing w:before="0" w:after="160" w:line="360" w:lineRule="auto"/>
        <w:ind w:left="98"/>
        <w:rPr>
          <w:rFonts w:eastAsia="Calibri"/>
          <w:b/>
          <w:sz w:val="24"/>
          <w:szCs w:val="24"/>
        </w:rPr>
      </w:pPr>
      <w:r w:rsidRPr="00CA32D6">
        <w:rPr>
          <w:rFonts w:eastAsia="Calibri"/>
          <w:b/>
          <w:i/>
          <w:sz w:val="24"/>
          <w:szCs w:val="24"/>
        </w:rPr>
        <w:lastRenderedPageBreak/>
        <w:t xml:space="preserve">The Review Council </w:t>
      </w:r>
    </w:p>
    <w:p w14:paraId="493353C2" w14:textId="1F88C0E2" w:rsidR="00530646" w:rsidRPr="00CA32D6" w:rsidRDefault="19E2043A" w:rsidP="00374F41">
      <w:pPr>
        <w:pStyle w:val="NumberLevel1"/>
        <w:numPr>
          <w:ilvl w:val="0"/>
          <w:numId w:val="72"/>
        </w:numPr>
        <w:spacing w:before="0" w:after="160" w:line="360" w:lineRule="auto"/>
        <w:ind w:left="709" w:hanging="611"/>
        <w:rPr>
          <w:rFonts w:eastAsia="Calibri"/>
          <w:sz w:val="24"/>
          <w:szCs w:val="24"/>
        </w:rPr>
      </w:pPr>
      <w:r w:rsidRPr="00CA32D6">
        <w:rPr>
          <w:rFonts w:eastAsia="Calibri"/>
          <w:b/>
          <w:sz w:val="24"/>
          <w:szCs w:val="24"/>
        </w:rPr>
        <w:t xml:space="preserve">Professor Charles Guest </w:t>
      </w:r>
      <w:r w:rsidR="024486B5" w:rsidRPr="00CA32D6">
        <w:rPr>
          <w:rFonts w:eastAsia="Calibri"/>
          <w:b/>
          <w:sz w:val="24"/>
          <w:szCs w:val="24"/>
        </w:rPr>
        <w:t>is the Convener of the SMRC</w:t>
      </w:r>
      <w:r w:rsidR="024486B5" w:rsidRPr="00CA32D6">
        <w:rPr>
          <w:rFonts w:eastAsia="Calibri"/>
          <w:sz w:val="24"/>
          <w:szCs w:val="24"/>
        </w:rPr>
        <w:t xml:space="preserve"> and </w:t>
      </w:r>
      <w:r w:rsidRPr="00CA32D6">
        <w:rPr>
          <w:rFonts w:eastAsia="Calibri"/>
          <w:sz w:val="24"/>
          <w:szCs w:val="24"/>
        </w:rPr>
        <w:t>was Presiding Councillor for this review.  His career has been in epidemiology and public health. His current appointment is at the School of Population and Global Health, University of Melbourne.</w:t>
      </w:r>
      <w:r w:rsidR="6DCAFB2A" w:rsidRPr="00CA32D6">
        <w:rPr>
          <w:rFonts w:eastAsia="Calibri"/>
          <w:sz w:val="24"/>
          <w:szCs w:val="24"/>
        </w:rPr>
        <w:t xml:space="preserve"> </w:t>
      </w:r>
    </w:p>
    <w:p w14:paraId="5121205A" w14:textId="77777777" w:rsidR="00B671A4" w:rsidRPr="00CA32D6" w:rsidRDefault="1CBD568D" w:rsidP="00374F41">
      <w:pPr>
        <w:pStyle w:val="NumberLevel1"/>
        <w:numPr>
          <w:ilvl w:val="0"/>
          <w:numId w:val="72"/>
        </w:numPr>
        <w:spacing w:before="0" w:after="160" w:line="360" w:lineRule="auto"/>
        <w:ind w:left="709" w:hanging="611"/>
        <w:rPr>
          <w:rFonts w:eastAsia="Calibri"/>
          <w:sz w:val="24"/>
          <w:szCs w:val="24"/>
        </w:rPr>
      </w:pPr>
      <w:r w:rsidRPr="00CA32D6">
        <w:rPr>
          <w:rFonts w:eastAsia="Calibri"/>
          <w:sz w:val="24"/>
          <w:szCs w:val="24"/>
        </w:rPr>
        <w:t>The other members of the Council were:</w:t>
      </w:r>
    </w:p>
    <w:p w14:paraId="7EE30597" w14:textId="77777777" w:rsidR="6A7F489E" w:rsidRPr="00CA32D6" w:rsidRDefault="20F93240" w:rsidP="00374F41">
      <w:pPr>
        <w:pStyle w:val="NumberLevel1"/>
        <w:spacing w:before="0" w:after="160" w:line="360" w:lineRule="auto"/>
        <w:ind w:left="1055"/>
        <w:rPr>
          <w:rFonts w:eastAsia="Calibri"/>
          <w:b/>
          <w:sz w:val="24"/>
          <w:szCs w:val="24"/>
        </w:rPr>
      </w:pPr>
      <w:r w:rsidRPr="00CA32D6">
        <w:rPr>
          <w:rFonts w:eastAsia="Calibri"/>
          <w:b/>
          <w:sz w:val="24"/>
          <w:szCs w:val="24"/>
        </w:rPr>
        <w:t xml:space="preserve">Associate Professor Meagan Brennan FRACGP FASBP PhD. </w:t>
      </w:r>
    </w:p>
    <w:p w14:paraId="665A7D72" w14:textId="77777777" w:rsidR="00530646" w:rsidRPr="00CA32D6" w:rsidRDefault="6A7F489E" w:rsidP="00374F41">
      <w:pPr>
        <w:pStyle w:val="NumberLevel1"/>
        <w:spacing w:before="0" w:after="160" w:line="360" w:lineRule="auto"/>
        <w:ind w:left="1055"/>
        <w:rPr>
          <w:rFonts w:eastAsia="Calibri"/>
          <w:sz w:val="24"/>
          <w:szCs w:val="24"/>
        </w:rPr>
      </w:pPr>
      <w:r w:rsidRPr="00CA32D6">
        <w:rPr>
          <w:rFonts w:eastAsia="Calibri"/>
          <w:sz w:val="24"/>
          <w:szCs w:val="24"/>
        </w:rPr>
        <w:t>Associate Professor Brennan is a senior breast physician and developer of clinical protocols with 31 years’ experience. Her current positions are:</w:t>
      </w:r>
    </w:p>
    <w:p w14:paraId="388B678A" w14:textId="77777777" w:rsidR="00530646" w:rsidRPr="00CA32D6" w:rsidRDefault="6A7F489E" w:rsidP="00374F41">
      <w:pPr>
        <w:pStyle w:val="NumberLevel1"/>
        <w:numPr>
          <w:ilvl w:val="0"/>
          <w:numId w:val="53"/>
        </w:numPr>
        <w:spacing w:before="0" w:after="0" w:line="360" w:lineRule="auto"/>
        <w:rPr>
          <w:rFonts w:eastAsia="Calibri"/>
          <w:sz w:val="24"/>
          <w:szCs w:val="24"/>
        </w:rPr>
      </w:pPr>
      <w:r w:rsidRPr="00CA32D6">
        <w:rPr>
          <w:rFonts w:eastAsia="Calibri"/>
          <w:sz w:val="24"/>
          <w:szCs w:val="24"/>
        </w:rPr>
        <w:t xml:space="preserve">Associate Professor, University of Notre Dame Australia; </w:t>
      </w:r>
    </w:p>
    <w:p w14:paraId="570FECE7" w14:textId="77777777" w:rsidR="00530646" w:rsidRPr="00CA32D6" w:rsidRDefault="6A7F489E" w:rsidP="00374F41">
      <w:pPr>
        <w:pStyle w:val="NumberLevel1"/>
        <w:numPr>
          <w:ilvl w:val="0"/>
          <w:numId w:val="53"/>
        </w:numPr>
        <w:spacing w:before="0" w:after="0" w:line="360" w:lineRule="auto"/>
        <w:rPr>
          <w:rFonts w:eastAsia="Calibri"/>
          <w:sz w:val="24"/>
          <w:szCs w:val="24"/>
        </w:rPr>
      </w:pPr>
      <w:r w:rsidRPr="00CA32D6">
        <w:rPr>
          <w:rFonts w:eastAsia="Calibri"/>
          <w:sz w:val="24"/>
          <w:szCs w:val="24"/>
        </w:rPr>
        <w:t xml:space="preserve">Editorial Board Member, The Breast, Elsevier Peer-reviewed medical journal, UK; </w:t>
      </w:r>
    </w:p>
    <w:p w14:paraId="1900369B" w14:textId="77777777" w:rsidR="00530646" w:rsidRPr="00CA32D6" w:rsidRDefault="6A7F489E" w:rsidP="00374F41">
      <w:pPr>
        <w:pStyle w:val="NumberLevel1"/>
        <w:numPr>
          <w:ilvl w:val="0"/>
          <w:numId w:val="53"/>
        </w:numPr>
        <w:spacing w:before="0" w:after="0" w:line="360" w:lineRule="auto"/>
        <w:rPr>
          <w:rFonts w:eastAsia="Calibri"/>
          <w:sz w:val="24"/>
          <w:szCs w:val="24"/>
        </w:rPr>
      </w:pPr>
      <w:r w:rsidRPr="00CA32D6">
        <w:rPr>
          <w:rFonts w:eastAsia="Calibri"/>
          <w:sz w:val="24"/>
          <w:szCs w:val="24"/>
        </w:rPr>
        <w:t xml:space="preserve">Board of Examiners, Royal Australian College of General Practitioners; </w:t>
      </w:r>
    </w:p>
    <w:p w14:paraId="383BA63C" w14:textId="77777777" w:rsidR="00530646" w:rsidRPr="00CA32D6" w:rsidRDefault="6A7F489E" w:rsidP="00374F41">
      <w:pPr>
        <w:pStyle w:val="NumberLevel1"/>
        <w:numPr>
          <w:ilvl w:val="0"/>
          <w:numId w:val="53"/>
        </w:numPr>
        <w:spacing w:before="0" w:after="0" w:line="360" w:lineRule="auto"/>
        <w:rPr>
          <w:rFonts w:eastAsia="Calibri"/>
          <w:sz w:val="24"/>
          <w:szCs w:val="24"/>
        </w:rPr>
      </w:pPr>
      <w:r w:rsidRPr="00CA32D6">
        <w:rPr>
          <w:rFonts w:eastAsia="Calibri"/>
          <w:sz w:val="24"/>
          <w:szCs w:val="24"/>
        </w:rPr>
        <w:t>Clinical Associate Professor Sydney Medical School University of Sydney;</w:t>
      </w:r>
    </w:p>
    <w:p w14:paraId="6365220A" w14:textId="77777777" w:rsidR="00530646" w:rsidRPr="00CA32D6" w:rsidRDefault="6A7F489E" w:rsidP="00374F41">
      <w:pPr>
        <w:pStyle w:val="NumberLevel1"/>
        <w:numPr>
          <w:ilvl w:val="0"/>
          <w:numId w:val="53"/>
        </w:numPr>
        <w:spacing w:before="0" w:after="0" w:line="360" w:lineRule="auto"/>
        <w:rPr>
          <w:rFonts w:eastAsia="Calibri"/>
          <w:sz w:val="24"/>
          <w:szCs w:val="24"/>
        </w:rPr>
      </w:pPr>
      <w:r w:rsidRPr="00CA32D6">
        <w:rPr>
          <w:rFonts w:eastAsia="Calibri"/>
          <w:sz w:val="24"/>
          <w:szCs w:val="24"/>
        </w:rPr>
        <w:t>Board of Examiners, Australasian Society of Breast Physicians; and</w:t>
      </w:r>
    </w:p>
    <w:p w14:paraId="39D7B618" w14:textId="77777777" w:rsidR="6A7F489E" w:rsidRPr="00CA32D6" w:rsidRDefault="20F93240" w:rsidP="00374F41">
      <w:pPr>
        <w:pStyle w:val="NumberLevel1"/>
        <w:numPr>
          <w:ilvl w:val="0"/>
          <w:numId w:val="53"/>
        </w:numPr>
        <w:spacing w:before="0" w:after="0" w:line="360" w:lineRule="auto"/>
        <w:rPr>
          <w:rFonts w:eastAsia="Calibri"/>
          <w:sz w:val="24"/>
          <w:szCs w:val="24"/>
        </w:rPr>
      </w:pPr>
      <w:r w:rsidRPr="00CA32D6">
        <w:rPr>
          <w:rFonts w:eastAsia="Calibri"/>
          <w:sz w:val="24"/>
          <w:szCs w:val="24"/>
        </w:rPr>
        <w:t>Senior Staff Specialist Breast Physician, Westmead Breast Cancer Institute.</w:t>
      </w:r>
    </w:p>
    <w:p w14:paraId="2371961B" w14:textId="77777777" w:rsidR="455AB850" w:rsidRPr="00CA32D6" w:rsidRDefault="6B6401F6" w:rsidP="00374F41">
      <w:pPr>
        <w:pStyle w:val="NumberLevel1"/>
        <w:spacing w:before="0" w:after="160" w:line="360" w:lineRule="auto"/>
        <w:ind w:left="1055"/>
        <w:rPr>
          <w:rFonts w:eastAsia="Calibri"/>
          <w:b/>
          <w:sz w:val="24"/>
          <w:szCs w:val="24"/>
        </w:rPr>
      </w:pPr>
      <w:r w:rsidRPr="00CA32D6">
        <w:rPr>
          <w:rFonts w:eastAsia="Calibri"/>
          <w:b/>
          <w:sz w:val="24"/>
          <w:szCs w:val="24"/>
        </w:rPr>
        <w:t>Dr Catriona Melville FRCOG, FRANZCOG, FFSRH</w:t>
      </w:r>
      <w:r w:rsidR="1D1779DB" w:rsidRPr="00CA32D6">
        <w:rPr>
          <w:rFonts w:eastAsia="Calibri"/>
          <w:b/>
          <w:sz w:val="24"/>
          <w:szCs w:val="24"/>
        </w:rPr>
        <w:t>.</w:t>
      </w:r>
    </w:p>
    <w:p w14:paraId="5798460D" w14:textId="77777777" w:rsidR="00530646" w:rsidRPr="00CA32D6" w:rsidRDefault="455AB850" w:rsidP="00374F41">
      <w:pPr>
        <w:pStyle w:val="NumberLevel1"/>
        <w:spacing w:before="0" w:after="160" w:line="360" w:lineRule="auto"/>
        <w:ind w:left="1055"/>
        <w:rPr>
          <w:rFonts w:eastAsia="Calibri"/>
          <w:sz w:val="24"/>
          <w:szCs w:val="24"/>
        </w:rPr>
      </w:pPr>
      <w:r w:rsidRPr="00CA32D6">
        <w:rPr>
          <w:rFonts w:eastAsia="Calibri"/>
          <w:sz w:val="24"/>
          <w:szCs w:val="24"/>
        </w:rPr>
        <w:t>Dr Melville is</w:t>
      </w:r>
      <w:r w:rsidR="2D49F8B8" w:rsidRPr="00CA32D6">
        <w:rPr>
          <w:rFonts w:eastAsia="Calibri"/>
          <w:sz w:val="24"/>
          <w:szCs w:val="24"/>
        </w:rPr>
        <w:t xml:space="preserve"> a</w:t>
      </w:r>
      <w:r w:rsidRPr="00CA32D6">
        <w:rPr>
          <w:rFonts w:eastAsia="Calibri"/>
          <w:sz w:val="24"/>
          <w:szCs w:val="24"/>
        </w:rPr>
        <w:t xml:space="preserve"> specialist in obstetrics, gynaecology and </w:t>
      </w:r>
      <w:r w:rsidR="6F1CF0C0" w:rsidRPr="00CA32D6">
        <w:rPr>
          <w:rFonts w:eastAsia="Calibri"/>
          <w:sz w:val="24"/>
          <w:szCs w:val="24"/>
        </w:rPr>
        <w:t xml:space="preserve">subspecialist in sexual and </w:t>
      </w:r>
      <w:r w:rsidRPr="00CA32D6">
        <w:rPr>
          <w:rFonts w:eastAsia="Calibri"/>
          <w:sz w:val="24"/>
          <w:szCs w:val="24"/>
        </w:rPr>
        <w:t xml:space="preserve">reproductive health with 27 years’ experience. Her current positions are: </w:t>
      </w:r>
    </w:p>
    <w:p w14:paraId="07C43C10" w14:textId="4ABA0B7C" w:rsidR="00530646" w:rsidRPr="00CA32D6" w:rsidRDefault="455AB850" w:rsidP="00374F41">
      <w:pPr>
        <w:pStyle w:val="NumberLevel1"/>
        <w:numPr>
          <w:ilvl w:val="0"/>
          <w:numId w:val="54"/>
        </w:numPr>
        <w:spacing w:before="0" w:after="0" w:line="360" w:lineRule="auto"/>
        <w:rPr>
          <w:rFonts w:eastAsia="Calibri"/>
          <w:sz w:val="24"/>
          <w:szCs w:val="24"/>
        </w:rPr>
      </w:pPr>
      <w:r w:rsidRPr="00CA32D6">
        <w:rPr>
          <w:rFonts w:eastAsia="Calibri"/>
          <w:sz w:val="24"/>
          <w:szCs w:val="24"/>
        </w:rPr>
        <w:t>Deputy Medical Director,</w:t>
      </w:r>
      <w:r w:rsidR="593F4CDF" w:rsidRPr="00CA32D6">
        <w:rPr>
          <w:rFonts w:eastAsia="Calibri"/>
          <w:sz w:val="24"/>
          <w:szCs w:val="24"/>
        </w:rPr>
        <w:t xml:space="preserve"> </w:t>
      </w:r>
      <w:r w:rsidRPr="00CA32D6">
        <w:rPr>
          <w:rFonts w:eastAsia="Calibri"/>
          <w:sz w:val="24"/>
          <w:szCs w:val="24"/>
        </w:rPr>
        <w:t>MSI</w:t>
      </w:r>
      <w:r w:rsidR="00DD76BE">
        <w:rPr>
          <w:rFonts w:eastAsia="Calibri"/>
          <w:sz w:val="24"/>
          <w:szCs w:val="24"/>
        </w:rPr>
        <w:t xml:space="preserve"> </w:t>
      </w:r>
      <w:r w:rsidRPr="00CA32D6">
        <w:rPr>
          <w:rFonts w:eastAsia="Calibri"/>
          <w:sz w:val="24"/>
          <w:szCs w:val="24"/>
        </w:rPr>
        <w:t>Australia, Queensland</w:t>
      </w:r>
      <w:r w:rsidR="00BA20B7">
        <w:rPr>
          <w:rFonts w:eastAsia="Calibri"/>
          <w:sz w:val="24"/>
          <w:szCs w:val="24"/>
        </w:rPr>
        <w:t>;</w:t>
      </w:r>
      <w:r w:rsidRPr="00CA32D6">
        <w:rPr>
          <w:rFonts w:eastAsia="Calibri"/>
          <w:sz w:val="24"/>
          <w:szCs w:val="24"/>
        </w:rPr>
        <w:t xml:space="preserve"> </w:t>
      </w:r>
    </w:p>
    <w:p w14:paraId="0E40F567" w14:textId="37B7B53F" w:rsidR="00530646" w:rsidRPr="00CA32D6" w:rsidRDefault="455AB850" w:rsidP="00374F41">
      <w:pPr>
        <w:pStyle w:val="NumberLevel1"/>
        <w:numPr>
          <w:ilvl w:val="0"/>
          <w:numId w:val="54"/>
        </w:numPr>
        <w:spacing w:before="0" w:after="0" w:line="360" w:lineRule="auto"/>
        <w:rPr>
          <w:rFonts w:eastAsia="Calibri"/>
          <w:sz w:val="24"/>
          <w:szCs w:val="24"/>
        </w:rPr>
      </w:pPr>
      <w:r w:rsidRPr="00CA32D6">
        <w:rPr>
          <w:rFonts w:eastAsia="Calibri"/>
          <w:sz w:val="24"/>
          <w:szCs w:val="24"/>
        </w:rPr>
        <w:t>Clinical Tutor</w:t>
      </w:r>
      <w:r w:rsidR="2A3DD44C" w:rsidRPr="00CA32D6">
        <w:rPr>
          <w:rFonts w:eastAsia="Calibri"/>
          <w:sz w:val="24"/>
          <w:szCs w:val="24"/>
        </w:rPr>
        <w:t xml:space="preserve">, </w:t>
      </w:r>
      <w:r w:rsidRPr="00CA32D6">
        <w:rPr>
          <w:rFonts w:eastAsia="Calibri"/>
          <w:sz w:val="24"/>
          <w:szCs w:val="24"/>
        </w:rPr>
        <w:t>Faculty of Medicine, University of Queensland</w:t>
      </w:r>
      <w:r w:rsidR="00BA20B7">
        <w:rPr>
          <w:rFonts w:eastAsia="Calibri"/>
          <w:sz w:val="24"/>
          <w:szCs w:val="24"/>
        </w:rPr>
        <w:t>;</w:t>
      </w:r>
      <w:r w:rsidRPr="00CA32D6">
        <w:rPr>
          <w:rFonts w:eastAsia="Calibri"/>
          <w:sz w:val="24"/>
          <w:szCs w:val="24"/>
        </w:rPr>
        <w:t xml:space="preserve"> </w:t>
      </w:r>
    </w:p>
    <w:p w14:paraId="6D131DBF" w14:textId="7BA2BEC9" w:rsidR="00530646" w:rsidRPr="00CA32D6" w:rsidRDefault="455AB850" w:rsidP="00374F41">
      <w:pPr>
        <w:pStyle w:val="NumberLevel1"/>
        <w:numPr>
          <w:ilvl w:val="0"/>
          <w:numId w:val="54"/>
        </w:numPr>
        <w:spacing w:before="0" w:after="0" w:line="360" w:lineRule="auto"/>
        <w:rPr>
          <w:rFonts w:eastAsia="Calibri"/>
          <w:sz w:val="24"/>
          <w:szCs w:val="24"/>
        </w:rPr>
      </w:pPr>
      <w:r w:rsidRPr="00CA32D6">
        <w:rPr>
          <w:rFonts w:eastAsia="Calibri"/>
          <w:sz w:val="24"/>
          <w:szCs w:val="24"/>
        </w:rPr>
        <w:t>Associate Editor, Australian and New Zealand Journal of Obstetrics and Gynaecology (RANZCOG)</w:t>
      </w:r>
      <w:r w:rsidR="00BA20B7">
        <w:rPr>
          <w:rFonts w:eastAsia="Calibri"/>
          <w:sz w:val="24"/>
          <w:szCs w:val="24"/>
        </w:rPr>
        <w:t>;</w:t>
      </w:r>
      <w:r w:rsidRPr="00CA32D6">
        <w:rPr>
          <w:rFonts w:eastAsia="Calibri"/>
          <w:sz w:val="24"/>
          <w:szCs w:val="24"/>
        </w:rPr>
        <w:t xml:space="preserve"> </w:t>
      </w:r>
    </w:p>
    <w:p w14:paraId="11692479" w14:textId="43462655" w:rsidR="00530646" w:rsidRPr="00CA32D6" w:rsidRDefault="455AB850" w:rsidP="00374F41">
      <w:pPr>
        <w:pStyle w:val="NumberLevel1"/>
        <w:numPr>
          <w:ilvl w:val="0"/>
          <w:numId w:val="54"/>
        </w:numPr>
        <w:spacing w:before="0" w:after="0" w:line="360" w:lineRule="auto"/>
        <w:rPr>
          <w:rFonts w:eastAsia="Calibri"/>
          <w:sz w:val="24"/>
          <w:szCs w:val="24"/>
        </w:rPr>
      </w:pPr>
      <w:r w:rsidRPr="00CA32D6">
        <w:rPr>
          <w:rFonts w:eastAsia="Calibri"/>
          <w:sz w:val="24"/>
          <w:szCs w:val="24"/>
        </w:rPr>
        <w:t>Deputy Chair, Sexual and Reproductive Health Special Interest Group RANZCOG, Australia</w:t>
      </w:r>
      <w:r w:rsidR="00BA20B7">
        <w:rPr>
          <w:rFonts w:eastAsia="Calibri"/>
          <w:sz w:val="24"/>
          <w:szCs w:val="24"/>
        </w:rPr>
        <w:t>;</w:t>
      </w:r>
      <w:r w:rsidR="00B04C62">
        <w:rPr>
          <w:rFonts w:eastAsia="Calibri"/>
          <w:sz w:val="24"/>
          <w:szCs w:val="24"/>
        </w:rPr>
        <w:t xml:space="preserve"> </w:t>
      </w:r>
      <w:r w:rsidR="00BA20B7">
        <w:rPr>
          <w:rFonts w:eastAsia="Calibri"/>
          <w:sz w:val="24"/>
          <w:szCs w:val="24"/>
        </w:rPr>
        <w:t>and</w:t>
      </w:r>
      <w:r w:rsidRPr="00CA32D6">
        <w:rPr>
          <w:rFonts w:eastAsia="Calibri"/>
          <w:sz w:val="24"/>
          <w:szCs w:val="24"/>
        </w:rPr>
        <w:t xml:space="preserve"> </w:t>
      </w:r>
    </w:p>
    <w:p w14:paraId="6719A4E9" w14:textId="117B6AA8" w:rsidR="00CA32D6" w:rsidRPr="00D20958" w:rsidRDefault="74FF7D89" w:rsidP="00374F41">
      <w:pPr>
        <w:pStyle w:val="NumberLevel1"/>
        <w:numPr>
          <w:ilvl w:val="0"/>
          <w:numId w:val="54"/>
        </w:numPr>
        <w:spacing w:before="0" w:after="0" w:line="360" w:lineRule="auto"/>
        <w:rPr>
          <w:rFonts w:eastAsia="Calibri"/>
          <w:b/>
          <w:i/>
          <w:sz w:val="24"/>
        </w:rPr>
      </w:pPr>
      <w:r w:rsidRPr="00D20958">
        <w:rPr>
          <w:rFonts w:eastAsia="Calibri"/>
          <w:sz w:val="24"/>
          <w:szCs w:val="24"/>
        </w:rPr>
        <w:t>Guideline Writing Group</w:t>
      </w:r>
      <w:r w:rsidR="6B5E1212" w:rsidRPr="00D20958">
        <w:rPr>
          <w:rFonts w:eastAsia="Calibri"/>
          <w:sz w:val="24"/>
          <w:szCs w:val="24"/>
        </w:rPr>
        <w:t xml:space="preserve"> member, </w:t>
      </w:r>
      <w:r w:rsidRPr="00D20958">
        <w:rPr>
          <w:rFonts w:eastAsia="Calibri"/>
          <w:sz w:val="24"/>
          <w:szCs w:val="24"/>
        </w:rPr>
        <w:t>RANZCOG Australasian Abortion Care Guideline</w:t>
      </w:r>
      <w:r w:rsidR="099EF3F1" w:rsidRPr="00D20958">
        <w:rPr>
          <w:rFonts w:eastAsia="Calibri"/>
          <w:sz w:val="24"/>
          <w:szCs w:val="24"/>
        </w:rPr>
        <w:t xml:space="preserve"> (2022 – ongoing)</w:t>
      </w:r>
      <w:r w:rsidR="00F82736" w:rsidRPr="00D20958">
        <w:rPr>
          <w:rFonts w:eastAsia="Calibri"/>
          <w:sz w:val="24"/>
          <w:szCs w:val="24"/>
        </w:rPr>
        <w:t>.</w:t>
      </w:r>
      <w:bookmarkStart w:id="14" w:name="_Toc373244641"/>
    </w:p>
    <w:p w14:paraId="2EE52673" w14:textId="052E9513" w:rsidR="00B671A4" w:rsidRPr="00CA32D6" w:rsidRDefault="00B671A4" w:rsidP="00374F41">
      <w:pPr>
        <w:pStyle w:val="Caption"/>
        <w:spacing w:after="160" w:line="360" w:lineRule="auto"/>
        <w:rPr>
          <w:rFonts w:eastAsia="Calibri"/>
          <w:bCs w:val="0"/>
          <w:i/>
          <w:sz w:val="24"/>
          <w:szCs w:val="24"/>
        </w:rPr>
      </w:pPr>
      <w:r w:rsidRPr="00CA32D6">
        <w:rPr>
          <w:rFonts w:eastAsia="Calibri"/>
          <w:bCs w:val="0"/>
          <w:i/>
          <w:sz w:val="24"/>
          <w:szCs w:val="24"/>
        </w:rPr>
        <w:lastRenderedPageBreak/>
        <w:t>The Legislation</w:t>
      </w:r>
      <w:bookmarkEnd w:id="14"/>
    </w:p>
    <w:p w14:paraId="38FC8D15" w14:textId="736A5F2B" w:rsidR="00CA32D6" w:rsidRPr="00CA32D6" w:rsidRDefault="7B00B8DD" w:rsidP="00374F41">
      <w:pPr>
        <w:pStyle w:val="ListParagraph"/>
        <w:numPr>
          <w:ilvl w:val="0"/>
          <w:numId w:val="72"/>
        </w:numPr>
        <w:spacing w:after="160" w:line="360" w:lineRule="auto"/>
        <w:rPr>
          <w:sz w:val="24"/>
        </w:rPr>
      </w:pPr>
      <w:r w:rsidRPr="00CA32D6">
        <w:rPr>
          <w:rFonts w:eastAsia="Calibri"/>
          <w:sz w:val="24"/>
        </w:rPr>
        <w:t xml:space="preserve">The legislative scheme for the making of </w:t>
      </w:r>
      <w:r w:rsidR="7AC10E5A" w:rsidRPr="00CA32D6">
        <w:rPr>
          <w:rFonts w:eastAsia="Calibri"/>
          <w:sz w:val="24"/>
        </w:rPr>
        <w:t>S</w:t>
      </w:r>
      <w:r w:rsidR="004C446C">
        <w:rPr>
          <w:rFonts w:eastAsia="Calibri"/>
          <w:sz w:val="24"/>
        </w:rPr>
        <w:t xml:space="preserve">tatements of Principles </w:t>
      </w:r>
      <w:r w:rsidRPr="00CA32D6">
        <w:rPr>
          <w:rFonts w:eastAsia="Calibri"/>
          <w:sz w:val="24"/>
        </w:rPr>
        <w:t xml:space="preserve">is set out in Parts XIA and XIB of the VEA. </w:t>
      </w:r>
      <w:r w:rsidR="004C446C">
        <w:rPr>
          <w:rFonts w:eastAsia="Calibri"/>
          <w:sz w:val="24"/>
        </w:rPr>
        <w:t>Statements of Principles</w:t>
      </w:r>
      <w:r w:rsidR="004C446C" w:rsidRPr="00CA32D6">
        <w:rPr>
          <w:rFonts w:eastAsia="Calibri"/>
          <w:sz w:val="24"/>
        </w:rPr>
        <w:t xml:space="preserve"> </w:t>
      </w:r>
      <w:r w:rsidRPr="00CA32D6">
        <w:rPr>
          <w:rFonts w:eastAsia="Calibri"/>
          <w:sz w:val="24"/>
        </w:rPr>
        <w:t>operate as templates. They are determined by the RMA, and set out those criteria (conditions or exposures), known as factors, that must as a minimum exist before it can be said that an injury, disease or death can be connected with service, on either or both of the two statutory tests, the reasonable hypothesis test  and the balance of probabilities test.</w:t>
      </w:r>
    </w:p>
    <w:p w14:paraId="20F56FE4" w14:textId="508147EF" w:rsidR="00B860FE" w:rsidRDefault="00514E8C" w:rsidP="00374F41">
      <w:pPr>
        <w:pStyle w:val="ListParagraph"/>
        <w:numPr>
          <w:ilvl w:val="0"/>
          <w:numId w:val="72"/>
        </w:numPr>
        <w:spacing w:after="160" w:line="360" w:lineRule="auto"/>
        <w:rPr>
          <w:sz w:val="24"/>
        </w:rPr>
      </w:pPr>
      <w:r w:rsidRPr="00CA32D6">
        <w:rPr>
          <w:sz w:val="24"/>
        </w:rPr>
        <w:t>Statements of Principles</w:t>
      </w:r>
      <w:r w:rsidR="7B00B8DD" w:rsidRPr="00CA32D6">
        <w:rPr>
          <w:sz w:val="24"/>
        </w:rPr>
        <w:t xml:space="preserve"> are ultimately applied by decision-makers in determining individual claims for benefits under the VEA and the </w:t>
      </w:r>
      <w:r w:rsidR="707007B2" w:rsidRPr="00CA32D6">
        <w:rPr>
          <w:sz w:val="24"/>
        </w:rPr>
        <w:t>MRCA</w:t>
      </w:r>
      <w:r w:rsidR="7B00B8DD" w:rsidRPr="00CA32D6">
        <w:rPr>
          <w:sz w:val="24"/>
        </w:rPr>
        <w:t xml:space="preserve">. </w:t>
      </w:r>
    </w:p>
    <w:p w14:paraId="4B49CE0A" w14:textId="5CA85E16" w:rsidR="00B860FE" w:rsidRPr="00CA32D6" w:rsidRDefault="00B860FE" w:rsidP="00374F41">
      <w:pPr>
        <w:spacing w:after="160" w:line="360" w:lineRule="auto"/>
        <w:rPr>
          <w:rFonts w:eastAsia="Calibri"/>
          <w:b/>
          <w:i/>
          <w:sz w:val="24"/>
        </w:rPr>
      </w:pPr>
      <w:r w:rsidRPr="00CA32D6">
        <w:rPr>
          <w:rFonts w:eastAsia="Calibri"/>
          <w:b/>
          <w:i/>
          <w:sz w:val="24"/>
        </w:rPr>
        <w:t xml:space="preserve">Sound Medical-Scientific Evidence </w:t>
      </w:r>
    </w:p>
    <w:p w14:paraId="4F43151E" w14:textId="77777777" w:rsidR="00B860FE" w:rsidRPr="00CA32D6" w:rsidRDefault="00B860FE" w:rsidP="00374F41">
      <w:pPr>
        <w:pStyle w:val="FootnoteText"/>
        <w:numPr>
          <w:ilvl w:val="0"/>
          <w:numId w:val="72"/>
        </w:numPr>
        <w:spacing w:after="160" w:line="360" w:lineRule="auto"/>
        <w:rPr>
          <w:rFonts w:eastAsia="Calibri"/>
          <w:sz w:val="24"/>
          <w:szCs w:val="24"/>
        </w:rPr>
      </w:pPr>
      <w:r w:rsidRPr="00CA32D6">
        <w:rPr>
          <w:rFonts w:eastAsia="Calibri"/>
          <w:sz w:val="24"/>
          <w:szCs w:val="24"/>
        </w:rPr>
        <w:t>The sound medical-scientific evidence is a subset of the available information. It comprises those articles which the Council considers:</w:t>
      </w:r>
    </w:p>
    <w:p w14:paraId="5B8DF504" w14:textId="77777777" w:rsidR="00B860FE" w:rsidRPr="00CA32D6" w:rsidRDefault="00B860FE" w:rsidP="00374F41">
      <w:pPr>
        <w:pStyle w:val="FootnoteText"/>
        <w:spacing w:after="0" w:line="360" w:lineRule="auto"/>
        <w:ind w:left="851" w:firstLine="0"/>
        <w:rPr>
          <w:rFonts w:eastAsia="Calibri"/>
          <w:sz w:val="24"/>
          <w:szCs w:val="24"/>
        </w:rPr>
      </w:pPr>
      <w:r w:rsidRPr="00CA32D6">
        <w:rPr>
          <w:rFonts w:eastAsia="Calibri"/>
          <w:sz w:val="24"/>
          <w:szCs w:val="24"/>
        </w:rPr>
        <w:t>a) are relevant to the matters within the proposed scope of review, and</w:t>
      </w:r>
    </w:p>
    <w:p w14:paraId="6FFD817A" w14:textId="77777777" w:rsidR="00B860FE" w:rsidRPr="00CA32D6" w:rsidRDefault="00B860FE" w:rsidP="00374F41">
      <w:pPr>
        <w:pStyle w:val="FootnoteText"/>
        <w:spacing w:after="0" w:line="360" w:lineRule="auto"/>
        <w:ind w:left="851" w:firstLine="0"/>
        <w:rPr>
          <w:rFonts w:eastAsia="Calibri"/>
          <w:sz w:val="24"/>
          <w:szCs w:val="24"/>
        </w:rPr>
      </w:pPr>
      <w:r w:rsidRPr="00CA32D6">
        <w:rPr>
          <w:rFonts w:eastAsia="Calibri"/>
          <w:sz w:val="24"/>
          <w:szCs w:val="24"/>
        </w:rPr>
        <w:t>b) satisfy the definition in the VEA of 'sound medical-scientific evidence'.</w:t>
      </w:r>
    </w:p>
    <w:p w14:paraId="6B5D1C27" w14:textId="5B41F3C6" w:rsidR="00B860FE" w:rsidRPr="00CA32D6" w:rsidRDefault="00B860FE" w:rsidP="00374F41">
      <w:pPr>
        <w:pStyle w:val="FootnoteText"/>
        <w:numPr>
          <w:ilvl w:val="0"/>
          <w:numId w:val="72"/>
        </w:numPr>
        <w:spacing w:after="160" w:line="360" w:lineRule="auto"/>
        <w:rPr>
          <w:rFonts w:eastAsia="Calibri"/>
          <w:sz w:val="24"/>
          <w:szCs w:val="24"/>
        </w:rPr>
      </w:pPr>
      <w:r w:rsidRPr="00CA32D6">
        <w:rPr>
          <w:rFonts w:eastAsia="Calibri"/>
          <w:sz w:val="24"/>
          <w:szCs w:val="24"/>
        </w:rPr>
        <w:t xml:space="preserve">Sound medical-scientific evidence is defined in section 5AB(2) of the VEA as follows: </w:t>
      </w:r>
    </w:p>
    <w:p w14:paraId="6E0E07AA" w14:textId="180F1D9C" w:rsidR="00B860FE" w:rsidRPr="00CA32D6" w:rsidRDefault="00B860FE" w:rsidP="00374F41">
      <w:pPr>
        <w:pStyle w:val="FootnoteText"/>
        <w:spacing w:after="0" w:line="360" w:lineRule="auto"/>
        <w:ind w:left="1275" w:firstLine="0"/>
        <w:rPr>
          <w:rFonts w:eastAsia="Calibri"/>
          <w:sz w:val="24"/>
          <w:szCs w:val="24"/>
        </w:rPr>
      </w:pPr>
      <w:r w:rsidRPr="00CA32D6">
        <w:rPr>
          <w:rFonts w:eastAsia="Calibri"/>
          <w:sz w:val="24"/>
          <w:szCs w:val="24"/>
        </w:rPr>
        <w:t>Information about a particular kind of injury, disease or death is taken to be sound medical-scientific evidence if:</w:t>
      </w:r>
    </w:p>
    <w:p w14:paraId="2B48FC92" w14:textId="77777777" w:rsidR="00B860FE" w:rsidRPr="00CA32D6" w:rsidRDefault="00B860FE" w:rsidP="00374F41">
      <w:pPr>
        <w:pStyle w:val="FootnoteText"/>
        <w:spacing w:after="0" w:line="360" w:lineRule="auto"/>
        <w:ind w:left="1275" w:firstLine="0"/>
        <w:rPr>
          <w:rFonts w:eastAsia="Calibri"/>
          <w:sz w:val="24"/>
          <w:szCs w:val="24"/>
        </w:rPr>
      </w:pPr>
      <w:r w:rsidRPr="00CA32D6">
        <w:rPr>
          <w:rFonts w:eastAsia="Calibri"/>
          <w:sz w:val="24"/>
          <w:szCs w:val="24"/>
        </w:rPr>
        <w:t>a) the information:</w:t>
      </w:r>
    </w:p>
    <w:p w14:paraId="2A0E319A" w14:textId="4A64DB37" w:rsidR="00B860FE" w:rsidRDefault="00B860FE" w:rsidP="00374F41">
      <w:pPr>
        <w:pStyle w:val="FootnoteText"/>
        <w:spacing w:after="0" w:line="360" w:lineRule="auto"/>
        <w:ind w:left="1700" w:firstLine="0"/>
        <w:rPr>
          <w:rFonts w:eastAsia="Calibri"/>
          <w:sz w:val="24"/>
          <w:szCs w:val="24"/>
        </w:rPr>
      </w:pPr>
      <w:r w:rsidRPr="00CA32D6">
        <w:rPr>
          <w:rFonts w:eastAsia="Calibri"/>
          <w:sz w:val="24"/>
          <w:szCs w:val="24"/>
        </w:rPr>
        <w:t>(i) is consistent with material relating to medical-science that has been published in a medical or scientific publication and has been, in the opinion of the Repatriation Medical Authority, subjected to a peer review process; or</w:t>
      </w:r>
    </w:p>
    <w:p w14:paraId="43EB0143" w14:textId="7A6C60D5" w:rsidR="00374F41" w:rsidRPr="00AF535C" w:rsidRDefault="00374F41" w:rsidP="00374F41">
      <w:pPr>
        <w:pStyle w:val="FootnoteText"/>
        <w:spacing w:after="0" w:line="360" w:lineRule="auto"/>
        <w:ind w:left="1700"/>
        <w:rPr>
          <w:rFonts w:eastAsia="Calibri"/>
          <w:sz w:val="24"/>
          <w:szCs w:val="24"/>
        </w:rPr>
      </w:pPr>
      <w:r w:rsidRPr="00AF535C">
        <w:rPr>
          <w:rFonts w:eastAsia="Calibri"/>
          <w:sz w:val="24"/>
          <w:szCs w:val="24"/>
        </w:rPr>
        <w:t xml:space="preserve">    </w:t>
      </w:r>
      <w:r w:rsidRPr="00AF535C">
        <w:rPr>
          <w:rFonts w:eastAsia="Calibri"/>
          <w:sz w:val="24"/>
          <w:szCs w:val="24"/>
        </w:rPr>
        <w:tab/>
        <w:t>(ii)  in accordance with generally accepted medical practice, would serve as the basis for the diagnosis and management of a medical condition; and</w:t>
      </w:r>
    </w:p>
    <w:p w14:paraId="57E803E5" w14:textId="6AC84F66" w:rsidR="00374F41" w:rsidRPr="00AF535C" w:rsidRDefault="00374F41" w:rsidP="00374F41">
      <w:pPr>
        <w:pStyle w:val="FootnoteText"/>
        <w:spacing w:after="0" w:line="360" w:lineRule="auto"/>
        <w:ind w:left="1275" w:firstLine="0"/>
        <w:rPr>
          <w:rFonts w:eastAsia="Calibri"/>
          <w:sz w:val="24"/>
          <w:szCs w:val="24"/>
        </w:rPr>
      </w:pPr>
      <w:r w:rsidRPr="00AF535C">
        <w:rPr>
          <w:rFonts w:eastAsia="Calibri"/>
          <w:sz w:val="24"/>
          <w:szCs w:val="24"/>
        </w:rPr>
        <w:t>(b)  in the case of information about how that kind of injury, disease or death may be caused—meets the applicable criteria for assessing causation currently applied in the field of epidemiology.</w:t>
      </w:r>
    </w:p>
    <w:p w14:paraId="6A442B49" w14:textId="7B5DE0A3" w:rsidR="00B860FE" w:rsidRPr="00CA32D6" w:rsidRDefault="00B860FE" w:rsidP="00374F41">
      <w:pPr>
        <w:pStyle w:val="FootnoteText"/>
        <w:spacing w:after="160" w:line="360" w:lineRule="auto"/>
        <w:ind w:left="0" w:firstLine="0"/>
        <w:rPr>
          <w:rFonts w:eastAsia="Calibri"/>
          <w:b/>
          <w:i/>
          <w:sz w:val="24"/>
          <w:szCs w:val="24"/>
        </w:rPr>
      </w:pPr>
      <w:r w:rsidRPr="00CA32D6">
        <w:rPr>
          <w:rFonts w:eastAsia="Calibri"/>
          <w:b/>
          <w:i/>
          <w:sz w:val="24"/>
          <w:szCs w:val="24"/>
        </w:rPr>
        <w:lastRenderedPageBreak/>
        <w:t xml:space="preserve">Reasonable Hypothesis </w:t>
      </w:r>
    </w:p>
    <w:p w14:paraId="2D6E659B" w14:textId="77777777" w:rsidR="00B860FE" w:rsidRPr="00CA32D6" w:rsidRDefault="00B860FE" w:rsidP="00374F41">
      <w:pPr>
        <w:pStyle w:val="FootnoteText"/>
        <w:numPr>
          <w:ilvl w:val="0"/>
          <w:numId w:val="72"/>
        </w:numPr>
        <w:tabs>
          <w:tab w:val="clear" w:pos="425"/>
        </w:tabs>
        <w:spacing w:after="160" w:line="360" w:lineRule="auto"/>
        <w:rPr>
          <w:rFonts w:eastAsia="Calibri"/>
          <w:sz w:val="24"/>
          <w:szCs w:val="24"/>
        </w:rPr>
      </w:pPr>
      <w:r w:rsidRPr="00CA32D6">
        <w:rPr>
          <w:rFonts w:eastAsia="Calibri"/>
          <w:sz w:val="24"/>
          <w:szCs w:val="24"/>
        </w:rPr>
        <w:t>The reasonable hypothesis test is set out in section 196B(2) of the VEA which provides;</w:t>
      </w:r>
    </w:p>
    <w:p w14:paraId="7F3CA573" w14:textId="4D5EA780" w:rsidR="00B860FE" w:rsidRPr="00CA32D6" w:rsidRDefault="005E2DB8" w:rsidP="00374F41">
      <w:pPr>
        <w:pStyle w:val="FootnoteText"/>
        <w:tabs>
          <w:tab w:val="clear" w:pos="425"/>
        </w:tabs>
        <w:spacing w:after="0" w:line="360" w:lineRule="auto"/>
        <w:ind w:left="993" w:hanging="633"/>
        <w:rPr>
          <w:rFonts w:eastAsia="Calibri"/>
          <w:sz w:val="24"/>
          <w:szCs w:val="24"/>
        </w:rPr>
      </w:pPr>
      <w:r>
        <w:rPr>
          <w:rFonts w:eastAsia="Calibri"/>
          <w:sz w:val="24"/>
          <w:szCs w:val="24"/>
        </w:rPr>
        <w:tab/>
      </w:r>
      <w:r w:rsidR="00B860FE" w:rsidRPr="00CA32D6">
        <w:rPr>
          <w:rFonts w:eastAsia="Calibri"/>
          <w:sz w:val="24"/>
          <w:szCs w:val="24"/>
        </w:rPr>
        <w:t>If the Authority is of the view that there is sound medical</w:t>
      </w:r>
      <w:r w:rsidR="00B860FE" w:rsidRPr="00CA32D6">
        <w:rPr>
          <w:rFonts w:eastAsia="Calibri"/>
          <w:sz w:val="24"/>
          <w:szCs w:val="24"/>
        </w:rPr>
        <w:noBreakHyphen/>
        <w:t>scientific evidence that indicates that a particular kind of injury, disease or death can be related to:</w:t>
      </w:r>
    </w:p>
    <w:p w14:paraId="54A42B2E"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(a)</w:t>
      </w:r>
      <w:r w:rsidRPr="00CA32D6">
        <w:rPr>
          <w:rFonts w:eastAsia="Calibri"/>
          <w:sz w:val="24"/>
          <w:szCs w:val="24"/>
        </w:rPr>
        <w:tab/>
        <w:t>operational service rendered by veterans; or</w:t>
      </w:r>
    </w:p>
    <w:p w14:paraId="39196E09"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(b)</w:t>
      </w:r>
      <w:r w:rsidRPr="00CA32D6">
        <w:rPr>
          <w:rFonts w:eastAsia="Calibri"/>
          <w:sz w:val="24"/>
          <w:szCs w:val="24"/>
        </w:rPr>
        <w:tab/>
        <w:t>peacekeeping service rendered by members of Peacekeeping Forces; or</w:t>
      </w:r>
    </w:p>
    <w:p w14:paraId="1F9F1F72"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(c)</w:t>
      </w:r>
      <w:r w:rsidRPr="00CA32D6">
        <w:rPr>
          <w:rFonts w:eastAsia="Calibri"/>
          <w:sz w:val="24"/>
          <w:szCs w:val="24"/>
        </w:rPr>
        <w:tab/>
        <w:t>hazardous service rendered by members of the Forces; or</w:t>
      </w:r>
    </w:p>
    <w:p w14:paraId="36861987"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(caa)</w:t>
      </w:r>
      <w:r w:rsidRPr="00CA32D6">
        <w:rPr>
          <w:rFonts w:eastAsia="Calibri"/>
          <w:sz w:val="24"/>
          <w:szCs w:val="24"/>
        </w:rPr>
        <w:tab/>
        <w:t>British nuclear test defence service rendered by members of the Forces; or</w:t>
      </w:r>
    </w:p>
    <w:p w14:paraId="518E23F6"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(ca)</w:t>
      </w:r>
      <w:r w:rsidRPr="00CA32D6">
        <w:rPr>
          <w:rFonts w:eastAsia="Calibri"/>
          <w:sz w:val="24"/>
          <w:szCs w:val="24"/>
        </w:rPr>
        <w:tab/>
        <w:t>warlike or non</w:t>
      </w:r>
      <w:r w:rsidRPr="00CA32D6">
        <w:rPr>
          <w:rFonts w:eastAsia="Calibri"/>
          <w:sz w:val="24"/>
          <w:szCs w:val="24"/>
        </w:rPr>
        <w:noBreakHyphen/>
        <w:t>warlike service rendered by members;</w:t>
      </w:r>
    </w:p>
    <w:p w14:paraId="55067EFD" w14:textId="77777777" w:rsidR="00B860FE" w:rsidRPr="00CA32D6" w:rsidRDefault="00B860FE" w:rsidP="00374F41">
      <w:pPr>
        <w:pStyle w:val="FootnoteText"/>
        <w:tabs>
          <w:tab w:val="clear" w:pos="425"/>
          <w:tab w:val="left" w:pos="720"/>
        </w:tabs>
        <w:spacing w:after="0" w:line="360" w:lineRule="auto"/>
        <w:ind w:left="900" w:firstLine="0"/>
        <w:rPr>
          <w:rFonts w:eastAsia="Calibri"/>
          <w:sz w:val="24"/>
          <w:szCs w:val="24"/>
        </w:rPr>
      </w:pPr>
      <w:r w:rsidRPr="00CA32D6">
        <w:rPr>
          <w:rFonts w:eastAsia="Calibri"/>
          <w:sz w:val="24"/>
          <w:szCs w:val="24"/>
        </w:rPr>
        <w:t>the Authority must determine a Statement of Principles in respect of that kind of injury, disease or death setting out:</w:t>
      </w:r>
    </w:p>
    <w:p w14:paraId="75429BF4"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(d)</w:t>
      </w:r>
      <w:r w:rsidRPr="00CA32D6">
        <w:rPr>
          <w:rFonts w:eastAsia="Calibri"/>
          <w:sz w:val="24"/>
          <w:szCs w:val="24"/>
        </w:rPr>
        <w:tab/>
        <w:t>the factors that must as a minimum exist; and</w:t>
      </w:r>
    </w:p>
    <w:p w14:paraId="1765DD00"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(e)</w:t>
      </w:r>
      <w:r w:rsidRPr="00CA32D6">
        <w:rPr>
          <w:rFonts w:eastAsia="Calibri"/>
          <w:sz w:val="24"/>
          <w:szCs w:val="24"/>
        </w:rPr>
        <w:tab/>
        <w:t>which of those factors must be related to service rendered by a person;</w:t>
      </w:r>
    </w:p>
    <w:p w14:paraId="19835647" w14:textId="77777777" w:rsidR="00B860FE" w:rsidRPr="00CA32D6" w:rsidRDefault="00B860FE" w:rsidP="00374F41">
      <w:pPr>
        <w:pStyle w:val="ListParagraph"/>
        <w:spacing w:line="360" w:lineRule="auto"/>
        <w:ind w:left="720"/>
        <w:rPr>
          <w:rFonts w:eastAsia="Calibri"/>
          <w:sz w:val="24"/>
        </w:rPr>
      </w:pPr>
      <w:r w:rsidRPr="00CA32D6">
        <w:rPr>
          <w:rFonts w:eastAsia="Calibri"/>
          <w:sz w:val="24"/>
        </w:rPr>
        <w:t>before it can be said that a reasonable hypothesis has been raised connecting an injury, disease or death of that kind with the circumstances of that service</w:t>
      </w:r>
    </w:p>
    <w:p w14:paraId="1458BFD3" w14:textId="77777777" w:rsidR="00374F41" w:rsidRDefault="00374F41">
      <w:pPr>
        <w:rPr>
          <w:rFonts w:eastAsia="Calibri"/>
          <w:b/>
          <w:i/>
          <w:sz w:val="24"/>
        </w:rPr>
      </w:pPr>
      <w:r>
        <w:rPr>
          <w:rFonts w:eastAsia="Calibri"/>
          <w:b/>
          <w:i/>
          <w:sz w:val="24"/>
        </w:rPr>
        <w:br w:type="page"/>
      </w:r>
    </w:p>
    <w:p w14:paraId="2C3137FC" w14:textId="0B6DF4E6" w:rsidR="00B860FE" w:rsidRPr="00CA32D6" w:rsidRDefault="00B860FE" w:rsidP="00374F41">
      <w:pPr>
        <w:spacing w:after="160" w:line="360" w:lineRule="auto"/>
        <w:rPr>
          <w:rFonts w:eastAsia="Calibri"/>
          <w:b/>
          <w:i/>
          <w:sz w:val="24"/>
        </w:rPr>
      </w:pPr>
      <w:r w:rsidRPr="00CA32D6">
        <w:rPr>
          <w:rFonts w:eastAsia="Calibri"/>
          <w:b/>
          <w:i/>
          <w:sz w:val="24"/>
        </w:rPr>
        <w:lastRenderedPageBreak/>
        <w:t xml:space="preserve">Balance of Probabilities </w:t>
      </w:r>
    </w:p>
    <w:p w14:paraId="4C2F7E64" w14:textId="0E89237E" w:rsidR="00B860FE" w:rsidRPr="00CA32D6" w:rsidRDefault="00B860FE" w:rsidP="00374F41">
      <w:pPr>
        <w:pStyle w:val="FootnoteText"/>
        <w:numPr>
          <w:ilvl w:val="0"/>
          <w:numId w:val="72"/>
        </w:numPr>
        <w:spacing w:after="160" w:line="360" w:lineRule="auto"/>
        <w:rPr>
          <w:rFonts w:eastAsia="Calibri"/>
          <w:sz w:val="24"/>
          <w:szCs w:val="24"/>
        </w:rPr>
      </w:pPr>
      <w:r w:rsidRPr="00CA32D6">
        <w:rPr>
          <w:rFonts w:eastAsia="Calibri"/>
          <w:sz w:val="24"/>
          <w:szCs w:val="24"/>
        </w:rPr>
        <w:t>The balance of probabilities test is set out in section 196B(3) of the VEA which provides:</w:t>
      </w:r>
    </w:p>
    <w:p w14:paraId="55109499" w14:textId="77777777" w:rsidR="00B860FE" w:rsidRPr="00CA32D6" w:rsidRDefault="00B860FE" w:rsidP="00374F41">
      <w:pPr>
        <w:pStyle w:val="FootnoteText"/>
        <w:tabs>
          <w:tab w:val="clear" w:pos="425"/>
        </w:tabs>
        <w:spacing w:after="0" w:line="360" w:lineRule="auto"/>
        <w:ind w:left="709" w:firstLine="0"/>
        <w:rPr>
          <w:rFonts w:eastAsia="Calibri"/>
          <w:sz w:val="24"/>
          <w:szCs w:val="24"/>
        </w:rPr>
      </w:pPr>
      <w:r w:rsidRPr="00CA32D6">
        <w:rPr>
          <w:rFonts w:eastAsia="Calibri"/>
          <w:sz w:val="24"/>
          <w:szCs w:val="24"/>
        </w:rPr>
        <w:t>If the Authority is of the view that on the sound medical</w:t>
      </w:r>
      <w:r w:rsidRPr="00CA32D6">
        <w:rPr>
          <w:rFonts w:eastAsia="Calibri"/>
          <w:sz w:val="24"/>
          <w:szCs w:val="24"/>
        </w:rPr>
        <w:noBreakHyphen/>
        <w:t>scientific evidence available it is more probable than not that a particular kind of injury, disease or death can be related to:</w:t>
      </w:r>
    </w:p>
    <w:p w14:paraId="78219C5A" w14:textId="77777777" w:rsidR="00B860FE" w:rsidRPr="00CA32D6" w:rsidRDefault="00B860FE" w:rsidP="00374F41">
      <w:pPr>
        <w:pStyle w:val="FootnoteText"/>
        <w:tabs>
          <w:tab w:val="clear" w:pos="425"/>
          <w:tab w:val="left" w:pos="540"/>
        </w:tabs>
        <w:spacing w:after="0" w:line="360" w:lineRule="auto"/>
        <w:ind w:left="2127" w:hanging="567"/>
        <w:rPr>
          <w:rFonts w:eastAsia="Calibri"/>
          <w:sz w:val="24"/>
          <w:szCs w:val="24"/>
        </w:rPr>
      </w:pPr>
      <w:r w:rsidRPr="00CA32D6">
        <w:rPr>
          <w:rFonts w:eastAsia="Calibri"/>
          <w:sz w:val="24"/>
          <w:szCs w:val="24"/>
        </w:rPr>
        <w:t>(a)</w:t>
      </w:r>
      <w:r w:rsidRPr="00CA32D6">
        <w:rPr>
          <w:rFonts w:eastAsia="Calibri"/>
          <w:sz w:val="24"/>
          <w:szCs w:val="24"/>
        </w:rPr>
        <w:tab/>
        <w:t>eligible war service (other than operational service) rendered by veterans; or</w:t>
      </w:r>
    </w:p>
    <w:p w14:paraId="3C7822AE" w14:textId="77777777" w:rsidR="00B860FE" w:rsidRPr="00CA32D6" w:rsidRDefault="00B860FE" w:rsidP="00374F41">
      <w:pPr>
        <w:pStyle w:val="FootnoteText"/>
        <w:tabs>
          <w:tab w:val="clear" w:pos="425"/>
          <w:tab w:val="left" w:pos="540"/>
        </w:tabs>
        <w:spacing w:after="0" w:line="360" w:lineRule="auto"/>
        <w:ind w:left="2127" w:hanging="567"/>
        <w:rPr>
          <w:rFonts w:eastAsia="Calibri"/>
          <w:sz w:val="24"/>
          <w:szCs w:val="24"/>
        </w:rPr>
      </w:pPr>
      <w:r w:rsidRPr="00CA32D6">
        <w:rPr>
          <w:rFonts w:eastAsia="Calibri"/>
          <w:sz w:val="24"/>
          <w:szCs w:val="24"/>
        </w:rPr>
        <w:t>(b)</w:t>
      </w:r>
      <w:r w:rsidRPr="00CA32D6">
        <w:rPr>
          <w:rFonts w:eastAsia="Calibri"/>
          <w:sz w:val="24"/>
          <w:szCs w:val="24"/>
        </w:rPr>
        <w:tab/>
        <w:t>defence service (other than hazardous service and British nuclear test defence service) rendered by members of the Forces; or</w:t>
      </w:r>
    </w:p>
    <w:p w14:paraId="67D73BF5" w14:textId="77777777" w:rsidR="00B860FE" w:rsidRPr="00CA32D6" w:rsidRDefault="00B860FE" w:rsidP="00374F41">
      <w:pPr>
        <w:pStyle w:val="FootnoteText"/>
        <w:tabs>
          <w:tab w:val="clear" w:pos="425"/>
          <w:tab w:val="left" w:pos="540"/>
        </w:tabs>
        <w:spacing w:after="0" w:line="360" w:lineRule="auto"/>
        <w:ind w:left="2127" w:hanging="567"/>
        <w:rPr>
          <w:rFonts w:eastAsia="Calibri"/>
          <w:sz w:val="24"/>
          <w:szCs w:val="24"/>
        </w:rPr>
      </w:pPr>
      <w:r w:rsidRPr="00CA32D6">
        <w:rPr>
          <w:rFonts w:eastAsia="Calibri"/>
          <w:sz w:val="24"/>
          <w:szCs w:val="24"/>
        </w:rPr>
        <w:t>(ba)</w:t>
      </w:r>
      <w:r w:rsidRPr="00CA32D6">
        <w:rPr>
          <w:rFonts w:eastAsia="Calibri"/>
          <w:sz w:val="24"/>
          <w:szCs w:val="24"/>
        </w:rPr>
        <w:tab/>
        <w:t>peacetime service rendered by members;</w:t>
      </w:r>
    </w:p>
    <w:p w14:paraId="47242289" w14:textId="77777777" w:rsidR="00B860FE" w:rsidRPr="00CA32D6" w:rsidRDefault="00B860FE" w:rsidP="00374F41">
      <w:pPr>
        <w:pStyle w:val="FootnoteText"/>
        <w:tabs>
          <w:tab w:val="clear" w:pos="425"/>
          <w:tab w:val="left" w:pos="540"/>
        </w:tabs>
        <w:spacing w:after="0" w:line="360" w:lineRule="auto"/>
        <w:ind w:left="709" w:firstLine="0"/>
        <w:rPr>
          <w:rFonts w:eastAsia="Calibri"/>
          <w:sz w:val="24"/>
          <w:szCs w:val="24"/>
        </w:rPr>
      </w:pPr>
      <w:r w:rsidRPr="00CA32D6">
        <w:rPr>
          <w:rFonts w:eastAsia="Calibri"/>
          <w:sz w:val="24"/>
          <w:szCs w:val="24"/>
        </w:rPr>
        <w:t>the Authority must determine a Statement of Principles in respect of that kind of injury, disease or death setting out:</w:t>
      </w:r>
    </w:p>
    <w:p w14:paraId="504DB743"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(c)</w:t>
      </w:r>
      <w:r w:rsidRPr="00CA32D6">
        <w:rPr>
          <w:rFonts w:eastAsia="Calibri"/>
          <w:sz w:val="24"/>
          <w:szCs w:val="24"/>
        </w:rPr>
        <w:tab/>
        <w:t>the factors that must exist; and</w:t>
      </w:r>
    </w:p>
    <w:p w14:paraId="507C68D8" w14:textId="77777777" w:rsidR="00B860FE" w:rsidRPr="00CA32D6" w:rsidRDefault="00B860FE" w:rsidP="00374F41">
      <w:pPr>
        <w:pStyle w:val="FootnoteText"/>
        <w:tabs>
          <w:tab w:val="clear" w:pos="425"/>
        </w:tabs>
        <w:spacing w:after="0" w:line="360" w:lineRule="auto"/>
        <w:ind w:left="2127" w:hanging="709"/>
        <w:rPr>
          <w:rFonts w:eastAsia="Calibri"/>
          <w:sz w:val="24"/>
          <w:szCs w:val="24"/>
        </w:rPr>
      </w:pPr>
      <w:r w:rsidRPr="00CA32D6">
        <w:rPr>
          <w:rFonts w:eastAsia="Calibri"/>
          <w:sz w:val="24"/>
          <w:szCs w:val="24"/>
        </w:rPr>
        <w:t>(d)</w:t>
      </w:r>
      <w:r w:rsidRPr="00CA32D6">
        <w:rPr>
          <w:rFonts w:eastAsia="Calibri"/>
          <w:sz w:val="24"/>
          <w:szCs w:val="24"/>
        </w:rPr>
        <w:tab/>
        <w:t>which of those factors must be related to service rendered by a person;</w:t>
      </w:r>
    </w:p>
    <w:p w14:paraId="4FCF08B3" w14:textId="17EB5F84" w:rsidR="00B860FE" w:rsidRPr="00CA32D6" w:rsidRDefault="00B860FE" w:rsidP="00374F41">
      <w:pPr>
        <w:spacing w:line="360" w:lineRule="auto"/>
        <w:ind w:left="709"/>
        <w:rPr>
          <w:rFonts w:eastAsia="Calibri"/>
          <w:sz w:val="24"/>
        </w:rPr>
        <w:sectPr w:rsidR="00B860FE" w:rsidRPr="00CA32D6" w:rsidSect="000A6E32">
          <w:footerReference w:type="first" r:id="rId15"/>
          <w:pgSz w:w="11906" w:h="16838"/>
          <w:pgMar w:top="1440" w:right="1440" w:bottom="1440" w:left="1440" w:header="709" w:footer="709" w:gutter="0"/>
          <w:cols w:space="708"/>
          <w:docGrid w:linePitch="360"/>
        </w:sectPr>
      </w:pPr>
      <w:r w:rsidRPr="00CA32D6">
        <w:rPr>
          <w:rFonts w:eastAsia="Calibri"/>
          <w:sz w:val="24"/>
        </w:rPr>
        <w:t>before it can be said that, on the balance of probabilities, an injury, disease or death of that kind is connected with the circumstances of that service.</w:t>
      </w:r>
      <w:r w:rsidR="00485C95">
        <w:rPr>
          <w:rStyle w:val="FootnoteReference"/>
          <w:rFonts w:eastAsia="Calibri"/>
        </w:rPr>
        <w:footnoteReference w:id="2"/>
      </w:r>
    </w:p>
    <w:p w14:paraId="4054EDAE" w14:textId="77777777" w:rsidR="00FB6CB2" w:rsidRPr="00EF1E43" w:rsidRDefault="00FB6CB2" w:rsidP="00374F41">
      <w:pPr>
        <w:pStyle w:val="Heading2"/>
        <w:keepNext w:val="0"/>
        <w:keepLines w:val="0"/>
        <w:rPr>
          <w:sz w:val="24"/>
          <w:szCs w:val="24"/>
        </w:rPr>
      </w:pPr>
      <w:bookmarkStart w:id="15" w:name="_Toc135294613"/>
      <w:r w:rsidRPr="00EF1E43">
        <w:rPr>
          <w:sz w:val="24"/>
          <w:szCs w:val="24"/>
        </w:rPr>
        <w:lastRenderedPageBreak/>
        <w:t>APPENDIX C:</w:t>
      </w:r>
      <w:bookmarkEnd w:id="15"/>
      <w:r w:rsidRPr="00EF1E43">
        <w:rPr>
          <w:sz w:val="24"/>
          <w:szCs w:val="24"/>
        </w:rPr>
        <w:t xml:space="preserve">  </w:t>
      </w:r>
    </w:p>
    <w:p w14:paraId="152F0CF2" w14:textId="77777777" w:rsidR="00FB6CB2" w:rsidRPr="00EF1E43" w:rsidRDefault="00FB6CB2" w:rsidP="00374F41">
      <w:pPr>
        <w:pStyle w:val="Heading2"/>
        <w:keepNext w:val="0"/>
        <w:keepLines w:val="0"/>
        <w:rPr>
          <w:sz w:val="24"/>
          <w:szCs w:val="24"/>
        </w:rPr>
      </w:pPr>
      <w:bookmarkStart w:id="16" w:name="_Toc135294614"/>
      <w:r w:rsidRPr="00EF1E43">
        <w:rPr>
          <w:sz w:val="24"/>
          <w:szCs w:val="24"/>
        </w:rPr>
        <w:t xml:space="preserve">TABLE 1 </w:t>
      </w:r>
      <w:r w:rsidR="00D123CA" w:rsidRPr="00EF1E43">
        <w:rPr>
          <w:caps/>
          <w:sz w:val="24"/>
          <w:szCs w:val="24"/>
        </w:rPr>
        <w:t>List of abbreviations</w:t>
      </w:r>
      <w:bookmarkEnd w:id="16"/>
    </w:p>
    <w:p w14:paraId="4910667F" w14:textId="77777777" w:rsidR="00B671A4" w:rsidRPr="00EF1E43" w:rsidRDefault="00B671A4" w:rsidP="00374F41">
      <w:pPr>
        <w:spacing w:before="140" w:after="140" w:line="280" w:lineRule="atLeast"/>
        <w:rPr>
          <w:sz w:val="24"/>
        </w:rPr>
      </w:pPr>
    </w:p>
    <w:tbl>
      <w:tblPr>
        <w:tblW w:w="9748" w:type="dxa"/>
        <w:tblInd w:w="-5" w:type="dxa"/>
        <w:tblCellMar>
          <w:left w:w="30" w:type="dxa"/>
          <w:right w:w="30" w:type="dxa"/>
        </w:tblCellMar>
        <w:tblLook w:val="0000" w:firstRow="0" w:lastRow="0" w:firstColumn="0" w:lastColumn="0" w:noHBand="0" w:noVBand="0"/>
      </w:tblPr>
      <w:tblGrid>
        <w:gridCol w:w="1665"/>
        <w:gridCol w:w="8083"/>
      </w:tblGrid>
      <w:tr w:rsidR="00EF1E43" w:rsidRPr="00EF1E43" w14:paraId="2E8B3DBA" w14:textId="77777777" w:rsidTr="5C6F5623">
        <w:trPr>
          <w:cantSplit/>
          <w:trHeight w:val="300"/>
        </w:trPr>
        <w:tc>
          <w:tcPr>
            <w:tcW w:w="1665" w:type="dxa"/>
            <w:tcBorders>
              <w:top w:val="single" w:sz="4" w:space="0" w:color="auto"/>
              <w:left w:val="single" w:sz="4" w:space="0" w:color="auto"/>
              <w:bottom w:val="single" w:sz="4" w:space="0" w:color="auto"/>
              <w:right w:val="single" w:sz="4" w:space="0" w:color="auto"/>
            </w:tcBorders>
            <w:vAlign w:val="center"/>
          </w:tcPr>
          <w:p w14:paraId="1538F406" w14:textId="77777777" w:rsidR="00FB6CB2" w:rsidRPr="00EF1E43" w:rsidRDefault="5F0F219B" w:rsidP="00374F41">
            <w:pPr>
              <w:spacing w:before="120" w:after="120"/>
              <w:rPr>
                <w:b/>
                <w:bCs/>
                <w:sz w:val="24"/>
              </w:rPr>
            </w:pPr>
            <w:r w:rsidRPr="5C6F5623">
              <w:rPr>
                <w:b/>
                <w:bCs/>
                <w:sz w:val="24"/>
              </w:rPr>
              <w:t>Abbreviation</w:t>
            </w:r>
          </w:p>
        </w:tc>
        <w:tc>
          <w:tcPr>
            <w:tcW w:w="8083" w:type="dxa"/>
            <w:tcBorders>
              <w:top w:val="single" w:sz="4" w:space="0" w:color="auto"/>
              <w:left w:val="single" w:sz="4" w:space="0" w:color="auto"/>
              <w:bottom w:val="single" w:sz="4" w:space="0" w:color="auto"/>
              <w:right w:val="single" w:sz="4" w:space="0" w:color="auto"/>
            </w:tcBorders>
            <w:vAlign w:val="center"/>
          </w:tcPr>
          <w:p w14:paraId="44F65482" w14:textId="77777777" w:rsidR="00FB6CB2" w:rsidRPr="00EF1E43" w:rsidRDefault="00FB6CB2" w:rsidP="00374F41">
            <w:pPr>
              <w:spacing w:before="120" w:after="120"/>
              <w:rPr>
                <w:b/>
                <w:bCs/>
                <w:sz w:val="24"/>
              </w:rPr>
            </w:pPr>
          </w:p>
          <w:p w14:paraId="3914E042" w14:textId="77777777" w:rsidR="00FB6CB2" w:rsidRPr="00EF1E43" w:rsidRDefault="2D8CA639" w:rsidP="00374F41">
            <w:pPr>
              <w:spacing w:before="120" w:after="120"/>
              <w:rPr>
                <w:b/>
                <w:bCs/>
                <w:sz w:val="24"/>
              </w:rPr>
            </w:pPr>
            <w:r w:rsidRPr="5C6F5623">
              <w:rPr>
                <w:b/>
                <w:bCs/>
                <w:sz w:val="24"/>
              </w:rPr>
              <w:t xml:space="preserve">                                    </w:t>
            </w:r>
            <w:r w:rsidR="5F0F219B" w:rsidRPr="5C6F5623">
              <w:rPr>
                <w:b/>
                <w:bCs/>
                <w:sz w:val="24"/>
              </w:rPr>
              <w:t>Term</w:t>
            </w:r>
          </w:p>
          <w:p w14:paraId="70EC266E" w14:textId="77777777" w:rsidR="00FB6CB2" w:rsidRPr="00EF1E43" w:rsidRDefault="00FB6CB2" w:rsidP="00374F41">
            <w:pPr>
              <w:spacing w:before="120" w:after="120"/>
              <w:rPr>
                <w:b/>
                <w:bCs/>
                <w:sz w:val="24"/>
              </w:rPr>
            </w:pPr>
          </w:p>
        </w:tc>
      </w:tr>
      <w:tr w:rsidR="00A9295A" w:rsidRPr="00EF1E43" w14:paraId="743EE6A6" w14:textId="77777777" w:rsidTr="5C6F5623">
        <w:trPr>
          <w:cantSplit/>
          <w:trHeight w:val="300"/>
        </w:trPr>
        <w:tc>
          <w:tcPr>
            <w:tcW w:w="1665" w:type="dxa"/>
            <w:tcBorders>
              <w:top w:val="single" w:sz="4" w:space="0" w:color="auto"/>
              <w:left w:val="single" w:sz="4" w:space="0" w:color="auto"/>
              <w:bottom w:val="single" w:sz="4" w:space="0" w:color="auto"/>
              <w:right w:val="single" w:sz="4" w:space="0" w:color="auto"/>
            </w:tcBorders>
          </w:tcPr>
          <w:p w14:paraId="2ECBD479" w14:textId="77777777" w:rsidR="00A9295A" w:rsidRPr="00EF1E43" w:rsidRDefault="00A9295A" w:rsidP="00374F41">
            <w:pPr>
              <w:spacing w:before="120" w:after="120"/>
              <w:jc w:val="both"/>
              <w:rPr>
                <w:rStyle w:val="cf01"/>
                <w:rFonts w:ascii="Arial" w:hAnsi="Arial" w:cs="Arial"/>
                <w:sz w:val="24"/>
                <w:szCs w:val="24"/>
              </w:rPr>
            </w:pPr>
            <w:r w:rsidRPr="1A4FE1BC">
              <w:rPr>
                <w:rStyle w:val="cf01"/>
                <w:rFonts w:ascii="Arial" w:hAnsi="Arial" w:cs="Arial"/>
                <w:sz w:val="24"/>
                <w:szCs w:val="24"/>
              </w:rPr>
              <w:t>MRCA</w:t>
            </w:r>
          </w:p>
        </w:tc>
        <w:tc>
          <w:tcPr>
            <w:tcW w:w="8083" w:type="dxa"/>
            <w:tcBorders>
              <w:top w:val="single" w:sz="4" w:space="0" w:color="auto"/>
              <w:left w:val="single" w:sz="4" w:space="0" w:color="auto"/>
              <w:bottom w:val="single" w:sz="4" w:space="0" w:color="auto"/>
              <w:right w:val="single" w:sz="4" w:space="0" w:color="auto"/>
            </w:tcBorders>
          </w:tcPr>
          <w:p w14:paraId="5CA2FFDF" w14:textId="77777777" w:rsidR="00A9295A" w:rsidRPr="00EF1E43" w:rsidRDefault="00A9295A" w:rsidP="00374F41">
            <w:pPr>
              <w:pStyle w:val="pf0"/>
              <w:spacing w:before="120" w:beforeAutospacing="0" w:after="120" w:afterAutospacing="0"/>
              <w:rPr>
                <w:rStyle w:val="cf01"/>
                <w:rFonts w:ascii="Arial" w:hAnsi="Arial" w:cs="Arial"/>
                <w:sz w:val="24"/>
                <w:szCs w:val="24"/>
              </w:rPr>
            </w:pPr>
            <w:r w:rsidRPr="1A4FE1BC">
              <w:rPr>
                <w:rStyle w:val="cf01"/>
                <w:rFonts w:ascii="Arial" w:hAnsi="Arial" w:cs="Arial"/>
                <w:sz w:val="24"/>
                <w:szCs w:val="24"/>
              </w:rPr>
              <w:t xml:space="preserve">Military Rehabilitation and Compensation Act 2004 </w:t>
            </w:r>
          </w:p>
        </w:tc>
      </w:tr>
      <w:tr w:rsidR="00A9295A" w:rsidRPr="00EF1E43" w14:paraId="5C78CF5B" w14:textId="77777777" w:rsidTr="5C6F5623">
        <w:trPr>
          <w:cantSplit/>
          <w:trHeight w:val="300"/>
        </w:trPr>
        <w:tc>
          <w:tcPr>
            <w:tcW w:w="1665" w:type="dxa"/>
            <w:tcBorders>
              <w:top w:val="single" w:sz="4" w:space="0" w:color="auto"/>
              <w:left w:val="single" w:sz="4" w:space="0" w:color="auto"/>
              <w:bottom w:val="single" w:sz="4" w:space="0" w:color="auto"/>
              <w:right w:val="single" w:sz="4" w:space="0" w:color="auto"/>
            </w:tcBorders>
          </w:tcPr>
          <w:p w14:paraId="2C2369F0" w14:textId="77777777" w:rsidR="00A9295A" w:rsidRPr="00EF1E43" w:rsidRDefault="00A9295A" w:rsidP="00374F41">
            <w:pPr>
              <w:spacing w:before="120" w:after="120"/>
              <w:jc w:val="both"/>
              <w:rPr>
                <w:rStyle w:val="cf01"/>
                <w:rFonts w:ascii="Arial" w:hAnsi="Arial" w:cs="Arial"/>
                <w:sz w:val="24"/>
                <w:szCs w:val="24"/>
              </w:rPr>
            </w:pPr>
            <w:r w:rsidRPr="00EF1E43">
              <w:rPr>
                <w:rStyle w:val="cf01"/>
                <w:rFonts w:ascii="Arial" w:hAnsi="Arial" w:cs="Arial"/>
                <w:sz w:val="24"/>
                <w:szCs w:val="24"/>
              </w:rPr>
              <w:t>RMA</w:t>
            </w:r>
          </w:p>
        </w:tc>
        <w:tc>
          <w:tcPr>
            <w:tcW w:w="8083" w:type="dxa"/>
            <w:tcBorders>
              <w:top w:val="single" w:sz="4" w:space="0" w:color="auto"/>
              <w:left w:val="single" w:sz="4" w:space="0" w:color="auto"/>
              <w:bottom w:val="single" w:sz="4" w:space="0" w:color="auto"/>
              <w:right w:val="single" w:sz="4" w:space="0" w:color="auto"/>
            </w:tcBorders>
          </w:tcPr>
          <w:p w14:paraId="65A3EAEF" w14:textId="77777777" w:rsidR="00A9295A" w:rsidRPr="00EF1E43" w:rsidRDefault="00A9295A" w:rsidP="00374F41">
            <w:pPr>
              <w:spacing w:before="120" w:after="120"/>
              <w:jc w:val="both"/>
              <w:rPr>
                <w:rStyle w:val="cf01"/>
                <w:rFonts w:ascii="Arial" w:hAnsi="Arial" w:cs="Arial"/>
                <w:sz w:val="24"/>
                <w:szCs w:val="24"/>
              </w:rPr>
            </w:pPr>
            <w:r w:rsidRPr="00EF1E43">
              <w:rPr>
                <w:rStyle w:val="cf01"/>
                <w:rFonts w:ascii="Arial" w:hAnsi="Arial" w:cs="Arial"/>
                <w:sz w:val="24"/>
                <w:szCs w:val="24"/>
              </w:rPr>
              <w:t>Repatriation Medical Authority</w:t>
            </w:r>
          </w:p>
        </w:tc>
      </w:tr>
      <w:tr w:rsidR="00A9295A" w:rsidRPr="00EF1E43" w14:paraId="2A9078CE" w14:textId="77777777" w:rsidTr="5C6F5623">
        <w:trPr>
          <w:cantSplit/>
          <w:trHeight w:val="300"/>
        </w:trPr>
        <w:tc>
          <w:tcPr>
            <w:tcW w:w="1665" w:type="dxa"/>
            <w:tcBorders>
              <w:top w:val="single" w:sz="4" w:space="0" w:color="auto"/>
              <w:left w:val="single" w:sz="4" w:space="0" w:color="auto"/>
              <w:bottom w:val="single" w:sz="4" w:space="0" w:color="auto"/>
              <w:right w:val="single" w:sz="4" w:space="0" w:color="auto"/>
            </w:tcBorders>
          </w:tcPr>
          <w:p w14:paraId="21B7AB8E" w14:textId="77777777" w:rsidR="00A9295A" w:rsidRPr="00EF1E43" w:rsidRDefault="00A9295A" w:rsidP="00374F41">
            <w:pPr>
              <w:spacing w:before="120" w:after="120"/>
              <w:jc w:val="both"/>
              <w:rPr>
                <w:rStyle w:val="cf01"/>
                <w:rFonts w:ascii="Arial" w:hAnsi="Arial" w:cs="Arial"/>
                <w:sz w:val="24"/>
                <w:szCs w:val="24"/>
              </w:rPr>
            </w:pPr>
            <w:r w:rsidRPr="00EF1E43">
              <w:rPr>
                <w:rStyle w:val="cf01"/>
                <w:rFonts w:ascii="Arial" w:hAnsi="Arial" w:cs="Arial"/>
                <w:sz w:val="24"/>
                <w:szCs w:val="24"/>
              </w:rPr>
              <w:t>SMRC</w:t>
            </w:r>
          </w:p>
        </w:tc>
        <w:tc>
          <w:tcPr>
            <w:tcW w:w="8083" w:type="dxa"/>
            <w:tcBorders>
              <w:top w:val="single" w:sz="4" w:space="0" w:color="auto"/>
              <w:left w:val="single" w:sz="4" w:space="0" w:color="auto"/>
              <w:bottom w:val="single" w:sz="4" w:space="0" w:color="auto"/>
              <w:right w:val="single" w:sz="4" w:space="0" w:color="auto"/>
            </w:tcBorders>
          </w:tcPr>
          <w:p w14:paraId="1E3D23BB" w14:textId="77777777" w:rsidR="00A9295A" w:rsidRPr="00EF1E43" w:rsidRDefault="00A9295A" w:rsidP="00374F41">
            <w:pPr>
              <w:spacing w:before="120" w:after="120"/>
              <w:jc w:val="both"/>
              <w:rPr>
                <w:rStyle w:val="cf01"/>
                <w:rFonts w:ascii="Arial" w:hAnsi="Arial" w:cs="Arial"/>
                <w:sz w:val="24"/>
                <w:szCs w:val="24"/>
              </w:rPr>
            </w:pPr>
            <w:r w:rsidRPr="00EF1E43">
              <w:rPr>
                <w:rStyle w:val="cf01"/>
                <w:rFonts w:ascii="Arial" w:hAnsi="Arial" w:cs="Arial"/>
                <w:sz w:val="24"/>
                <w:szCs w:val="24"/>
              </w:rPr>
              <w:t>Specialist Medical Review Council</w:t>
            </w:r>
          </w:p>
        </w:tc>
      </w:tr>
      <w:tr w:rsidR="00A9295A" w:rsidRPr="00EF1E43" w14:paraId="06BF8C5D" w14:textId="77777777" w:rsidTr="5C6F5623">
        <w:trPr>
          <w:cantSplit/>
          <w:trHeight w:val="300"/>
        </w:trPr>
        <w:tc>
          <w:tcPr>
            <w:tcW w:w="1665" w:type="dxa"/>
            <w:tcBorders>
              <w:top w:val="single" w:sz="4" w:space="0" w:color="auto"/>
              <w:left w:val="single" w:sz="4" w:space="0" w:color="auto"/>
              <w:bottom w:val="single" w:sz="4" w:space="0" w:color="auto"/>
              <w:right w:val="single" w:sz="4" w:space="0" w:color="auto"/>
            </w:tcBorders>
          </w:tcPr>
          <w:p w14:paraId="03772F56" w14:textId="77777777" w:rsidR="00A9295A" w:rsidRPr="00EF1E43" w:rsidRDefault="00A9295A" w:rsidP="00374F41">
            <w:pPr>
              <w:spacing w:before="120" w:after="120"/>
              <w:jc w:val="both"/>
              <w:rPr>
                <w:rStyle w:val="cf01"/>
                <w:rFonts w:ascii="Arial" w:hAnsi="Arial" w:cs="Arial"/>
                <w:sz w:val="24"/>
                <w:szCs w:val="24"/>
              </w:rPr>
            </w:pPr>
            <w:r w:rsidRPr="00EF1E43">
              <w:rPr>
                <w:rStyle w:val="cf01"/>
                <w:rFonts w:ascii="Arial" w:hAnsi="Arial" w:cs="Arial"/>
                <w:sz w:val="24"/>
                <w:szCs w:val="24"/>
              </w:rPr>
              <w:t>VEA</w:t>
            </w:r>
          </w:p>
        </w:tc>
        <w:tc>
          <w:tcPr>
            <w:tcW w:w="8083" w:type="dxa"/>
            <w:tcBorders>
              <w:top w:val="single" w:sz="4" w:space="0" w:color="auto"/>
              <w:left w:val="single" w:sz="4" w:space="0" w:color="auto"/>
              <w:bottom w:val="single" w:sz="4" w:space="0" w:color="auto"/>
              <w:right w:val="single" w:sz="4" w:space="0" w:color="auto"/>
            </w:tcBorders>
          </w:tcPr>
          <w:p w14:paraId="0E5FA813" w14:textId="77777777" w:rsidR="00A9295A" w:rsidRPr="00EF1E43" w:rsidRDefault="00A9295A" w:rsidP="00374F41">
            <w:pPr>
              <w:spacing w:before="120" w:after="120"/>
              <w:jc w:val="both"/>
              <w:rPr>
                <w:rStyle w:val="cf01"/>
                <w:rFonts w:ascii="Arial" w:hAnsi="Arial" w:cs="Arial"/>
                <w:sz w:val="24"/>
                <w:szCs w:val="24"/>
              </w:rPr>
            </w:pPr>
            <w:r w:rsidRPr="00EF1E43">
              <w:rPr>
                <w:rStyle w:val="cf01"/>
                <w:rFonts w:ascii="Arial" w:hAnsi="Arial" w:cs="Arial"/>
                <w:sz w:val="24"/>
                <w:szCs w:val="24"/>
              </w:rPr>
              <w:t>Veterans' Entitlements Act 1986</w:t>
            </w:r>
          </w:p>
        </w:tc>
      </w:tr>
    </w:tbl>
    <w:p w14:paraId="74FC496C" w14:textId="77777777" w:rsidR="001A3BEC" w:rsidRPr="00EF1E43" w:rsidRDefault="00E827A9" w:rsidP="00374F41">
      <w:pPr>
        <w:rPr>
          <w:sz w:val="24"/>
        </w:rPr>
      </w:pPr>
      <w:r>
        <w:fldChar w:fldCharType="begin"/>
      </w:r>
      <w:r>
        <w:instrText>ADDIN EN.REFLIST</w:instrText>
      </w:r>
      <w:r>
        <w:fldChar w:fldCharType="end"/>
      </w:r>
    </w:p>
    <w:sectPr w:rsidR="001A3BEC" w:rsidRPr="00EF1E43" w:rsidSect="000A6E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55BA" w14:textId="77777777" w:rsidR="000A6E32" w:rsidRDefault="000A6E32">
      <w:r>
        <w:separator/>
      </w:r>
    </w:p>
  </w:endnote>
  <w:endnote w:type="continuationSeparator" w:id="0">
    <w:p w14:paraId="795D3739" w14:textId="77777777" w:rsidR="000A6E32" w:rsidRDefault="000A6E32">
      <w:r>
        <w:continuationSeparator/>
      </w:r>
    </w:p>
  </w:endnote>
  <w:endnote w:type="continuationNotice" w:id="1">
    <w:p w14:paraId="460592F3" w14:textId="77777777" w:rsidR="000A6E32" w:rsidRDefault="000A6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D260" w14:textId="77777777" w:rsidR="00D078B3" w:rsidRDefault="00D07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6953" w14:textId="500EFB20" w:rsidR="008A4358" w:rsidRDefault="005E3722" w:rsidP="008A4358">
    <w:pPr>
      <w:pStyle w:val="Footer"/>
      <w:pBdr>
        <w:top w:val="single" w:sz="4" w:space="1" w:color="D9D9D9" w:themeColor="background1" w:themeShade="D9"/>
      </w:pBdr>
      <w:tabs>
        <w:tab w:val="clear" w:pos="8220"/>
        <w:tab w:val="left" w:pos="426"/>
        <w:tab w:val="left" w:pos="3969"/>
        <w:tab w:val="right" w:pos="8931"/>
      </w:tabs>
      <w:spacing w:line="240" w:lineRule="auto"/>
    </w:pPr>
    <w:r>
      <w:t>Specialist Medical Review Council</w:t>
    </w:r>
    <w:r w:rsidR="008A4358">
      <w:t xml:space="preserve"> </w:t>
    </w:r>
    <w:r w:rsidR="008A4358">
      <w:tab/>
    </w:r>
    <w:r w:rsidR="008A4358">
      <w:tab/>
      <w:t xml:space="preserve">Page </w:t>
    </w:r>
    <w:r w:rsidR="008A4358">
      <w:fldChar w:fldCharType="begin"/>
    </w:r>
    <w:r w:rsidR="008A4358">
      <w:instrText xml:space="preserve"> PAGE   \* MERGEFORMAT </w:instrText>
    </w:r>
    <w:r w:rsidR="008A4358">
      <w:fldChar w:fldCharType="separate"/>
    </w:r>
    <w:r w:rsidR="00D078B3">
      <w:rPr>
        <w:noProof/>
      </w:rPr>
      <w:t>1</w:t>
    </w:r>
    <w:r w:rsidR="008A4358">
      <w:rPr>
        <w:noProof/>
      </w:rPr>
      <w:fldChar w:fldCharType="end"/>
    </w:r>
  </w:p>
  <w:p w14:paraId="7484A971" w14:textId="6C784704" w:rsidR="008A4358" w:rsidRDefault="005E3722" w:rsidP="008A4358">
    <w:pPr>
      <w:pStyle w:val="Footer"/>
      <w:pBdr>
        <w:top w:val="single" w:sz="4" w:space="1" w:color="D9D9D9" w:themeColor="background1" w:themeShade="D9"/>
      </w:pBdr>
      <w:tabs>
        <w:tab w:val="clear" w:pos="8220"/>
        <w:tab w:val="left" w:pos="426"/>
        <w:tab w:val="left" w:pos="3969"/>
        <w:tab w:val="right" w:pos="8931"/>
      </w:tabs>
      <w:spacing w:line="240" w:lineRule="auto"/>
    </w:pPr>
    <w:r>
      <w:t>Declaration No 36</w:t>
    </w:r>
    <w:r w:rsidR="008A4358">
      <w:t xml:space="preserve">: </w:t>
    </w:r>
    <w:r>
      <w:t>M</w:t>
    </w:r>
    <w:r w:rsidR="008A4358">
      <w:t xml:space="preserve">alignant Neoplasm of the Breast. </w:t>
    </w:r>
  </w:p>
  <w:p w14:paraId="0B42DF70" w14:textId="6AF7605A" w:rsidR="005E3722" w:rsidRDefault="002C53EB" w:rsidP="008A4358">
    <w:pPr>
      <w:pStyle w:val="Footer"/>
      <w:pBdr>
        <w:top w:val="single" w:sz="4" w:space="1" w:color="D9D9D9" w:themeColor="background1" w:themeShade="D9"/>
      </w:pBdr>
      <w:tabs>
        <w:tab w:val="clear" w:pos="8220"/>
        <w:tab w:val="left" w:pos="426"/>
        <w:tab w:val="left" w:pos="3969"/>
        <w:tab w:val="right" w:pos="8931"/>
      </w:tabs>
      <w:spacing w:line="240" w:lineRule="auto"/>
    </w:pPr>
    <w:r>
      <w:t>Appendices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255A" w14:textId="77777777" w:rsidR="00D078B3" w:rsidRDefault="00D07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F4BF" w14:textId="77777777" w:rsidR="000A6E32" w:rsidRDefault="000A6E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0E58" w14:textId="77777777" w:rsidR="000A6E32" w:rsidRDefault="000A6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3F1B3" w14:textId="77777777" w:rsidR="000A6E32" w:rsidRDefault="000A6E32">
      <w:r>
        <w:separator/>
      </w:r>
    </w:p>
  </w:footnote>
  <w:footnote w:type="continuationSeparator" w:id="0">
    <w:p w14:paraId="6EB7A50A" w14:textId="77777777" w:rsidR="000A6E32" w:rsidRDefault="000A6E32">
      <w:r>
        <w:continuationSeparator/>
      </w:r>
    </w:p>
  </w:footnote>
  <w:footnote w:type="continuationNotice" w:id="1">
    <w:p w14:paraId="2FA68908" w14:textId="77777777" w:rsidR="000A6E32" w:rsidRDefault="000A6E32"/>
  </w:footnote>
  <w:footnote w:id="2">
    <w:p w14:paraId="05F70AB3" w14:textId="1505C78E" w:rsidR="000A6E32" w:rsidRDefault="000A6E32">
      <w:pPr>
        <w:pStyle w:val="FootnoteText"/>
      </w:pPr>
      <w:r>
        <w:rPr>
          <w:rStyle w:val="FootnoteReference"/>
        </w:rPr>
        <w:footnoteRef/>
      </w:r>
      <w:r>
        <w:t xml:space="preserve"> </w:t>
      </w:r>
      <w:r w:rsidRPr="7F507FAE">
        <w:t>See sections 120, 120A and 120B of the VEA and sections 335, 338 and 339 of the MRCA.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E6DE" w14:textId="77777777" w:rsidR="00D078B3" w:rsidRDefault="00D0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2A4D" w14:textId="77777777" w:rsidR="00D078B3" w:rsidRDefault="00D0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5AA5" w14:textId="77777777" w:rsidR="000A6E32" w:rsidRDefault="000A6E32" w:rsidP="00D0184B">
    <w:pPr>
      <w:pStyle w:val="DraftinHeader"/>
      <w:tabs>
        <w:tab w:val="clear" w:pos="8220"/>
        <w:tab w:val="left" w:pos="3130"/>
      </w:tabs>
      <w:jc w:val="center"/>
      <w:rPr>
        <w:b/>
        <w:sz w:val="22"/>
      </w:rPr>
    </w:pPr>
  </w:p>
</w:hdr>
</file>

<file path=word/intelligence2.xml><?xml version="1.0" encoding="utf-8"?>
<int2:intelligence xmlns:int2="http://schemas.microsoft.com/office/intelligence/2020/intelligence" xmlns:oel="http://schemas.microsoft.com/office/2019/extlst">
  <int2:observations>
    <int2:bookmark int2:bookmarkName="_Int_NuawOIE6" int2:invalidationBookmarkName="" int2:hashCode="i0CdmCzfsR9Irr" int2:id="8Ks48mlJ">
      <int2:state int2:value="Rejected" int2:type="AugLoop_Text_Critique"/>
    </int2:bookmark>
    <int2:bookmark int2:bookmarkName="_Int_wtReASLF" int2:invalidationBookmarkName="" int2:hashCode="8nRH46kB72kPDa" int2:id="AO10ujb8">
      <int2:state int2:value="Rejected" int2:type="AugLoop_Text_Critique"/>
    </int2:bookmark>
    <int2:bookmark int2:bookmarkName="_Int_BkScTwET" int2:invalidationBookmarkName="" int2:hashCode="cEFFexLzOmM87d" int2:id="M1fF4ryO">
      <int2:state int2:value="Rejected" int2:type="AugLoop_Text_Critique"/>
    </int2:bookmark>
    <int2:bookmark int2:bookmarkName="_Int_aIDsLRzO" int2:invalidationBookmarkName="" int2:hashCode="0GYf/LRGEYcRtn" int2:id="gkDmoCRl">
      <int2:state int2:value="Rejected" int2:type="AugLoop_Text_Critique"/>
    </int2:bookmark>
    <int2:bookmark int2:bookmarkName="_Int_V40A0fJ5" int2:invalidationBookmarkName="" int2:hashCode="BEeeGV9jyRPkiA" int2:id="iCTzd05m">
      <int2:state int2:value="Rejected" int2:type="AugLoop_Text_Critique"/>
    </int2:bookmark>
    <int2:bookmark int2:bookmarkName="_Int_2ejxIAaP" int2:invalidationBookmarkName="" int2:hashCode="X55YArurxx+Sdf" int2:id="o2XEFzv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733"/>
    <w:multiLevelType w:val="hybridMultilevel"/>
    <w:tmpl w:val="2ACEADEC"/>
    <w:lvl w:ilvl="0" w:tplc="E1F88FF4">
      <w:start w:val="1"/>
      <w:numFmt w:val="decimal"/>
      <w:lvlText w:val="%1."/>
      <w:lvlJc w:val="left"/>
      <w:pPr>
        <w:ind w:left="720" w:hanging="360"/>
      </w:pPr>
      <w:rPr>
        <w:rFonts w:ascii="Calibri" w:hAnsi="Calibri" w:hint="default"/>
      </w:rPr>
    </w:lvl>
    <w:lvl w:ilvl="1" w:tplc="314EC8C8">
      <w:start w:val="1"/>
      <w:numFmt w:val="lowerLetter"/>
      <w:lvlText w:val="%2."/>
      <w:lvlJc w:val="left"/>
      <w:pPr>
        <w:ind w:left="1440" w:hanging="360"/>
      </w:pPr>
    </w:lvl>
    <w:lvl w:ilvl="2" w:tplc="49DAC49E">
      <w:start w:val="1"/>
      <w:numFmt w:val="lowerRoman"/>
      <w:lvlText w:val="%3."/>
      <w:lvlJc w:val="right"/>
      <w:pPr>
        <w:ind w:left="2160" w:hanging="180"/>
      </w:pPr>
    </w:lvl>
    <w:lvl w:ilvl="3" w:tplc="5ADC08C4">
      <w:start w:val="1"/>
      <w:numFmt w:val="decimal"/>
      <w:lvlText w:val="%4."/>
      <w:lvlJc w:val="left"/>
      <w:pPr>
        <w:ind w:left="2880" w:hanging="360"/>
      </w:pPr>
    </w:lvl>
    <w:lvl w:ilvl="4" w:tplc="B04AB1FE">
      <w:start w:val="1"/>
      <w:numFmt w:val="lowerLetter"/>
      <w:lvlText w:val="%5."/>
      <w:lvlJc w:val="left"/>
      <w:pPr>
        <w:ind w:left="3600" w:hanging="360"/>
      </w:pPr>
    </w:lvl>
    <w:lvl w:ilvl="5" w:tplc="FDA2F512">
      <w:start w:val="1"/>
      <w:numFmt w:val="lowerRoman"/>
      <w:lvlText w:val="%6."/>
      <w:lvlJc w:val="right"/>
      <w:pPr>
        <w:ind w:left="4320" w:hanging="180"/>
      </w:pPr>
    </w:lvl>
    <w:lvl w:ilvl="6" w:tplc="40684798">
      <w:start w:val="1"/>
      <w:numFmt w:val="decimal"/>
      <w:lvlText w:val="%7."/>
      <w:lvlJc w:val="left"/>
      <w:pPr>
        <w:ind w:left="5040" w:hanging="360"/>
      </w:pPr>
    </w:lvl>
    <w:lvl w:ilvl="7" w:tplc="0AC0B7A4">
      <w:start w:val="1"/>
      <w:numFmt w:val="lowerLetter"/>
      <w:lvlText w:val="%8."/>
      <w:lvlJc w:val="left"/>
      <w:pPr>
        <w:ind w:left="5760" w:hanging="360"/>
      </w:pPr>
    </w:lvl>
    <w:lvl w:ilvl="8" w:tplc="B93E13FE">
      <w:start w:val="1"/>
      <w:numFmt w:val="lowerRoman"/>
      <w:lvlText w:val="%9."/>
      <w:lvlJc w:val="right"/>
      <w:pPr>
        <w:ind w:left="6480" w:hanging="180"/>
      </w:pPr>
    </w:lvl>
  </w:abstractNum>
  <w:abstractNum w:abstractNumId="1"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 w15:restartNumberingAfterBreak="0">
    <w:nsid w:val="01F70698"/>
    <w:multiLevelType w:val="hybridMultilevel"/>
    <w:tmpl w:val="6522675E"/>
    <w:lvl w:ilvl="0" w:tplc="A3EE4CF6">
      <w:start w:val="2"/>
      <w:numFmt w:val="bullet"/>
      <w:lvlText w:val="–"/>
      <w:lvlJc w:val="left"/>
      <w:pPr>
        <w:ind w:left="1775" w:hanging="360"/>
      </w:pPr>
      <w:rPr>
        <w:rFonts w:ascii="Coronet (W1)" w:eastAsia="Coronet (W1)" w:hAnsi="Coronet (W1)" w:cs="Coronet (W1)" w:hint="default"/>
      </w:rPr>
    </w:lvl>
    <w:lvl w:ilvl="1" w:tplc="0C090003" w:tentative="1">
      <w:start w:val="1"/>
      <w:numFmt w:val="bullet"/>
      <w:lvlText w:val="o"/>
      <w:lvlJc w:val="left"/>
      <w:pPr>
        <w:ind w:left="2495" w:hanging="360"/>
      </w:pPr>
      <w:rPr>
        <w:rFonts w:ascii="Courier New" w:hAnsi="Courier New" w:cs="Courier New" w:hint="default"/>
      </w:rPr>
    </w:lvl>
    <w:lvl w:ilvl="2" w:tplc="0C090005" w:tentative="1">
      <w:start w:val="1"/>
      <w:numFmt w:val="bullet"/>
      <w:lvlText w:val=""/>
      <w:lvlJc w:val="left"/>
      <w:pPr>
        <w:ind w:left="3215" w:hanging="360"/>
      </w:pPr>
      <w:rPr>
        <w:rFonts w:ascii="Wingdings" w:hAnsi="Wingdings" w:hint="default"/>
      </w:rPr>
    </w:lvl>
    <w:lvl w:ilvl="3" w:tplc="0C090001" w:tentative="1">
      <w:start w:val="1"/>
      <w:numFmt w:val="bullet"/>
      <w:lvlText w:val=""/>
      <w:lvlJc w:val="left"/>
      <w:pPr>
        <w:ind w:left="3935" w:hanging="360"/>
      </w:pPr>
      <w:rPr>
        <w:rFonts w:ascii="Symbol" w:hAnsi="Symbol" w:hint="default"/>
      </w:rPr>
    </w:lvl>
    <w:lvl w:ilvl="4" w:tplc="0C090003" w:tentative="1">
      <w:start w:val="1"/>
      <w:numFmt w:val="bullet"/>
      <w:lvlText w:val="o"/>
      <w:lvlJc w:val="left"/>
      <w:pPr>
        <w:ind w:left="4655" w:hanging="360"/>
      </w:pPr>
      <w:rPr>
        <w:rFonts w:ascii="Courier New" w:hAnsi="Courier New" w:cs="Courier New" w:hint="default"/>
      </w:rPr>
    </w:lvl>
    <w:lvl w:ilvl="5" w:tplc="0C090005" w:tentative="1">
      <w:start w:val="1"/>
      <w:numFmt w:val="bullet"/>
      <w:lvlText w:val=""/>
      <w:lvlJc w:val="left"/>
      <w:pPr>
        <w:ind w:left="5375" w:hanging="360"/>
      </w:pPr>
      <w:rPr>
        <w:rFonts w:ascii="Wingdings" w:hAnsi="Wingdings" w:hint="default"/>
      </w:rPr>
    </w:lvl>
    <w:lvl w:ilvl="6" w:tplc="0C090001" w:tentative="1">
      <w:start w:val="1"/>
      <w:numFmt w:val="bullet"/>
      <w:lvlText w:val=""/>
      <w:lvlJc w:val="left"/>
      <w:pPr>
        <w:ind w:left="6095" w:hanging="360"/>
      </w:pPr>
      <w:rPr>
        <w:rFonts w:ascii="Symbol" w:hAnsi="Symbol" w:hint="default"/>
      </w:rPr>
    </w:lvl>
    <w:lvl w:ilvl="7" w:tplc="0C090003" w:tentative="1">
      <w:start w:val="1"/>
      <w:numFmt w:val="bullet"/>
      <w:lvlText w:val="o"/>
      <w:lvlJc w:val="left"/>
      <w:pPr>
        <w:ind w:left="6815" w:hanging="360"/>
      </w:pPr>
      <w:rPr>
        <w:rFonts w:ascii="Courier New" w:hAnsi="Courier New" w:cs="Courier New" w:hint="default"/>
      </w:rPr>
    </w:lvl>
    <w:lvl w:ilvl="8" w:tplc="0C090005" w:tentative="1">
      <w:start w:val="1"/>
      <w:numFmt w:val="bullet"/>
      <w:lvlText w:val=""/>
      <w:lvlJc w:val="left"/>
      <w:pPr>
        <w:ind w:left="7535" w:hanging="360"/>
      </w:pPr>
      <w:rPr>
        <w:rFonts w:ascii="Wingdings" w:hAnsi="Wingdings" w:hint="default"/>
      </w:rPr>
    </w:lvl>
  </w:abstractNum>
  <w:abstractNum w:abstractNumId="3"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4"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5" w15:restartNumberingAfterBreak="0">
    <w:nsid w:val="063C66D4"/>
    <w:multiLevelType w:val="hybridMultilevel"/>
    <w:tmpl w:val="566CF7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8"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9" w15:restartNumberingAfterBreak="0">
    <w:nsid w:val="0AD83443"/>
    <w:multiLevelType w:val="hybridMultilevel"/>
    <w:tmpl w:val="98E40D88"/>
    <w:lvl w:ilvl="0" w:tplc="A3EE4CF6">
      <w:start w:val="2"/>
      <w:numFmt w:val="bullet"/>
      <w:lvlText w:val="–"/>
      <w:lvlJc w:val="left"/>
      <w:pPr>
        <w:tabs>
          <w:tab w:val="num" w:pos="1995"/>
        </w:tabs>
        <w:ind w:left="1995" w:hanging="720"/>
      </w:pPr>
      <w:rPr>
        <w:rFonts w:ascii="Coronet (W1)" w:eastAsia="Coronet (W1)" w:hAnsi="Coronet (W1)" w:cs="Coronet (W1)" w:hint="default"/>
        <w:sz w:val="22"/>
        <w:szCs w:val="22"/>
      </w:rPr>
    </w:lvl>
    <w:lvl w:ilvl="1" w:tplc="0C090019">
      <w:start w:val="1"/>
      <w:numFmt w:val="lowerLetter"/>
      <w:lvlText w:val="%2."/>
      <w:lvlJc w:val="left"/>
      <w:pPr>
        <w:ind w:left="2715" w:hanging="360"/>
      </w:pPr>
    </w:lvl>
    <w:lvl w:ilvl="2" w:tplc="72441A46">
      <w:start w:val="29"/>
      <w:numFmt w:val="bullet"/>
      <w:lvlText w:val="-"/>
      <w:lvlJc w:val="left"/>
      <w:pPr>
        <w:ind w:left="3435" w:hanging="180"/>
      </w:pPr>
      <w:rPr>
        <w:rFonts w:ascii="Arial" w:eastAsia="Times New Roman" w:hAnsi="Arial" w:hint="default"/>
        <w:b w:val="0"/>
      </w:rPr>
    </w:lvl>
    <w:lvl w:ilvl="3" w:tplc="0C09000F">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0" w15:restartNumberingAfterBreak="0">
    <w:nsid w:val="0BB7255A"/>
    <w:multiLevelType w:val="hybridMultilevel"/>
    <w:tmpl w:val="63C4C8FE"/>
    <w:lvl w:ilvl="0" w:tplc="4AA6325C">
      <w:start w:val="47"/>
      <w:numFmt w:val="decimal"/>
      <w:lvlText w:val="%1."/>
      <w:lvlJc w:val="left"/>
      <w:pPr>
        <w:ind w:left="720" w:hanging="720"/>
      </w:pPr>
      <w:rPr>
        <w:rFonts w:ascii="Calibri" w:hAnsi="Calibri" w:hint="default"/>
      </w:rPr>
    </w:lvl>
    <w:lvl w:ilvl="1" w:tplc="72AA6932">
      <w:start w:val="1"/>
      <w:numFmt w:val="lowerLetter"/>
      <w:lvlText w:val="%2."/>
      <w:lvlJc w:val="left"/>
      <w:pPr>
        <w:ind w:left="1440" w:hanging="360"/>
      </w:pPr>
    </w:lvl>
    <w:lvl w:ilvl="2" w:tplc="342CCBD0">
      <w:start w:val="1"/>
      <w:numFmt w:val="lowerRoman"/>
      <w:lvlText w:val="%3."/>
      <w:lvlJc w:val="right"/>
      <w:pPr>
        <w:ind w:left="2160" w:hanging="180"/>
      </w:pPr>
    </w:lvl>
    <w:lvl w:ilvl="3" w:tplc="7ED64A96">
      <w:start w:val="1"/>
      <w:numFmt w:val="decimal"/>
      <w:lvlText w:val="%4."/>
      <w:lvlJc w:val="left"/>
      <w:pPr>
        <w:ind w:left="2880" w:hanging="360"/>
      </w:pPr>
    </w:lvl>
    <w:lvl w:ilvl="4" w:tplc="CA1E8A16">
      <w:start w:val="1"/>
      <w:numFmt w:val="lowerLetter"/>
      <w:lvlText w:val="%5."/>
      <w:lvlJc w:val="left"/>
      <w:pPr>
        <w:ind w:left="3600" w:hanging="360"/>
      </w:pPr>
    </w:lvl>
    <w:lvl w:ilvl="5" w:tplc="DDA46D4C">
      <w:start w:val="1"/>
      <w:numFmt w:val="lowerRoman"/>
      <w:lvlText w:val="%6."/>
      <w:lvlJc w:val="right"/>
      <w:pPr>
        <w:ind w:left="4320" w:hanging="180"/>
      </w:pPr>
    </w:lvl>
    <w:lvl w:ilvl="6" w:tplc="80CA5E38">
      <w:start w:val="1"/>
      <w:numFmt w:val="decimal"/>
      <w:lvlText w:val="%7."/>
      <w:lvlJc w:val="left"/>
      <w:pPr>
        <w:ind w:left="5040" w:hanging="360"/>
      </w:pPr>
    </w:lvl>
    <w:lvl w:ilvl="7" w:tplc="EA38E2F6">
      <w:start w:val="1"/>
      <w:numFmt w:val="lowerLetter"/>
      <w:lvlText w:val="%8."/>
      <w:lvlJc w:val="left"/>
      <w:pPr>
        <w:ind w:left="5760" w:hanging="360"/>
      </w:pPr>
    </w:lvl>
    <w:lvl w:ilvl="8" w:tplc="AA7A943C">
      <w:start w:val="1"/>
      <w:numFmt w:val="lowerRoman"/>
      <w:lvlText w:val="%9."/>
      <w:lvlJc w:val="right"/>
      <w:pPr>
        <w:ind w:left="6480" w:hanging="180"/>
      </w:pPr>
    </w:lvl>
  </w:abstractNum>
  <w:abstractNum w:abstractNumId="11"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2"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3" w15:restartNumberingAfterBreak="0">
    <w:nsid w:val="0D7D308A"/>
    <w:multiLevelType w:val="hybridMultilevel"/>
    <w:tmpl w:val="CA9C6DB8"/>
    <w:lvl w:ilvl="0" w:tplc="E5EE698C">
      <w:start w:val="1"/>
      <w:numFmt w:val="bullet"/>
      <w:lvlText w:val="–"/>
      <w:lvlJc w:val="left"/>
      <w:pPr>
        <w:tabs>
          <w:tab w:val="num" w:pos="720"/>
        </w:tabs>
        <w:ind w:left="720" w:hanging="720"/>
      </w:pPr>
      <w:rPr>
        <w:rFonts w:ascii="Coronet (W1)" w:hAnsi="Coronet (W1)" w:hint="default"/>
        <w:b w:val="0"/>
        <w:i w:val="0"/>
        <w:sz w:val="24"/>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240772"/>
    <w:multiLevelType w:val="hybridMultilevel"/>
    <w:tmpl w:val="DAF463AA"/>
    <w:lvl w:ilvl="0" w:tplc="A3EE4CF6">
      <w:start w:val="2"/>
      <w:numFmt w:val="bullet"/>
      <w:lvlText w:val="–"/>
      <w:lvlJc w:val="left"/>
      <w:pPr>
        <w:ind w:left="1570"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101121B8"/>
    <w:multiLevelType w:val="multilevel"/>
    <w:tmpl w:val="7B94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23D9ABA"/>
    <w:multiLevelType w:val="hybridMultilevel"/>
    <w:tmpl w:val="9850A8AE"/>
    <w:lvl w:ilvl="0" w:tplc="902C7B08">
      <w:start w:val="1"/>
      <w:numFmt w:val="decimal"/>
      <w:lvlText w:val="%1."/>
      <w:lvlJc w:val="left"/>
      <w:pPr>
        <w:ind w:left="720" w:hanging="360"/>
      </w:pPr>
    </w:lvl>
    <w:lvl w:ilvl="1" w:tplc="7ADCF100">
      <w:start w:val="1"/>
      <w:numFmt w:val="lowerLetter"/>
      <w:lvlText w:val="%2."/>
      <w:lvlJc w:val="left"/>
      <w:pPr>
        <w:ind w:left="1440" w:hanging="360"/>
      </w:pPr>
    </w:lvl>
    <w:lvl w:ilvl="2" w:tplc="56FA1E2C">
      <w:start w:val="1"/>
      <w:numFmt w:val="lowerRoman"/>
      <w:lvlText w:val="%3."/>
      <w:lvlJc w:val="right"/>
      <w:pPr>
        <w:ind w:left="2160" w:hanging="180"/>
      </w:pPr>
    </w:lvl>
    <w:lvl w:ilvl="3" w:tplc="D64E2F94">
      <w:start w:val="1"/>
      <w:numFmt w:val="decimal"/>
      <w:lvlText w:val="%4."/>
      <w:lvlJc w:val="left"/>
      <w:pPr>
        <w:ind w:left="2880" w:hanging="360"/>
      </w:pPr>
    </w:lvl>
    <w:lvl w:ilvl="4" w:tplc="B044D12E">
      <w:start w:val="1"/>
      <w:numFmt w:val="lowerLetter"/>
      <w:lvlText w:val="%5."/>
      <w:lvlJc w:val="left"/>
      <w:pPr>
        <w:ind w:left="3600" w:hanging="360"/>
      </w:pPr>
    </w:lvl>
    <w:lvl w:ilvl="5" w:tplc="8BF0FAEA">
      <w:start w:val="1"/>
      <w:numFmt w:val="lowerRoman"/>
      <w:lvlText w:val="%6."/>
      <w:lvlJc w:val="right"/>
      <w:pPr>
        <w:ind w:left="4320" w:hanging="180"/>
      </w:pPr>
    </w:lvl>
    <w:lvl w:ilvl="6" w:tplc="7DB4E9A8">
      <w:start w:val="1"/>
      <w:numFmt w:val="decimal"/>
      <w:lvlText w:val="%7."/>
      <w:lvlJc w:val="left"/>
      <w:pPr>
        <w:ind w:left="5040" w:hanging="360"/>
      </w:pPr>
    </w:lvl>
    <w:lvl w:ilvl="7" w:tplc="5E2C458E">
      <w:start w:val="1"/>
      <w:numFmt w:val="lowerLetter"/>
      <w:lvlText w:val="%8."/>
      <w:lvlJc w:val="left"/>
      <w:pPr>
        <w:ind w:left="5760" w:hanging="360"/>
      </w:pPr>
    </w:lvl>
    <w:lvl w:ilvl="8" w:tplc="C9A8BD10">
      <w:start w:val="1"/>
      <w:numFmt w:val="lowerRoman"/>
      <w:lvlText w:val="%9."/>
      <w:lvlJc w:val="right"/>
      <w:pPr>
        <w:ind w:left="6480" w:hanging="180"/>
      </w:pPr>
    </w:lvl>
  </w:abstractNum>
  <w:abstractNum w:abstractNumId="18" w15:restartNumberingAfterBreak="0">
    <w:nsid w:val="13ED2D5C"/>
    <w:multiLevelType w:val="hybridMultilevel"/>
    <w:tmpl w:val="DFB6C690"/>
    <w:lvl w:ilvl="0" w:tplc="A3EE4CF6">
      <w:start w:val="2"/>
      <w:numFmt w:val="bullet"/>
      <w:lvlText w:val="–"/>
      <w:lvlJc w:val="left"/>
      <w:pPr>
        <w:tabs>
          <w:tab w:val="num" w:pos="720"/>
        </w:tabs>
        <w:ind w:left="720" w:hanging="720"/>
      </w:pPr>
      <w:rPr>
        <w:rFonts w:ascii="Coronet (W1)" w:eastAsia="Coronet (W1)" w:hAnsi="Coronet (W1)" w:cs="Coronet (W1)" w:hint="default"/>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0B608B"/>
    <w:multiLevelType w:val="hybridMultilevel"/>
    <w:tmpl w:val="E5A6D5F4"/>
    <w:lvl w:ilvl="0" w:tplc="A3EE4CF6">
      <w:start w:val="2"/>
      <w:numFmt w:val="bullet"/>
      <w:lvlText w:val="–"/>
      <w:lvlJc w:val="left"/>
      <w:pPr>
        <w:ind w:left="1440" w:hanging="360"/>
      </w:pPr>
      <w:rPr>
        <w:rFonts w:ascii="Coronet (W1)" w:eastAsia="Coronet (W1)" w:hAnsi="Coronet (W1)" w:cs="Coronet (W1)"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A6FF632"/>
    <w:multiLevelType w:val="hybridMultilevel"/>
    <w:tmpl w:val="66A66078"/>
    <w:lvl w:ilvl="0" w:tplc="6694C844">
      <w:start w:val="82"/>
      <w:numFmt w:val="decimal"/>
      <w:lvlText w:val="%1."/>
      <w:lvlJc w:val="left"/>
      <w:pPr>
        <w:ind w:left="720" w:hanging="720"/>
      </w:pPr>
      <w:rPr>
        <w:rFonts w:ascii="Calibri" w:hAnsi="Calibri" w:hint="default"/>
      </w:rPr>
    </w:lvl>
    <w:lvl w:ilvl="1" w:tplc="9386228E">
      <w:start w:val="1"/>
      <w:numFmt w:val="lowerLetter"/>
      <w:lvlText w:val="%2."/>
      <w:lvlJc w:val="left"/>
      <w:pPr>
        <w:ind w:left="1440" w:hanging="360"/>
      </w:pPr>
    </w:lvl>
    <w:lvl w:ilvl="2" w:tplc="071034B4">
      <w:start w:val="1"/>
      <w:numFmt w:val="lowerRoman"/>
      <w:lvlText w:val="%3."/>
      <w:lvlJc w:val="right"/>
      <w:pPr>
        <w:ind w:left="2160" w:hanging="180"/>
      </w:pPr>
    </w:lvl>
    <w:lvl w:ilvl="3" w:tplc="2FA660D8">
      <w:start w:val="1"/>
      <w:numFmt w:val="decimal"/>
      <w:lvlText w:val="%4."/>
      <w:lvlJc w:val="left"/>
      <w:pPr>
        <w:ind w:left="2880" w:hanging="360"/>
      </w:pPr>
    </w:lvl>
    <w:lvl w:ilvl="4" w:tplc="CB26EA36">
      <w:start w:val="1"/>
      <w:numFmt w:val="lowerLetter"/>
      <w:lvlText w:val="%5."/>
      <w:lvlJc w:val="left"/>
      <w:pPr>
        <w:ind w:left="3600" w:hanging="360"/>
      </w:pPr>
    </w:lvl>
    <w:lvl w:ilvl="5" w:tplc="CBE46C40">
      <w:start w:val="1"/>
      <w:numFmt w:val="lowerRoman"/>
      <w:lvlText w:val="%6."/>
      <w:lvlJc w:val="right"/>
      <w:pPr>
        <w:ind w:left="4320" w:hanging="180"/>
      </w:pPr>
    </w:lvl>
    <w:lvl w:ilvl="6" w:tplc="3D44B212">
      <w:start w:val="1"/>
      <w:numFmt w:val="decimal"/>
      <w:lvlText w:val="%7."/>
      <w:lvlJc w:val="left"/>
      <w:pPr>
        <w:ind w:left="5040" w:hanging="360"/>
      </w:pPr>
    </w:lvl>
    <w:lvl w:ilvl="7" w:tplc="04081DF4">
      <w:start w:val="1"/>
      <w:numFmt w:val="lowerLetter"/>
      <w:lvlText w:val="%8."/>
      <w:lvlJc w:val="left"/>
      <w:pPr>
        <w:ind w:left="5760" w:hanging="360"/>
      </w:pPr>
    </w:lvl>
    <w:lvl w:ilvl="8" w:tplc="83F8430E">
      <w:start w:val="1"/>
      <w:numFmt w:val="lowerRoman"/>
      <w:lvlText w:val="%9."/>
      <w:lvlJc w:val="right"/>
      <w:pPr>
        <w:ind w:left="6480" w:hanging="180"/>
      </w:pPr>
    </w:lvl>
  </w:abstractNum>
  <w:abstractNum w:abstractNumId="21" w15:restartNumberingAfterBreak="0">
    <w:nsid w:val="1D962AAF"/>
    <w:multiLevelType w:val="hybridMultilevel"/>
    <w:tmpl w:val="56E61482"/>
    <w:name w:val="AGSCorp"/>
    <w:lvl w:ilvl="0" w:tplc="6CF09F96">
      <w:start w:val="109"/>
      <w:numFmt w:val="decimal"/>
      <w:lvlText w:val="%1."/>
      <w:lvlJc w:val="right"/>
      <w:pPr>
        <w:tabs>
          <w:tab w:val="num" w:pos="720"/>
        </w:tabs>
        <w:ind w:left="720" w:hanging="363"/>
      </w:pPr>
      <w:rPr>
        <w:rFonts w:hint="default"/>
      </w:rPr>
    </w:lvl>
    <w:lvl w:ilvl="1" w:tplc="DF78BC60" w:tentative="1">
      <w:start w:val="1"/>
      <w:numFmt w:val="lowerLetter"/>
      <w:lvlText w:val="%2."/>
      <w:lvlJc w:val="left"/>
      <w:pPr>
        <w:tabs>
          <w:tab w:val="num" w:pos="1440"/>
        </w:tabs>
        <w:ind w:left="1440" w:hanging="360"/>
      </w:pPr>
    </w:lvl>
    <w:lvl w:ilvl="2" w:tplc="296ECDB8" w:tentative="1">
      <w:start w:val="1"/>
      <w:numFmt w:val="lowerRoman"/>
      <w:lvlText w:val="%3."/>
      <w:lvlJc w:val="right"/>
      <w:pPr>
        <w:tabs>
          <w:tab w:val="num" w:pos="2160"/>
        </w:tabs>
        <w:ind w:left="2160" w:hanging="180"/>
      </w:pPr>
    </w:lvl>
    <w:lvl w:ilvl="3" w:tplc="C54CAEA4" w:tentative="1">
      <w:start w:val="1"/>
      <w:numFmt w:val="decimal"/>
      <w:lvlText w:val="%4."/>
      <w:lvlJc w:val="left"/>
      <w:pPr>
        <w:tabs>
          <w:tab w:val="num" w:pos="2880"/>
        </w:tabs>
        <w:ind w:left="2880" w:hanging="360"/>
      </w:pPr>
    </w:lvl>
    <w:lvl w:ilvl="4" w:tplc="38207370" w:tentative="1">
      <w:start w:val="1"/>
      <w:numFmt w:val="lowerLetter"/>
      <w:lvlText w:val="%5."/>
      <w:lvlJc w:val="left"/>
      <w:pPr>
        <w:tabs>
          <w:tab w:val="num" w:pos="3600"/>
        </w:tabs>
        <w:ind w:left="3600" w:hanging="360"/>
      </w:pPr>
    </w:lvl>
    <w:lvl w:ilvl="5" w:tplc="FCE2264A" w:tentative="1">
      <w:start w:val="1"/>
      <w:numFmt w:val="lowerRoman"/>
      <w:lvlText w:val="%6."/>
      <w:lvlJc w:val="right"/>
      <w:pPr>
        <w:tabs>
          <w:tab w:val="num" w:pos="4320"/>
        </w:tabs>
        <w:ind w:left="4320" w:hanging="180"/>
      </w:pPr>
    </w:lvl>
    <w:lvl w:ilvl="6" w:tplc="4B207260" w:tentative="1">
      <w:start w:val="1"/>
      <w:numFmt w:val="decimal"/>
      <w:lvlText w:val="%7."/>
      <w:lvlJc w:val="left"/>
      <w:pPr>
        <w:tabs>
          <w:tab w:val="num" w:pos="5040"/>
        </w:tabs>
        <w:ind w:left="5040" w:hanging="360"/>
      </w:pPr>
    </w:lvl>
    <w:lvl w:ilvl="7" w:tplc="6F5C8082" w:tentative="1">
      <w:start w:val="1"/>
      <w:numFmt w:val="lowerLetter"/>
      <w:lvlText w:val="%8."/>
      <w:lvlJc w:val="left"/>
      <w:pPr>
        <w:tabs>
          <w:tab w:val="num" w:pos="5760"/>
        </w:tabs>
        <w:ind w:left="5760" w:hanging="360"/>
      </w:pPr>
    </w:lvl>
    <w:lvl w:ilvl="8" w:tplc="855A6E5E" w:tentative="1">
      <w:start w:val="1"/>
      <w:numFmt w:val="lowerRoman"/>
      <w:lvlText w:val="%9."/>
      <w:lvlJc w:val="right"/>
      <w:pPr>
        <w:tabs>
          <w:tab w:val="num" w:pos="6480"/>
        </w:tabs>
        <w:ind w:left="6480" w:hanging="180"/>
      </w:p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1FEC9A06"/>
    <w:multiLevelType w:val="multilevel"/>
    <w:tmpl w:val="2820C468"/>
    <w:lvl w:ilvl="0">
      <w:start w:val="1"/>
      <w:numFmt w:val="decimal"/>
      <w:lvlText w:val="%1."/>
      <w:lvlJc w:val="left"/>
      <w:pPr>
        <w:ind w:left="720" w:hanging="360"/>
      </w:pPr>
    </w:lvl>
    <w:lvl w:ilvl="1">
      <w:start w:val="2"/>
      <w:numFmt w:val="decimal"/>
      <w:lvlText w:val="%1."/>
      <w:lvlJc w:val="left"/>
      <w:pPr>
        <w:ind w:left="72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5"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6"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4976223"/>
    <w:multiLevelType w:val="hybridMultilevel"/>
    <w:tmpl w:val="E06C3044"/>
    <w:lvl w:ilvl="0" w:tplc="5D4EE7F6">
      <w:start w:val="1"/>
      <w:numFmt w:val="lowerRoman"/>
      <w:lvlText w:val="(%1)"/>
      <w:lvlJc w:val="left"/>
      <w:pPr>
        <w:ind w:left="2420" w:hanging="72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28" w15:restartNumberingAfterBreak="0">
    <w:nsid w:val="24CA4747"/>
    <w:multiLevelType w:val="hybridMultilevel"/>
    <w:tmpl w:val="5A388ED6"/>
    <w:lvl w:ilvl="0" w:tplc="2AEE6558">
      <w:start w:val="1"/>
      <w:numFmt w:val="decimal"/>
      <w:lvlText w:val="%1."/>
      <w:lvlJc w:val="left"/>
      <w:pPr>
        <w:ind w:left="720" w:hanging="360"/>
      </w:pPr>
    </w:lvl>
    <w:lvl w:ilvl="1" w:tplc="577EE156">
      <w:start w:val="1"/>
      <w:numFmt w:val="lowerLetter"/>
      <w:lvlText w:val="%2."/>
      <w:lvlJc w:val="left"/>
      <w:pPr>
        <w:ind w:left="1440" w:hanging="360"/>
      </w:pPr>
    </w:lvl>
    <w:lvl w:ilvl="2" w:tplc="1A42B968">
      <w:start w:val="1"/>
      <w:numFmt w:val="lowerRoman"/>
      <w:lvlText w:val="%3."/>
      <w:lvlJc w:val="right"/>
      <w:pPr>
        <w:ind w:left="2160" w:hanging="180"/>
      </w:pPr>
    </w:lvl>
    <w:lvl w:ilvl="3" w:tplc="587289F4">
      <w:start w:val="1"/>
      <w:numFmt w:val="decimal"/>
      <w:lvlText w:val="%4."/>
      <w:lvlJc w:val="left"/>
      <w:pPr>
        <w:ind w:left="2880" w:hanging="360"/>
      </w:pPr>
    </w:lvl>
    <w:lvl w:ilvl="4" w:tplc="E7A078FA">
      <w:start w:val="1"/>
      <w:numFmt w:val="lowerLetter"/>
      <w:lvlText w:val="%5."/>
      <w:lvlJc w:val="left"/>
      <w:pPr>
        <w:ind w:left="3600" w:hanging="360"/>
      </w:pPr>
    </w:lvl>
    <w:lvl w:ilvl="5" w:tplc="8DA451F6">
      <w:start w:val="1"/>
      <w:numFmt w:val="lowerRoman"/>
      <w:lvlText w:val="%6."/>
      <w:lvlJc w:val="right"/>
      <w:pPr>
        <w:ind w:left="4320" w:hanging="180"/>
      </w:pPr>
    </w:lvl>
    <w:lvl w:ilvl="6" w:tplc="BB2624F4">
      <w:start w:val="1"/>
      <w:numFmt w:val="decimal"/>
      <w:lvlText w:val="%7."/>
      <w:lvlJc w:val="left"/>
      <w:pPr>
        <w:ind w:left="5040" w:hanging="360"/>
      </w:pPr>
    </w:lvl>
    <w:lvl w:ilvl="7" w:tplc="E6BA18AA">
      <w:start w:val="1"/>
      <w:numFmt w:val="lowerLetter"/>
      <w:lvlText w:val="%8."/>
      <w:lvlJc w:val="left"/>
      <w:pPr>
        <w:ind w:left="5760" w:hanging="360"/>
      </w:pPr>
    </w:lvl>
    <w:lvl w:ilvl="8" w:tplc="7F321EE2">
      <w:start w:val="1"/>
      <w:numFmt w:val="lowerRoman"/>
      <w:lvlText w:val="%9."/>
      <w:lvlJc w:val="right"/>
      <w:pPr>
        <w:ind w:left="6480" w:hanging="180"/>
      </w:pPr>
    </w:lvl>
  </w:abstractNum>
  <w:abstractNum w:abstractNumId="29" w15:restartNumberingAfterBreak="0">
    <w:nsid w:val="25C53852"/>
    <w:multiLevelType w:val="hybridMultilevel"/>
    <w:tmpl w:val="C53AC504"/>
    <w:name w:val="AGSTableDash"/>
    <w:lvl w:ilvl="0" w:tplc="40624AD0">
      <w:start w:val="1"/>
      <w:numFmt w:val="bullet"/>
      <w:lvlText w:val="–"/>
      <w:lvlJc w:val="left"/>
      <w:pPr>
        <w:tabs>
          <w:tab w:val="num" w:pos="757"/>
        </w:tabs>
        <w:ind w:left="757" w:hanging="360"/>
      </w:pPr>
      <w:rPr>
        <w:rFonts w:ascii="Coronet (W1)" w:hAnsi="Coronet (W1)" w:hint="default"/>
        <w:sz w:val="24"/>
      </w:rPr>
    </w:lvl>
    <w:lvl w:ilvl="1" w:tplc="94F89B90" w:tentative="1">
      <w:start w:val="1"/>
      <w:numFmt w:val="bullet"/>
      <w:lvlText w:val="o"/>
      <w:lvlJc w:val="left"/>
      <w:pPr>
        <w:tabs>
          <w:tab w:val="num" w:pos="1440"/>
        </w:tabs>
        <w:ind w:left="1440" w:hanging="360"/>
      </w:pPr>
      <w:rPr>
        <w:rFonts w:ascii="Courier New" w:hAnsi="Courier New" w:cs="Courier New" w:hint="default"/>
      </w:rPr>
    </w:lvl>
    <w:lvl w:ilvl="2" w:tplc="827659D4" w:tentative="1">
      <w:start w:val="1"/>
      <w:numFmt w:val="bullet"/>
      <w:lvlText w:val=""/>
      <w:lvlJc w:val="left"/>
      <w:pPr>
        <w:tabs>
          <w:tab w:val="num" w:pos="2160"/>
        </w:tabs>
        <w:ind w:left="2160" w:hanging="360"/>
      </w:pPr>
      <w:rPr>
        <w:rFonts w:ascii="Wingdings" w:hAnsi="Wingdings" w:hint="default"/>
      </w:rPr>
    </w:lvl>
    <w:lvl w:ilvl="3" w:tplc="AAB2D8A8" w:tentative="1">
      <w:start w:val="1"/>
      <w:numFmt w:val="bullet"/>
      <w:lvlText w:val=""/>
      <w:lvlJc w:val="left"/>
      <w:pPr>
        <w:tabs>
          <w:tab w:val="num" w:pos="2880"/>
        </w:tabs>
        <w:ind w:left="2880" w:hanging="360"/>
      </w:pPr>
      <w:rPr>
        <w:rFonts w:ascii="Symbol" w:hAnsi="Symbol" w:hint="default"/>
      </w:rPr>
    </w:lvl>
    <w:lvl w:ilvl="4" w:tplc="583C8AD8" w:tentative="1">
      <w:start w:val="1"/>
      <w:numFmt w:val="bullet"/>
      <w:lvlText w:val="o"/>
      <w:lvlJc w:val="left"/>
      <w:pPr>
        <w:tabs>
          <w:tab w:val="num" w:pos="3600"/>
        </w:tabs>
        <w:ind w:left="3600" w:hanging="360"/>
      </w:pPr>
      <w:rPr>
        <w:rFonts w:ascii="Courier New" w:hAnsi="Courier New" w:cs="Courier New" w:hint="default"/>
      </w:rPr>
    </w:lvl>
    <w:lvl w:ilvl="5" w:tplc="15AA7394" w:tentative="1">
      <w:start w:val="1"/>
      <w:numFmt w:val="bullet"/>
      <w:lvlText w:val=""/>
      <w:lvlJc w:val="left"/>
      <w:pPr>
        <w:tabs>
          <w:tab w:val="num" w:pos="4320"/>
        </w:tabs>
        <w:ind w:left="4320" w:hanging="360"/>
      </w:pPr>
      <w:rPr>
        <w:rFonts w:ascii="Wingdings" w:hAnsi="Wingdings" w:hint="default"/>
      </w:rPr>
    </w:lvl>
    <w:lvl w:ilvl="6" w:tplc="5C1ACF0C" w:tentative="1">
      <w:start w:val="1"/>
      <w:numFmt w:val="bullet"/>
      <w:lvlText w:val=""/>
      <w:lvlJc w:val="left"/>
      <w:pPr>
        <w:tabs>
          <w:tab w:val="num" w:pos="5040"/>
        </w:tabs>
        <w:ind w:left="5040" w:hanging="360"/>
      </w:pPr>
      <w:rPr>
        <w:rFonts w:ascii="Symbol" w:hAnsi="Symbol" w:hint="default"/>
      </w:rPr>
    </w:lvl>
    <w:lvl w:ilvl="7" w:tplc="8E3621A4" w:tentative="1">
      <w:start w:val="1"/>
      <w:numFmt w:val="bullet"/>
      <w:lvlText w:val="o"/>
      <w:lvlJc w:val="left"/>
      <w:pPr>
        <w:tabs>
          <w:tab w:val="num" w:pos="5760"/>
        </w:tabs>
        <w:ind w:left="5760" w:hanging="360"/>
      </w:pPr>
      <w:rPr>
        <w:rFonts w:ascii="Courier New" w:hAnsi="Courier New" w:cs="Courier New" w:hint="default"/>
      </w:rPr>
    </w:lvl>
    <w:lvl w:ilvl="8" w:tplc="165071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1"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4" w15:restartNumberingAfterBreak="0">
    <w:nsid w:val="2CD9480D"/>
    <w:multiLevelType w:val="hybridMultilevel"/>
    <w:tmpl w:val="C1B83062"/>
    <w:lvl w:ilvl="0" w:tplc="A3EE4CF6">
      <w:start w:val="2"/>
      <w:numFmt w:val="bullet"/>
      <w:lvlText w:val="–"/>
      <w:lvlJc w:val="left"/>
      <w:pPr>
        <w:ind w:left="720" w:hanging="360"/>
      </w:pPr>
      <w:rPr>
        <w:rFonts w:ascii="Coronet (W1)" w:eastAsia="Coronet (W1)" w:hAnsi="Coronet (W1)" w:cs="Coronet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053851"/>
    <w:multiLevelType w:val="hybridMultilevel"/>
    <w:tmpl w:val="565A32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9431D1"/>
    <w:multiLevelType w:val="hybridMultilevel"/>
    <w:tmpl w:val="FC38B5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8" w15:restartNumberingAfterBreak="0">
    <w:nsid w:val="2FBA35D6"/>
    <w:multiLevelType w:val="hybridMultilevel"/>
    <w:tmpl w:val="EB76B630"/>
    <w:lvl w:ilvl="0" w:tplc="FFFFFFFF">
      <w:start w:val="1"/>
      <w:numFmt w:val="decimal"/>
      <w:lvlText w:val="%1."/>
      <w:lvlJc w:val="left"/>
      <w:pPr>
        <w:tabs>
          <w:tab w:val="num" w:pos="720"/>
        </w:tabs>
        <w:ind w:left="720" w:hanging="720"/>
      </w:pPr>
      <w:rPr>
        <w:b w:val="0"/>
        <w:i w:val="0"/>
        <w:sz w:val="22"/>
        <w:szCs w:val="22"/>
      </w:rPr>
    </w:lvl>
    <w:lvl w:ilvl="1" w:tplc="FFFFFFFF">
      <w:start w:val="1"/>
      <w:numFmt w:val="lowerLetter"/>
      <w:lvlText w:val="%2."/>
      <w:lvlJc w:val="left"/>
      <w:pPr>
        <w:ind w:left="1636" w:hanging="360"/>
      </w:p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rFonts w:ascii="Arial" w:hAnsi="Arial"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0E44882"/>
    <w:multiLevelType w:val="hybridMultilevel"/>
    <w:tmpl w:val="C31E03D6"/>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5692F95"/>
    <w:multiLevelType w:val="hybridMultilevel"/>
    <w:tmpl w:val="DC8EBC44"/>
    <w:lvl w:ilvl="0" w:tplc="48CE951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14393D"/>
    <w:multiLevelType w:val="hybridMultilevel"/>
    <w:tmpl w:val="276245E8"/>
    <w:lvl w:ilvl="0" w:tplc="A3EE4CF6">
      <w:start w:val="2"/>
      <w:numFmt w:val="bullet"/>
      <w:lvlText w:val="–"/>
      <w:lvlJc w:val="left"/>
      <w:pPr>
        <w:ind w:left="1775" w:hanging="360"/>
      </w:pPr>
      <w:rPr>
        <w:rFonts w:ascii="Coronet (W1)" w:eastAsia="Coronet (W1)" w:hAnsi="Coronet (W1)" w:cs="Coronet (W1)" w:hint="default"/>
      </w:rPr>
    </w:lvl>
    <w:lvl w:ilvl="1" w:tplc="0C090003" w:tentative="1">
      <w:start w:val="1"/>
      <w:numFmt w:val="bullet"/>
      <w:lvlText w:val="o"/>
      <w:lvlJc w:val="left"/>
      <w:pPr>
        <w:ind w:left="2495" w:hanging="360"/>
      </w:pPr>
      <w:rPr>
        <w:rFonts w:ascii="Courier New" w:hAnsi="Courier New" w:cs="Courier New" w:hint="default"/>
      </w:rPr>
    </w:lvl>
    <w:lvl w:ilvl="2" w:tplc="0C090005" w:tentative="1">
      <w:start w:val="1"/>
      <w:numFmt w:val="bullet"/>
      <w:lvlText w:val=""/>
      <w:lvlJc w:val="left"/>
      <w:pPr>
        <w:ind w:left="3215" w:hanging="360"/>
      </w:pPr>
      <w:rPr>
        <w:rFonts w:ascii="Wingdings" w:hAnsi="Wingdings" w:hint="default"/>
      </w:rPr>
    </w:lvl>
    <w:lvl w:ilvl="3" w:tplc="0C090001" w:tentative="1">
      <w:start w:val="1"/>
      <w:numFmt w:val="bullet"/>
      <w:lvlText w:val=""/>
      <w:lvlJc w:val="left"/>
      <w:pPr>
        <w:ind w:left="3935" w:hanging="360"/>
      </w:pPr>
      <w:rPr>
        <w:rFonts w:ascii="Symbol" w:hAnsi="Symbol" w:hint="default"/>
      </w:rPr>
    </w:lvl>
    <w:lvl w:ilvl="4" w:tplc="0C090003" w:tentative="1">
      <w:start w:val="1"/>
      <w:numFmt w:val="bullet"/>
      <w:lvlText w:val="o"/>
      <w:lvlJc w:val="left"/>
      <w:pPr>
        <w:ind w:left="4655" w:hanging="360"/>
      </w:pPr>
      <w:rPr>
        <w:rFonts w:ascii="Courier New" w:hAnsi="Courier New" w:cs="Courier New" w:hint="default"/>
      </w:rPr>
    </w:lvl>
    <w:lvl w:ilvl="5" w:tplc="0C090005" w:tentative="1">
      <w:start w:val="1"/>
      <w:numFmt w:val="bullet"/>
      <w:lvlText w:val=""/>
      <w:lvlJc w:val="left"/>
      <w:pPr>
        <w:ind w:left="5375" w:hanging="360"/>
      </w:pPr>
      <w:rPr>
        <w:rFonts w:ascii="Wingdings" w:hAnsi="Wingdings" w:hint="default"/>
      </w:rPr>
    </w:lvl>
    <w:lvl w:ilvl="6" w:tplc="0C090001" w:tentative="1">
      <w:start w:val="1"/>
      <w:numFmt w:val="bullet"/>
      <w:lvlText w:val=""/>
      <w:lvlJc w:val="left"/>
      <w:pPr>
        <w:ind w:left="6095" w:hanging="360"/>
      </w:pPr>
      <w:rPr>
        <w:rFonts w:ascii="Symbol" w:hAnsi="Symbol" w:hint="default"/>
      </w:rPr>
    </w:lvl>
    <w:lvl w:ilvl="7" w:tplc="0C090003" w:tentative="1">
      <w:start w:val="1"/>
      <w:numFmt w:val="bullet"/>
      <w:lvlText w:val="o"/>
      <w:lvlJc w:val="left"/>
      <w:pPr>
        <w:ind w:left="6815" w:hanging="360"/>
      </w:pPr>
      <w:rPr>
        <w:rFonts w:ascii="Courier New" w:hAnsi="Courier New" w:cs="Courier New" w:hint="default"/>
      </w:rPr>
    </w:lvl>
    <w:lvl w:ilvl="8" w:tplc="0C090005" w:tentative="1">
      <w:start w:val="1"/>
      <w:numFmt w:val="bullet"/>
      <w:lvlText w:val=""/>
      <w:lvlJc w:val="left"/>
      <w:pPr>
        <w:ind w:left="7535" w:hanging="360"/>
      </w:pPr>
      <w:rPr>
        <w:rFonts w:ascii="Wingdings" w:hAnsi="Wingdings" w:hint="default"/>
      </w:rPr>
    </w:lvl>
  </w:abstractNum>
  <w:abstractNum w:abstractNumId="42" w15:restartNumberingAfterBreak="0">
    <w:nsid w:val="3B352596"/>
    <w:multiLevelType w:val="hybridMultilevel"/>
    <w:tmpl w:val="35383490"/>
    <w:lvl w:ilvl="0" w:tplc="A3EE4CF6">
      <w:start w:val="2"/>
      <w:numFmt w:val="bullet"/>
      <w:lvlText w:val="–"/>
      <w:lvlJc w:val="left"/>
      <w:pPr>
        <w:ind w:left="720" w:hanging="360"/>
      </w:pPr>
      <w:rPr>
        <w:rFonts w:ascii="Coronet (W1)" w:eastAsia="Coronet (W1)" w:hAnsi="Coronet (W1)" w:cs="Coronet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8C3660"/>
    <w:multiLevelType w:val="hybridMultilevel"/>
    <w:tmpl w:val="D46850A6"/>
    <w:lvl w:ilvl="0" w:tplc="6B40CF96">
      <w:start w:val="1"/>
      <w:numFmt w:val="bullet"/>
      <w:lvlText w:val=""/>
      <w:lvlJc w:val="left"/>
      <w:pPr>
        <w:ind w:left="720" w:hanging="360"/>
      </w:pPr>
      <w:rPr>
        <w:rFonts w:ascii="Symbol" w:hAnsi="Symbol" w:hint="default"/>
      </w:rPr>
    </w:lvl>
    <w:lvl w:ilvl="1" w:tplc="41884884">
      <w:start w:val="1"/>
      <w:numFmt w:val="bullet"/>
      <w:lvlText w:val="o"/>
      <w:lvlJc w:val="left"/>
      <w:pPr>
        <w:ind w:left="1440" w:hanging="360"/>
      </w:pPr>
      <w:rPr>
        <w:rFonts w:ascii="Courier New" w:hAnsi="Courier New" w:hint="default"/>
      </w:rPr>
    </w:lvl>
    <w:lvl w:ilvl="2" w:tplc="46488A2C">
      <w:start w:val="1"/>
      <w:numFmt w:val="bullet"/>
      <w:lvlText w:val=""/>
      <w:lvlJc w:val="left"/>
      <w:pPr>
        <w:ind w:left="2160" w:hanging="360"/>
      </w:pPr>
      <w:rPr>
        <w:rFonts w:ascii="Wingdings" w:hAnsi="Wingdings" w:hint="default"/>
      </w:rPr>
    </w:lvl>
    <w:lvl w:ilvl="3" w:tplc="205AA306">
      <w:start w:val="1"/>
      <w:numFmt w:val="bullet"/>
      <w:lvlText w:val=""/>
      <w:lvlJc w:val="left"/>
      <w:pPr>
        <w:ind w:left="2880" w:hanging="360"/>
      </w:pPr>
      <w:rPr>
        <w:rFonts w:ascii="Symbol" w:hAnsi="Symbol" w:hint="default"/>
      </w:rPr>
    </w:lvl>
    <w:lvl w:ilvl="4" w:tplc="8B96972E">
      <w:start w:val="1"/>
      <w:numFmt w:val="bullet"/>
      <w:lvlText w:val="o"/>
      <w:lvlJc w:val="left"/>
      <w:pPr>
        <w:ind w:left="3600" w:hanging="360"/>
      </w:pPr>
      <w:rPr>
        <w:rFonts w:ascii="Courier New" w:hAnsi="Courier New" w:hint="default"/>
      </w:rPr>
    </w:lvl>
    <w:lvl w:ilvl="5" w:tplc="3B92D85A">
      <w:start w:val="1"/>
      <w:numFmt w:val="bullet"/>
      <w:lvlText w:val=""/>
      <w:lvlJc w:val="left"/>
      <w:pPr>
        <w:ind w:left="4320" w:hanging="360"/>
      </w:pPr>
      <w:rPr>
        <w:rFonts w:ascii="Wingdings" w:hAnsi="Wingdings" w:hint="default"/>
      </w:rPr>
    </w:lvl>
    <w:lvl w:ilvl="6" w:tplc="75B06602">
      <w:start w:val="1"/>
      <w:numFmt w:val="bullet"/>
      <w:lvlText w:val=""/>
      <w:lvlJc w:val="left"/>
      <w:pPr>
        <w:ind w:left="5040" w:hanging="360"/>
      </w:pPr>
      <w:rPr>
        <w:rFonts w:ascii="Symbol" w:hAnsi="Symbol" w:hint="default"/>
      </w:rPr>
    </w:lvl>
    <w:lvl w:ilvl="7" w:tplc="CFC09564">
      <w:start w:val="1"/>
      <w:numFmt w:val="bullet"/>
      <w:lvlText w:val="o"/>
      <w:lvlJc w:val="left"/>
      <w:pPr>
        <w:ind w:left="5760" w:hanging="360"/>
      </w:pPr>
      <w:rPr>
        <w:rFonts w:ascii="Courier New" w:hAnsi="Courier New" w:hint="default"/>
      </w:rPr>
    </w:lvl>
    <w:lvl w:ilvl="8" w:tplc="B4769508">
      <w:start w:val="1"/>
      <w:numFmt w:val="bullet"/>
      <w:lvlText w:val=""/>
      <w:lvlJc w:val="left"/>
      <w:pPr>
        <w:ind w:left="6480" w:hanging="360"/>
      </w:pPr>
      <w:rPr>
        <w:rFonts w:ascii="Wingdings" w:hAnsi="Wingdings" w:hint="default"/>
      </w:rPr>
    </w:lvl>
  </w:abstractNum>
  <w:abstractNum w:abstractNumId="44" w15:restartNumberingAfterBreak="0">
    <w:nsid w:val="414E7EA1"/>
    <w:multiLevelType w:val="hybridMultilevel"/>
    <w:tmpl w:val="B9EC36BA"/>
    <w:lvl w:ilvl="0" w:tplc="0C090001">
      <w:start w:val="1"/>
      <w:numFmt w:val="bullet"/>
      <w:lvlText w:val=""/>
      <w:lvlJc w:val="left"/>
      <w:pPr>
        <w:ind w:left="1995" w:hanging="360"/>
      </w:pPr>
      <w:rPr>
        <w:rFonts w:ascii="Symbol" w:hAnsi="Symbol" w:hint="default"/>
      </w:rPr>
    </w:lvl>
    <w:lvl w:ilvl="1" w:tplc="0C090003">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45" w15:restartNumberingAfterBreak="0">
    <w:nsid w:val="41554AEE"/>
    <w:multiLevelType w:val="hybridMultilevel"/>
    <w:tmpl w:val="AD0634E0"/>
    <w:lvl w:ilvl="0" w:tplc="BFA21DE6">
      <w:start w:val="80"/>
      <w:numFmt w:val="decimal"/>
      <w:lvlText w:val="%1."/>
      <w:lvlJc w:val="left"/>
      <w:pPr>
        <w:ind w:left="720" w:hanging="720"/>
      </w:pPr>
      <w:rPr>
        <w:rFonts w:ascii="Calibri" w:hAnsi="Calibri" w:hint="default"/>
      </w:rPr>
    </w:lvl>
    <w:lvl w:ilvl="1" w:tplc="8564F0BA">
      <w:start w:val="1"/>
      <w:numFmt w:val="lowerLetter"/>
      <w:lvlText w:val="%2."/>
      <w:lvlJc w:val="left"/>
      <w:pPr>
        <w:ind w:left="1440" w:hanging="360"/>
      </w:pPr>
    </w:lvl>
    <w:lvl w:ilvl="2" w:tplc="A198F6A2">
      <w:start w:val="1"/>
      <w:numFmt w:val="lowerRoman"/>
      <w:lvlText w:val="%3."/>
      <w:lvlJc w:val="right"/>
      <w:pPr>
        <w:ind w:left="2160" w:hanging="180"/>
      </w:pPr>
    </w:lvl>
    <w:lvl w:ilvl="3" w:tplc="31AC1FDC">
      <w:start w:val="1"/>
      <w:numFmt w:val="decimal"/>
      <w:lvlText w:val="%4."/>
      <w:lvlJc w:val="left"/>
      <w:pPr>
        <w:ind w:left="2880" w:hanging="360"/>
      </w:pPr>
    </w:lvl>
    <w:lvl w:ilvl="4" w:tplc="842C1004">
      <w:start w:val="1"/>
      <w:numFmt w:val="lowerLetter"/>
      <w:lvlText w:val="%5."/>
      <w:lvlJc w:val="left"/>
      <w:pPr>
        <w:ind w:left="3600" w:hanging="360"/>
      </w:pPr>
    </w:lvl>
    <w:lvl w:ilvl="5" w:tplc="A4F02FA4">
      <w:start w:val="1"/>
      <w:numFmt w:val="lowerRoman"/>
      <w:lvlText w:val="%6."/>
      <w:lvlJc w:val="right"/>
      <w:pPr>
        <w:ind w:left="4320" w:hanging="180"/>
      </w:pPr>
    </w:lvl>
    <w:lvl w:ilvl="6" w:tplc="F3468DE0">
      <w:start w:val="1"/>
      <w:numFmt w:val="decimal"/>
      <w:lvlText w:val="%7."/>
      <w:lvlJc w:val="left"/>
      <w:pPr>
        <w:ind w:left="5040" w:hanging="360"/>
      </w:pPr>
    </w:lvl>
    <w:lvl w:ilvl="7" w:tplc="4148F438">
      <w:start w:val="1"/>
      <w:numFmt w:val="lowerLetter"/>
      <w:lvlText w:val="%8."/>
      <w:lvlJc w:val="left"/>
      <w:pPr>
        <w:ind w:left="5760" w:hanging="360"/>
      </w:pPr>
    </w:lvl>
    <w:lvl w:ilvl="8" w:tplc="A04AA534">
      <w:start w:val="1"/>
      <w:numFmt w:val="lowerRoman"/>
      <w:lvlText w:val="%9."/>
      <w:lvlJc w:val="right"/>
      <w:pPr>
        <w:ind w:left="6480" w:hanging="180"/>
      </w:pPr>
    </w:lvl>
  </w:abstractNum>
  <w:abstractNum w:abstractNumId="46" w15:restartNumberingAfterBreak="0">
    <w:nsid w:val="42684E61"/>
    <w:multiLevelType w:val="multilevel"/>
    <w:tmpl w:val="51F0D064"/>
    <w:lvl w:ilvl="0">
      <w:start w:val="2"/>
      <w:numFmt w:val="bullet"/>
      <w:lvlText w:val="–"/>
      <w:lvlJc w:val="left"/>
      <w:pPr>
        <w:tabs>
          <w:tab w:val="num" w:pos="1570"/>
        </w:tabs>
        <w:ind w:left="1570" w:hanging="360"/>
      </w:pPr>
      <w:rPr>
        <w:rFonts w:ascii="Coronet (W1)" w:eastAsia="Coronet (W1)" w:hAnsi="Coronet (W1)" w:cs="Coronet (W1)" w:hint="default"/>
        <w:sz w:val="24"/>
        <w:szCs w:val="22"/>
      </w:rPr>
    </w:lvl>
    <w:lvl w:ilvl="1">
      <w:start w:val="1"/>
      <w:numFmt w:val="decimal"/>
      <w:lvlText w:val="%2."/>
      <w:lvlJc w:val="left"/>
      <w:pPr>
        <w:tabs>
          <w:tab w:val="num" w:pos="1570"/>
        </w:tabs>
        <w:ind w:left="1570" w:hanging="360"/>
      </w:pPr>
      <w:rPr>
        <w:rFonts w:hint="default"/>
        <w:sz w:val="22"/>
        <w:szCs w:val="22"/>
      </w:rPr>
    </w:lvl>
    <w:lvl w:ilvl="2">
      <w:start w:val="1"/>
      <w:numFmt w:val="bullet"/>
      <w:lvlText w:val=""/>
      <w:lvlJc w:val="left"/>
      <w:pPr>
        <w:tabs>
          <w:tab w:val="num" w:pos="1786"/>
        </w:tabs>
        <w:ind w:left="1786" w:hanging="576"/>
      </w:pPr>
      <w:rPr>
        <w:rFonts w:ascii="Symbol" w:hAnsi="Symbol" w:hint="default"/>
        <w:color w:val="auto"/>
        <w:sz w:val="16"/>
        <w:szCs w:val="22"/>
      </w:rPr>
    </w:lvl>
    <w:lvl w:ilvl="3">
      <w:start w:val="1"/>
      <w:numFmt w:val="decimal"/>
      <w:lvlText w:val="(%4)"/>
      <w:lvlJc w:val="left"/>
      <w:pPr>
        <w:tabs>
          <w:tab w:val="num" w:pos="3730"/>
        </w:tabs>
        <w:ind w:left="3730" w:hanging="360"/>
      </w:pPr>
      <w:rPr>
        <w:rFonts w:hint="default"/>
      </w:rPr>
    </w:lvl>
    <w:lvl w:ilvl="4">
      <w:start w:val="1"/>
      <w:numFmt w:val="lowerLetter"/>
      <w:lvlText w:val="%5."/>
      <w:lvlJc w:val="left"/>
      <w:pPr>
        <w:tabs>
          <w:tab w:val="num" w:pos="4450"/>
        </w:tabs>
        <w:ind w:left="4450" w:hanging="360"/>
      </w:pPr>
      <w:rPr>
        <w:rFonts w:hint="default"/>
      </w:rPr>
    </w:lvl>
    <w:lvl w:ilvl="5">
      <w:start w:val="1"/>
      <w:numFmt w:val="lowerRoman"/>
      <w:lvlText w:val="%6."/>
      <w:lvlJc w:val="right"/>
      <w:pPr>
        <w:tabs>
          <w:tab w:val="num" w:pos="5170"/>
        </w:tabs>
        <w:ind w:left="5170" w:hanging="180"/>
      </w:pPr>
      <w:rPr>
        <w:rFonts w:hint="default"/>
      </w:rPr>
    </w:lvl>
    <w:lvl w:ilvl="6">
      <w:start w:val="1"/>
      <w:numFmt w:val="decimal"/>
      <w:lvlText w:val="%7."/>
      <w:lvlJc w:val="left"/>
      <w:pPr>
        <w:tabs>
          <w:tab w:val="num" w:pos="5890"/>
        </w:tabs>
        <w:ind w:left="5890" w:hanging="360"/>
      </w:pPr>
      <w:rPr>
        <w:rFonts w:hint="default"/>
      </w:rPr>
    </w:lvl>
    <w:lvl w:ilvl="7">
      <w:start w:val="1"/>
      <w:numFmt w:val="lowerLetter"/>
      <w:lvlText w:val="%8."/>
      <w:lvlJc w:val="left"/>
      <w:pPr>
        <w:tabs>
          <w:tab w:val="num" w:pos="6610"/>
        </w:tabs>
        <w:ind w:left="6610" w:hanging="360"/>
      </w:pPr>
      <w:rPr>
        <w:rFonts w:hint="default"/>
      </w:rPr>
    </w:lvl>
    <w:lvl w:ilvl="8">
      <w:start w:val="1"/>
      <w:numFmt w:val="lowerRoman"/>
      <w:lvlText w:val="%9."/>
      <w:lvlJc w:val="right"/>
      <w:pPr>
        <w:tabs>
          <w:tab w:val="num" w:pos="7330"/>
        </w:tabs>
        <w:ind w:left="7330" w:hanging="180"/>
      </w:pPr>
      <w:rPr>
        <w:rFonts w:hint="default"/>
      </w:rPr>
    </w:lvl>
  </w:abstractNum>
  <w:abstractNum w:abstractNumId="47" w15:restartNumberingAfterBreak="0">
    <w:nsid w:val="42B85A5E"/>
    <w:multiLevelType w:val="hybridMultilevel"/>
    <w:tmpl w:val="0582AD74"/>
    <w:name w:val="AGSTableHang"/>
    <w:lvl w:ilvl="0" w:tplc="38C6626A">
      <w:start w:val="2"/>
      <w:numFmt w:val="bullet"/>
      <w:lvlText w:val="–"/>
      <w:lvlJc w:val="left"/>
      <w:pPr>
        <w:tabs>
          <w:tab w:val="num" w:pos="720"/>
        </w:tabs>
        <w:ind w:left="720" w:hanging="360"/>
      </w:pPr>
      <w:rPr>
        <w:rFonts w:ascii="Arial" w:eastAsia="Times New Roman" w:hAnsi="Arial" w:cs="Arial" w:hint="default"/>
      </w:rPr>
    </w:lvl>
    <w:lvl w:ilvl="1" w:tplc="EAE2A072" w:tentative="1">
      <w:start w:val="1"/>
      <w:numFmt w:val="bullet"/>
      <w:lvlText w:val="o"/>
      <w:lvlJc w:val="left"/>
      <w:pPr>
        <w:tabs>
          <w:tab w:val="num" w:pos="1440"/>
        </w:tabs>
        <w:ind w:left="1440" w:hanging="360"/>
      </w:pPr>
      <w:rPr>
        <w:rFonts w:ascii="Courier New" w:hAnsi="Courier New" w:cs="Courier New" w:hint="default"/>
      </w:rPr>
    </w:lvl>
    <w:lvl w:ilvl="2" w:tplc="D794F748" w:tentative="1">
      <w:start w:val="1"/>
      <w:numFmt w:val="bullet"/>
      <w:lvlText w:val=""/>
      <w:lvlJc w:val="left"/>
      <w:pPr>
        <w:tabs>
          <w:tab w:val="num" w:pos="2160"/>
        </w:tabs>
        <w:ind w:left="2160" w:hanging="360"/>
      </w:pPr>
      <w:rPr>
        <w:rFonts w:ascii="Wingdings" w:hAnsi="Wingdings" w:hint="default"/>
      </w:rPr>
    </w:lvl>
    <w:lvl w:ilvl="3" w:tplc="4FD6518C" w:tentative="1">
      <w:start w:val="1"/>
      <w:numFmt w:val="bullet"/>
      <w:lvlText w:val=""/>
      <w:lvlJc w:val="left"/>
      <w:pPr>
        <w:tabs>
          <w:tab w:val="num" w:pos="2880"/>
        </w:tabs>
        <w:ind w:left="2880" w:hanging="360"/>
      </w:pPr>
      <w:rPr>
        <w:rFonts w:ascii="Symbol" w:hAnsi="Symbol" w:hint="default"/>
      </w:rPr>
    </w:lvl>
    <w:lvl w:ilvl="4" w:tplc="F8C41E64" w:tentative="1">
      <w:start w:val="1"/>
      <w:numFmt w:val="bullet"/>
      <w:lvlText w:val="o"/>
      <w:lvlJc w:val="left"/>
      <w:pPr>
        <w:tabs>
          <w:tab w:val="num" w:pos="3600"/>
        </w:tabs>
        <w:ind w:left="3600" w:hanging="360"/>
      </w:pPr>
      <w:rPr>
        <w:rFonts w:ascii="Courier New" w:hAnsi="Courier New" w:cs="Courier New" w:hint="default"/>
      </w:rPr>
    </w:lvl>
    <w:lvl w:ilvl="5" w:tplc="3AFAFC94" w:tentative="1">
      <w:start w:val="1"/>
      <w:numFmt w:val="bullet"/>
      <w:lvlText w:val=""/>
      <w:lvlJc w:val="left"/>
      <w:pPr>
        <w:tabs>
          <w:tab w:val="num" w:pos="4320"/>
        </w:tabs>
        <w:ind w:left="4320" w:hanging="360"/>
      </w:pPr>
      <w:rPr>
        <w:rFonts w:ascii="Wingdings" w:hAnsi="Wingdings" w:hint="default"/>
      </w:rPr>
    </w:lvl>
    <w:lvl w:ilvl="6" w:tplc="46220892" w:tentative="1">
      <w:start w:val="1"/>
      <w:numFmt w:val="bullet"/>
      <w:lvlText w:val=""/>
      <w:lvlJc w:val="left"/>
      <w:pPr>
        <w:tabs>
          <w:tab w:val="num" w:pos="5040"/>
        </w:tabs>
        <w:ind w:left="5040" w:hanging="360"/>
      </w:pPr>
      <w:rPr>
        <w:rFonts w:ascii="Symbol" w:hAnsi="Symbol" w:hint="default"/>
      </w:rPr>
    </w:lvl>
    <w:lvl w:ilvl="7" w:tplc="2278D43E" w:tentative="1">
      <w:start w:val="1"/>
      <w:numFmt w:val="bullet"/>
      <w:lvlText w:val="o"/>
      <w:lvlJc w:val="left"/>
      <w:pPr>
        <w:tabs>
          <w:tab w:val="num" w:pos="5760"/>
        </w:tabs>
        <w:ind w:left="5760" w:hanging="360"/>
      </w:pPr>
      <w:rPr>
        <w:rFonts w:ascii="Courier New" w:hAnsi="Courier New" w:cs="Courier New" w:hint="default"/>
      </w:rPr>
    </w:lvl>
    <w:lvl w:ilvl="8" w:tplc="DD3A922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49" w15:restartNumberingAfterBreak="0">
    <w:nsid w:val="47E727A0"/>
    <w:multiLevelType w:val="hybridMultilevel"/>
    <w:tmpl w:val="523409E6"/>
    <w:name w:val="AGSClause"/>
    <w:lvl w:ilvl="0" w:tplc="AD2AB7AA">
      <w:start w:val="1"/>
      <w:numFmt w:val="decimal"/>
      <w:pStyle w:val="Keryl"/>
      <w:lvlText w:val="%1."/>
      <w:lvlJc w:val="left"/>
      <w:pPr>
        <w:tabs>
          <w:tab w:val="num" w:pos="720"/>
        </w:tabs>
        <w:ind w:left="927" w:hanging="567"/>
      </w:pPr>
      <w:rPr>
        <w:rFonts w:hint="default"/>
        <w:b w:val="0"/>
      </w:rPr>
    </w:lvl>
    <w:lvl w:ilvl="1" w:tplc="6354EC4E">
      <w:start w:val="1"/>
      <w:numFmt w:val="lowerLetter"/>
      <w:lvlText w:val="%2."/>
      <w:lvlJc w:val="left"/>
      <w:pPr>
        <w:tabs>
          <w:tab w:val="num" w:pos="1440"/>
        </w:tabs>
        <w:ind w:left="1440" w:hanging="360"/>
      </w:pPr>
    </w:lvl>
    <w:lvl w:ilvl="2" w:tplc="1B8638E0">
      <w:start w:val="1"/>
      <w:numFmt w:val="lowerRoman"/>
      <w:lvlText w:val="%3."/>
      <w:lvlJc w:val="right"/>
      <w:pPr>
        <w:tabs>
          <w:tab w:val="num" w:pos="2160"/>
        </w:tabs>
        <w:ind w:left="2160" w:hanging="180"/>
      </w:pPr>
      <w:rPr>
        <w:rFonts w:hint="default"/>
        <w:b w:val="0"/>
      </w:rPr>
    </w:lvl>
    <w:lvl w:ilvl="3" w:tplc="5FBACED6" w:tentative="1">
      <w:start w:val="1"/>
      <w:numFmt w:val="decimal"/>
      <w:lvlText w:val="%4."/>
      <w:lvlJc w:val="left"/>
      <w:pPr>
        <w:tabs>
          <w:tab w:val="num" w:pos="2880"/>
        </w:tabs>
        <w:ind w:left="2880" w:hanging="360"/>
      </w:pPr>
    </w:lvl>
    <w:lvl w:ilvl="4" w:tplc="8BD83EBE" w:tentative="1">
      <w:start w:val="1"/>
      <w:numFmt w:val="lowerLetter"/>
      <w:lvlText w:val="%5."/>
      <w:lvlJc w:val="left"/>
      <w:pPr>
        <w:tabs>
          <w:tab w:val="num" w:pos="3600"/>
        </w:tabs>
        <w:ind w:left="3600" w:hanging="360"/>
      </w:pPr>
    </w:lvl>
    <w:lvl w:ilvl="5" w:tplc="820A1896" w:tentative="1">
      <w:start w:val="1"/>
      <w:numFmt w:val="lowerRoman"/>
      <w:lvlText w:val="%6."/>
      <w:lvlJc w:val="right"/>
      <w:pPr>
        <w:tabs>
          <w:tab w:val="num" w:pos="4320"/>
        </w:tabs>
        <w:ind w:left="4320" w:hanging="180"/>
      </w:pPr>
    </w:lvl>
    <w:lvl w:ilvl="6" w:tplc="86E457F2" w:tentative="1">
      <w:start w:val="1"/>
      <w:numFmt w:val="decimal"/>
      <w:lvlText w:val="%7."/>
      <w:lvlJc w:val="left"/>
      <w:pPr>
        <w:tabs>
          <w:tab w:val="num" w:pos="5040"/>
        </w:tabs>
        <w:ind w:left="5040" w:hanging="360"/>
      </w:pPr>
    </w:lvl>
    <w:lvl w:ilvl="7" w:tplc="366C39BC" w:tentative="1">
      <w:start w:val="1"/>
      <w:numFmt w:val="lowerLetter"/>
      <w:lvlText w:val="%8."/>
      <w:lvlJc w:val="left"/>
      <w:pPr>
        <w:tabs>
          <w:tab w:val="num" w:pos="5760"/>
        </w:tabs>
        <w:ind w:left="5760" w:hanging="360"/>
      </w:pPr>
    </w:lvl>
    <w:lvl w:ilvl="8" w:tplc="49E2EF40" w:tentative="1">
      <w:start w:val="1"/>
      <w:numFmt w:val="lowerRoman"/>
      <w:lvlText w:val="%9."/>
      <w:lvlJc w:val="right"/>
      <w:pPr>
        <w:tabs>
          <w:tab w:val="num" w:pos="6480"/>
        </w:tabs>
        <w:ind w:left="6480" w:hanging="180"/>
      </w:pPr>
    </w:lvl>
  </w:abstractNum>
  <w:abstractNum w:abstractNumId="50" w15:restartNumberingAfterBreak="0">
    <w:nsid w:val="49C1CBD5"/>
    <w:multiLevelType w:val="hybridMultilevel"/>
    <w:tmpl w:val="66BA7696"/>
    <w:lvl w:ilvl="0" w:tplc="F29CF3D0">
      <w:start w:val="1"/>
      <w:numFmt w:val="decimal"/>
      <w:lvlText w:val="%1."/>
      <w:lvlJc w:val="left"/>
      <w:pPr>
        <w:ind w:left="720" w:hanging="360"/>
      </w:pPr>
    </w:lvl>
    <w:lvl w:ilvl="1" w:tplc="FBBCF80A">
      <w:start w:val="1"/>
      <w:numFmt w:val="lowerLetter"/>
      <w:lvlText w:val="%2."/>
      <w:lvlJc w:val="left"/>
      <w:pPr>
        <w:ind w:left="1440" w:hanging="360"/>
      </w:pPr>
    </w:lvl>
    <w:lvl w:ilvl="2" w:tplc="57829066">
      <w:start w:val="1"/>
      <w:numFmt w:val="lowerRoman"/>
      <w:lvlText w:val="%3."/>
      <w:lvlJc w:val="right"/>
      <w:pPr>
        <w:ind w:left="2160" w:hanging="180"/>
      </w:pPr>
    </w:lvl>
    <w:lvl w:ilvl="3" w:tplc="27B81C18">
      <w:start w:val="1"/>
      <w:numFmt w:val="decimal"/>
      <w:lvlText w:val="%4."/>
      <w:lvlJc w:val="left"/>
      <w:pPr>
        <w:ind w:left="2880" w:hanging="360"/>
      </w:pPr>
    </w:lvl>
    <w:lvl w:ilvl="4" w:tplc="43D6B830">
      <w:start w:val="1"/>
      <w:numFmt w:val="lowerLetter"/>
      <w:lvlText w:val="%5."/>
      <w:lvlJc w:val="left"/>
      <w:pPr>
        <w:ind w:left="3600" w:hanging="360"/>
      </w:pPr>
    </w:lvl>
    <w:lvl w:ilvl="5" w:tplc="7A42C54C">
      <w:start w:val="1"/>
      <w:numFmt w:val="lowerRoman"/>
      <w:lvlText w:val="%6."/>
      <w:lvlJc w:val="right"/>
      <w:pPr>
        <w:ind w:left="4320" w:hanging="180"/>
      </w:pPr>
    </w:lvl>
    <w:lvl w:ilvl="6" w:tplc="A948E3C2">
      <w:start w:val="1"/>
      <w:numFmt w:val="decimal"/>
      <w:lvlText w:val="%7."/>
      <w:lvlJc w:val="left"/>
      <w:pPr>
        <w:ind w:left="5040" w:hanging="360"/>
      </w:pPr>
    </w:lvl>
    <w:lvl w:ilvl="7" w:tplc="22B26842">
      <w:start w:val="1"/>
      <w:numFmt w:val="lowerLetter"/>
      <w:lvlText w:val="%8."/>
      <w:lvlJc w:val="left"/>
      <w:pPr>
        <w:ind w:left="5760" w:hanging="360"/>
      </w:pPr>
    </w:lvl>
    <w:lvl w:ilvl="8" w:tplc="3332952E">
      <w:start w:val="1"/>
      <w:numFmt w:val="lowerRoman"/>
      <w:lvlText w:val="%9."/>
      <w:lvlJc w:val="right"/>
      <w:pPr>
        <w:ind w:left="6480" w:hanging="180"/>
      </w:pPr>
    </w:lvl>
  </w:abstractNum>
  <w:abstractNum w:abstractNumId="51" w15:restartNumberingAfterBreak="0">
    <w:nsid w:val="4BE67C3B"/>
    <w:multiLevelType w:val="hybridMultilevel"/>
    <w:tmpl w:val="29C03A04"/>
    <w:lvl w:ilvl="0" w:tplc="FFFFFFFF">
      <w:start w:val="1"/>
      <w:numFmt w:val="decimal"/>
      <w:lvlText w:val="%1."/>
      <w:lvlJc w:val="left"/>
      <w:pPr>
        <w:tabs>
          <w:tab w:val="num" w:pos="720"/>
        </w:tabs>
        <w:ind w:left="720" w:hanging="720"/>
      </w:pPr>
      <w:rPr>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D77DE0"/>
    <w:multiLevelType w:val="hybridMultilevel"/>
    <w:tmpl w:val="29C03A04"/>
    <w:lvl w:ilvl="0" w:tplc="FFFFFFFF">
      <w:start w:val="1"/>
      <w:numFmt w:val="decimal"/>
      <w:lvlText w:val="%1."/>
      <w:lvlJc w:val="left"/>
      <w:pPr>
        <w:tabs>
          <w:tab w:val="num" w:pos="720"/>
        </w:tabs>
        <w:ind w:left="720" w:hanging="720"/>
      </w:pPr>
      <w:rPr>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E46962"/>
    <w:multiLevelType w:val="hybridMultilevel"/>
    <w:tmpl w:val="D7DA6C78"/>
    <w:lvl w:ilvl="0" w:tplc="A3EE4CF6">
      <w:start w:val="2"/>
      <w:numFmt w:val="bullet"/>
      <w:lvlText w:val="–"/>
      <w:lvlJc w:val="left"/>
      <w:pPr>
        <w:tabs>
          <w:tab w:val="num" w:pos="1133"/>
        </w:tabs>
        <w:ind w:left="1173" w:hanging="323"/>
      </w:pPr>
      <w:rPr>
        <w:rFonts w:ascii="Coronet (W1)" w:eastAsia="Coronet (W1)" w:hAnsi="Coronet (W1)" w:cs="Coronet (W1)" w:hint="default"/>
      </w:rPr>
    </w:lvl>
    <w:lvl w:ilvl="1" w:tplc="0C090003">
      <w:start w:val="2"/>
      <w:numFmt w:val="lowerLetter"/>
      <w:lvlText w:val="%2."/>
      <w:lvlJc w:val="left"/>
      <w:pPr>
        <w:tabs>
          <w:tab w:val="num" w:pos="2253"/>
        </w:tabs>
        <w:ind w:left="2253" w:hanging="720"/>
      </w:pPr>
      <w:rPr>
        <w:rFonts w:ascii="Arial" w:hAnsi="Arial" w:hint="default"/>
        <w:b w:val="0"/>
        <w:i w:val="0"/>
        <w:sz w:val="22"/>
      </w:rPr>
    </w:lvl>
    <w:lvl w:ilvl="2" w:tplc="0C090005">
      <w:start w:val="1"/>
      <w:numFmt w:val="bullet"/>
      <w:lvlText w:val=""/>
      <w:lvlJc w:val="left"/>
      <w:pPr>
        <w:tabs>
          <w:tab w:val="num" w:pos="2613"/>
        </w:tabs>
        <w:ind w:left="2613" w:hanging="360"/>
      </w:pPr>
      <w:rPr>
        <w:rFonts w:ascii="Wingdings" w:hAnsi="Wingdings" w:hint="default"/>
      </w:rPr>
    </w:lvl>
    <w:lvl w:ilvl="3" w:tplc="0C090001">
      <w:start w:val="1"/>
      <w:numFmt w:val="decimal"/>
      <w:lvlText w:val="%4."/>
      <w:lvlJc w:val="left"/>
      <w:pPr>
        <w:tabs>
          <w:tab w:val="num" w:pos="3333"/>
        </w:tabs>
        <w:ind w:left="3333" w:hanging="360"/>
      </w:pPr>
      <w:rPr>
        <w:rFonts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54"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50285B6C"/>
    <w:multiLevelType w:val="hybridMultilevel"/>
    <w:tmpl w:val="934C75AE"/>
    <w:lvl w:ilvl="0" w:tplc="4D98331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1C01F0F"/>
    <w:multiLevelType w:val="hybridMultilevel"/>
    <w:tmpl w:val="EC08A4B4"/>
    <w:lvl w:ilvl="0" w:tplc="F830EB9E">
      <w:start w:val="1"/>
      <w:numFmt w:val="decimal"/>
      <w:lvlText w:val="(%1)"/>
      <w:lvlJc w:val="left"/>
      <w:pPr>
        <w:ind w:left="785" w:hanging="360"/>
      </w:pPr>
    </w:lvl>
    <w:lvl w:ilvl="1" w:tplc="CFE4EB44">
      <w:start w:val="1"/>
      <w:numFmt w:val="lowerLetter"/>
      <w:lvlText w:val="%2."/>
      <w:lvlJc w:val="left"/>
      <w:pPr>
        <w:ind w:left="1505" w:hanging="360"/>
      </w:pPr>
    </w:lvl>
    <w:lvl w:ilvl="2" w:tplc="3F6A2016">
      <w:start w:val="1"/>
      <w:numFmt w:val="lowerRoman"/>
      <w:lvlText w:val="%3."/>
      <w:lvlJc w:val="right"/>
      <w:pPr>
        <w:ind w:left="2225" w:hanging="180"/>
      </w:pPr>
    </w:lvl>
    <w:lvl w:ilvl="3" w:tplc="748A5B8C">
      <w:start w:val="1"/>
      <w:numFmt w:val="decimal"/>
      <w:lvlText w:val="%4."/>
      <w:lvlJc w:val="left"/>
      <w:pPr>
        <w:ind w:left="2945" w:hanging="360"/>
      </w:pPr>
    </w:lvl>
    <w:lvl w:ilvl="4" w:tplc="87B22628">
      <w:start w:val="1"/>
      <w:numFmt w:val="lowerLetter"/>
      <w:lvlText w:val="%5."/>
      <w:lvlJc w:val="left"/>
      <w:pPr>
        <w:ind w:left="3665" w:hanging="360"/>
      </w:pPr>
    </w:lvl>
    <w:lvl w:ilvl="5" w:tplc="32FC6052">
      <w:start w:val="1"/>
      <w:numFmt w:val="lowerRoman"/>
      <w:lvlText w:val="%6."/>
      <w:lvlJc w:val="right"/>
      <w:pPr>
        <w:ind w:left="4385" w:hanging="180"/>
      </w:pPr>
    </w:lvl>
    <w:lvl w:ilvl="6" w:tplc="BB064386">
      <w:start w:val="1"/>
      <w:numFmt w:val="decimal"/>
      <w:lvlText w:val="%7."/>
      <w:lvlJc w:val="left"/>
      <w:pPr>
        <w:ind w:left="5105" w:hanging="360"/>
      </w:pPr>
    </w:lvl>
    <w:lvl w:ilvl="7" w:tplc="C728E5CA">
      <w:start w:val="1"/>
      <w:numFmt w:val="lowerLetter"/>
      <w:lvlText w:val="%8."/>
      <w:lvlJc w:val="left"/>
      <w:pPr>
        <w:ind w:left="5825" w:hanging="360"/>
      </w:pPr>
    </w:lvl>
    <w:lvl w:ilvl="8" w:tplc="34E49F6A">
      <w:start w:val="1"/>
      <w:numFmt w:val="lowerRoman"/>
      <w:lvlText w:val="%9."/>
      <w:lvlJc w:val="right"/>
      <w:pPr>
        <w:ind w:left="6545" w:hanging="180"/>
      </w:pPr>
    </w:lvl>
  </w:abstractNum>
  <w:abstractNum w:abstractNumId="57" w15:restartNumberingAfterBreak="0">
    <w:nsid w:val="52135ADF"/>
    <w:multiLevelType w:val="hybridMultilevel"/>
    <w:tmpl w:val="0F2EAA14"/>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8" w15:restartNumberingAfterBreak="0">
    <w:nsid w:val="521E191A"/>
    <w:multiLevelType w:val="hybridMultilevel"/>
    <w:tmpl w:val="F9FE29B2"/>
    <w:lvl w:ilvl="0" w:tplc="F80A4A2A">
      <w:start w:val="1"/>
      <w:numFmt w:val="bullet"/>
      <w:lvlText w:val=""/>
      <w:lvlJc w:val="left"/>
      <w:pPr>
        <w:ind w:left="720" w:hanging="360"/>
      </w:pPr>
      <w:rPr>
        <w:rFonts w:ascii="Symbol" w:hAnsi="Symbol" w:hint="default"/>
      </w:rPr>
    </w:lvl>
    <w:lvl w:ilvl="1" w:tplc="A7887E26">
      <w:start w:val="1"/>
      <w:numFmt w:val="bullet"/>
      <w:lvlText w:val="–"/>
      <w:lvlJc w:val="left"/>
      <w:pPr>
        <w:ind w:left="1080" w:hanging="360"/>
      </w:pPr>
      <w:rPr>
        <w:rFonts w:ascii="Coronet (W1)" w:hAnsi="Coronet (W1)" w:hint="default"/>
      </w:rPr>
    </w:lvl>
    <w:lvl w:ilvl="2" w:tplc="E65E37CC">
      <w:start w:val="1"/>
      <w:numFmt w:val="bullet"/>
      <w:lvlText w:val=""/>
      <w:lvlJc w:val="left"/>
      <w:pPr>
        <w:ind w:left="2160" w:hanging="360"/>
      </w:pPr>
      <w:rPr>
        <w:rFonts w:ascii="Wingdings" w:hAnsi="Wingdings" w:hint="default"/>
      </w:rPr>
    </w:lvl>
    <w:lvl w:ilvl="3" w:tplc="0F2EC45A">
      <w:start w:val="1"/>
      <w:numFmt w:val="bullet"/>
      <w:lvlText w:val=""/>
      <w:lvlJc w:val="left"/>
      <w:pPr>
        <w:ind w:left="2880" w:hanging="360"/>
      </w:pPr>
      <w:rPr>
        <w:rFonts w:ascii="Symbol" w:hAnsi="Symbol" w:hint="default"/>
      </w:rPr>
    </w:lvl>
    <w:lvl w:ilvl="4" w:tplc="24BEF698">
      <w:start w:val="1"/>
      <w:numFmt w:val="bullet"/>
      <w:lvlText w:val="o"/>
      <w:lvlJc w:val="left"/>
      <w:pPr>
        <w:ind w:left="3600" w:hanging="360"/>
      </w:pPr>
      <w:rPr>
        <w:rFonts w:ascii="Courier New" w:hAnsi="Courier New" w:hint="default"/>
      </w:rPr>
    </w:lvl>
    <w:lvl w:ilvl="5" w:tplc="E47E3C0A">
      <w:start w:val="1"/>
      <w:numFmt w:val="bullet"/>
      <w:lvlText w:val=""/>
      <w:lvlJc w:val="left"/>
      <w:pPr>
        <w:ind w:left="4320" w:hanging="360"/>
      </w:pPr>
      <w:rPr>
        <w:rFonts w:ascii="Wingdings" w:hAnsi="Wingdings" w:hint="default"/>
      </w:rPr>
    </w:lvl>
    <w:lvl w:ilvl="6" w:tplc="97865A54">
      <w:start w:val="1"/>
      <w:numFmt w:val="bullet"/>
      <w:lvlText w:val=""/>
      <w:lvlJc w:val="left"/>
      <w:pPr>
        <w:ind w:left="5040" w:hanging="360"/>
      </w:pPr>
      <w:rPr>
        <w:rFonts w:ascii="Symbol" w:hAnsi="Symbol" w:hint="default"/>
      </w:rPr>
    </w:lvl>
    <w:lvl w:ilvl="7" w:tplc="D548E706">
      <w:start w:val="1"/>
      <w:numFmt w:val="bullet"/>
      <w:lvlText w:val="o"/>
      <w:lvlJc w:val="left"/>
      <w:pPr>
        <w:ind w:left="5760" w:hanging="360"/>
      </w:pPr>
      <w:rPr>
        <w:rFonts w:ascii="Courier New" w:hAnsi="Courier New" w:hint="default"/>
      </w:rPr>
    </w:lvl>
    <w:lvl w:ilvl="8" w:tplc="71BC9D86">
      <w:start w:val="1"/>
      <w:numFmt w:val="bullet"/>
      <w:lvlText w:val=""/>
      <w:lvlJc w:val="left"/>
      <w:pPr>
        <w:ind w:left="6480" w:hanging="360"/>
      </w:pPr>
      <w:rPr>
        <w:rFonts w:ascii="Wingdings" w:hAnsi="Wingdings" w:hint="default"/>
      </w:rPr>
    </w:lvl>
  </w:abstractNum>
  <w:abstractNum w:abstractNumId="59"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60" w15:restartNumberingAfterBreak="0">
    <w:nsid w:val="5953074D"/>
    <w:multiLevelType w:val="hybridMultilevel"/>
    <w:tmpl w:val="2A905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6D05FB"/>
    <w:multiLevelType w:val="hybridMultilevel"/>
    <w:tmpl w:val="1A28C372"/>
    <w:lvl w:ilvl="0" w:tplc="43D2273E">
      <w:start w:val="1"/>
      <w:numFmt w:val="decimal"/>
      <w:pStyle w:val="Body"/>
      <w:lvlText w:val="%1."/>
      <w:lvlJc w:val="left"/>
      <w:pPr>
        <w:ind w:left="360" w:hanging="360"/>
      </w:pPr>
      <w:rPr>
        <w:rFonts w:ascii="Arial" w:hAnsi="Arial" w:hint="default"/>
        <w:b w:val="0"/>
        <w:i w:val="0"/>
        <w:sz w:val="24"/>
      </w:rPr>
    </w:lvl>
    <w:lvl w:ilvl="1" w:tplc="0C090019" w:tentative="1">
      <w:start w:val="1"/>
      <w:numFmt w:val="lowerLetter"/>
      <w:lvlText w:val="%2."/>
      <w:lvlJc w:val="left"/>
      <w:pPr>
        <w:ind w:left="-253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1090" w:hanging="360"/>
      </w:pPr>
    </w:lvl>
    <w:lvl w:ilvl="4" w:tplc="0C090019" w:tentative="1">
      <w:start w:val="1"/>
      <w:numFmt w:val="lowerLetter"/>
      <w:lvlText w:val="%5."/>
      <w:lvlJc w:val="left"/>
      <w:pPr>
        <w:ind w:left="-370" w:hanging="360"/>
      </w:pPr>
    </w:lvl>
    <w:lvl w:ilvl="5" w:tplc="0C09001B" w:tentative="1">
      <w:start w:val="1"/>
      <w:numFmt w:val="lowerRoman"/>
      <w:lvlText w:val="%6."/>
      <w:lvlJc w:val="right"/>
      <w:pPr>
        <w:ind w:left="350" w:hanging="180"/>
      </w:pPr>
    </w:lvl>
    <w:lvl w:ilvl="6" w:tplc="0C09000F" w:tentative="1">
      <w:start w:val="1"/>
      <w:numFmt w:val="decimal"/>
      <w:lvlText w:val="%7."/>
      <w:lvlJc w:val="left"/>
      <w:pPr>
        <w:ind w:left="1070" w:hanging="360"/>
      </w:pPr>
    </w:lvl>
    <w:lvl w:ilvl="7" w:tplc="0C090019" w:tentative="1">
      <w:start w:val="1"/>
      <w:numFmt w:val="lowerLetter"/>
      <w:lvlText w:val="%8."/>
      <w:lvlJc w:val="left"/>
      <w:pPr>
        <w:ind w:left="1790" w:hanging="360"/>
      </w:pPr>
    </w:lvl>
    <w:lvl w:ilvl="8" w:tplc="0C09001B" w:tentative="1">
      <w:start w:val="1"/>
      <w:numFmt w:val="lowerRoman"/>
      <w:lvlText w:val="%9."/>
      <w:lvlJc w:val="right"/>
      <w:pPr>
        <w:ind w:left="2510" w:hanging="180"/>
      </w:pPr>
    </w:lvl>
  </w:abstractNum>
  <w:abstractNum w:abstractNumId="62" w15:restartNumberingAfterBreak="0">
    <w:nsid w:val="5E037239"/>
    <w:multiLevelType w:val="hybridMultilevel"/>
    <w:tmpl w:val="DC8C6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64" w15:restartNumberingAfterBreak="0">
    <w:nsid w:val="62312B81"/>
    <w:multiLevelType w:val="hybridMultilevel"/>
    <w:tmpl w:val="137AA87C"/>
    <w:lvl w:ilvl="0" w:tplc="18747572">
      <w:start w:val="1"/>
      <w:numFmt w:val="decimal"/>
      <w:lvlText w:val="%1."/>
      <w:lvlJc w:val="left"/>
      <w:pPr>
        <w:ind w:left="360" w:hanging="360"/>
      </w:pPr>
      <w:rPr>
        <w:i w:val="0"/>
        <w:sz w:val="22"/>
        <w:szCs w:val="22"/>
      </w:rPr>
    </w:lvl>
    <w:lvl w:ilvl="1" w:tplc="E5EE698C">
      <w:start w:val="1"/>
      <w:numFmt w:val="bullet"/>
      <w:lvlText w:val="–"/>
      <w:lvlJc w:val="left"/>
      <w:pPr>
        <w:ind w:left="1080" w:hanging="360"/>
      </w:pPr>
      <w:rPr>
        <w:rFonts w:ascii="Coronet (W1)" w:hAnsi="Coronet (W1)" w:hint="default"/>
        <w:sz w:val="24"/>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75335F3"/>
    <w:multiLevelType w:val="hybridMultilevel"/>
    <w:tmpl w:val="DC8EBC44"/>
    <w:lvl w:ilvl="0" w:tplc="48CE951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7F397CA"/>
    <w:multiLevelType w:val="hybridMultilevel"/>
    <w:tmpl w:val="92C04482"/>
    <w:lvl w:ilvl="0" w:tplc="B10A7038">
      <w:start w:val="83"/>
      <w:numFmt w:val="decimal"/>
      <w:lvlText w:val="%1."/>
      <w:lvlJc w:val="left"/>
      <w:pPr>
        <w:ind w:left="720" w:hanging="720"/>
      </w:pPr>
      <w:rPr>
        <w:rFonts w:ascii="Calibri" w:hAnsi="Calibri" w:hint="default"/>
      </w:rPr>
    </w:lvl>
    <w:lvl w:ilvl="1" w:tplc="A2FE81FE">
      <w:start w:val="1"/>
      <w:numFmt w:val="lowerLetter"/>
      <w:lvlText w:val="%2."/>
      <w:lvlJc w:val="left"/>
      <w:pPr>
        <w:ind w:left="1440" w:hanging="360"/>
      </w:pPr>
    </w:lvl>
    <w:lvl w:ilvl="2" w:tplc="8BC6D07A">
      <w:start w:val="1"/>
      <w:numFmt w:val="lowerRoman"/>
      <w:lvlText w:val="%3."/>
      <w:lvlJc w:val="right"/>
      <w:pPr>
        <w:ind w:left="2160" w:hanging="180"/>
      </w:pPr>
    </w:lvl>
    <w:lvl w:ilvl="3" w:tplc="9514CA3C">
      <w:start w:val="1"/>
      <w:numFmt w:val="decimal"/>
      <w:lvlText w:val="%4."/>
      <w:lvlJc w:val="left"/>
      <w:pPr>
        <w:ind w:left="2880" w:hanging="360"/>
      </w:pPr>
    </w:lvl>
    <w:lvl w:ilvl="4" w:tplc="12A47F6A">
      <w:start w:val="1"/>
      <w:numFmt w:val="lowerLetter"/>
      <w:lvlText w:val="%5."/>
      <w:lvlJc w:val="left"/>
      <w:pPr>
        <w:ind w:left="3600" w:hanging="360"/>
      </w:pPr>
    </w:lvl>
    <w:lvl w:ilvl="5" w:tplc="9E52342E">
      <w:start w:val="1"/>
      <w:numFmt w:val="lowerRoman"/>
      <w:lvlText w:val="%6."/>
      <w:lvlJc w:val="right"/>
      <w:pPr>
        <w:ind w:left="4320" w:hanging="180"/>
      </w:pPr>
    </w:lvl>
    <w:lvl w:ilvl="6" w:tplc="13FAB57E">
      <w:start w:val="1"/>
      <w:numFmt w:val="decimal"/>
      <w:lvlText w:val="%7."/>
      <w:lvlJc w:val="left"/>
      <w:pPr>
        <w:ind w:left="5040" w:hanging="360"/>
      </w:pPr>
    </w:lvl>
    <w:lvl w:ilvl="7" w:tplc="39A28522">
      <w:start w:val="1"/>
      <w:numFmt w:val="lowerLetter"/>
      <w:lvlText w:val="%8."/>
      <w:lvlJc w:val="left"/>
      <w:pPr>
        <w:ind w:left="5760" w:hanging="360"/>
      </w:pPr>
    </w:lvl>
    <w:lvl w:ilvl="8" w:tplc="F8CA279E">
      <w:start w:val="1"/>
      <w:numFmt w:val="lowerRoman"/>
      <w:lvlText w:val="%9."/>
      <w:lvlJc w:val="right"/>
      <w:pPr>
        <w:ind w:left="6480" w:hanging="180"/>
      </w:pPr>
    </w:lvl>
  </w:abstractNum>
  <w:abstractNum w:abstractNumId="67" w15:restartNumberingAfterBreak="0">
    <w:nsid w:val="69A046C2"/>
    <w:multiLevelType w:val="hybridMultilevel"/>
    <w:tmpl w:val="990A8384"/>
    <w:lvl w:ilvl="0" w:tplc="DAEAECBC">
      <w:start w:val="2"/>
      <w:numFmt w:val="decimal"/>
      <w:lvlText w:val="%1."/>
      <w:lvlJc w:val="left"/>
      <w:pPr>
        <w:ind w:left="720" w:hanging="360"/>
      </w:pPr>
      <w:rPr>
        <w:rFonts w:ascii="Calibri" w:hAnsi="Calibri" w:hint="default"/>
      </w:rPr>
    </w:lvl>
    <w:lvl w:ilvl="1" w:tplc="A774BA18">
      <w:start w:val="1"/>
      <w:numFmt w:val="lowerLetter"/>
      <w:lvlText w:val="%2."/>
      <w:lvlJc w:val="left"/>
      <w:pPr>
        <w:ind w:left="1440" w:hanging="360"/>
      </w:pPr>
    </w:lvl>
    <w:lvl w:ilvl="2" w:tplc="B1A6AE6A">
      <w:start w:val="1"/>
      <w:numFmt w:val="lowerRoman"/>
      <w:lvlText w:val="%3."/>
      <w:lvlJc w:val="right"/>
      <w:pPr>
        <w:ind w:left="2160" w:hanging="180"/>
      </w:pPr>
    </w:lvl>
    <w:lvl w:ilvl="3" w:tplc="A70E3ACC">
      <w:start w:val="1"/>
      <w:numFmt w:val="decimal"/>
      <w:lvlText w:val="%4."/>
      <w:lvlJc w:val="left"/>
      <w:pPr>
        <w:ind w:left="2880" w:hanging="360"/>
      </w:pPr>
    </w:lvl>
    <w:lvl w:ilvl="4" w:tplc="F090642E">
      <w:start w:val="1"/>
      <w:numFmt w:val="lowerLetter"/>
      <w:lvlText w:val="%5."/>
      <w:lvlJc w:val="left"/>
      <w:pPr>
        <w:ind w:left="3600" w:hanging="360"/>
      </w:pPr>
    </w:lvl>
    <w:lvl w:ilvl="5" w:tplc="BE486A0C">
      <w:start w:val="1"/>
      <w:numFmt w:val="lowerRoman"/>
      <w:lvlText w:val="%6."/>
      <w:lvlJc w:val="right"/>
      <w:pPr>
        <w:ind w:left="4320" w:hanging="180"/>
      </w:pPr>
    </w:lvl>
    <w:lvl w:ilvl="6" w:tplc="D4848C0A">
      <w:start w:val="1"/>
      <w:numFmt w:val="decimal"/>
      <w:lvlText w:val="%7."/>
      <w:lvlJc w:val="left"/>
      <w:pPr>
        <w:ind w:left="5040" w:hanging="360"/>
      </w:pPr>
    </w:lvl>
    <w:lvl w:ilvl="7" w:tplc="03A4FF10">
      <w:start w:val="1"/>
      <w:numFmt w:val="lowerLetter"/>
      <w:lvlText w:val="%8."/>
      <w:lvlJc w:val="left"/>
      <w:pPr>
        <w:ind w:left="5760" w:hanging="360"/>
      </w:pPr>
    </w:lvl>
    <w:lvl w:ilvl="8" w:tplc="D2048F26">
      <w:start w:val="1"/>
      <w:numFmt w:val="lowerRoman"/>
      <w:lvlText w:val="%9."/>
      <w:lvlJc w:val="right"/>
      <w:pPr>
        <w:ind w:left="6480" w:hanging="180"/>
      </w:pPr>
    </w:lvl>
  </w:abstractNum>
  <w:abstractNum w:abstractNumId="68" w15:restartNumberingAfterBreak="0">
    <w:nsid w:val="6C8A35F7"/>
    <w:multiLevelType w:val="hybridMultilevel"/>
    <w:tmpl w:val="068EE806"/>
    <w:lvl w:ilvl="0" w:tplc="A3EE4CF6">
      <w:start w:val="2"/>
      <w:numFmt w:val="bullet"/>
      <w:lvlText w:val="–"/>
      <w:lvlJc w:val="left"/>
      <w:pPr>
        <w:tabs>
          <w:tab w:val="num" w:pos="720"/>
        </w:tabs>
        <w:ind w:left="720" w:hanging="720"/>
      </w:pPr>
      <w:rPr>
        <w:rFonts w:ascii="Coronet (W1)" w:eastAsia="Coronet (W1)" w:hAnsi="Coronet (W1)" w:cs="Coronet (W1)" w:hint="default"/>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F1A0C0B"/>
    <w:multiLevelType w:val="hybridMultilevel"/>
    <w:tmpl w:val="62721164"/>
    <w:name w:val="AGSHL"/>
    <w:lvl w:ilvl="0" w:tplc="74B01554">
      <w:start w:val="1"/>
      <w:numFmt w:val="decimal"/>
      <w:lvlText w:val="%1."/>
      <w:lvlJc w:val="left"/>
      <w:pPr>
        <w:tabs>
          <w:tab w:val="num" w:pos="360"/>
        </w:tabs>
        <w:ind w:left="360" w:hanging="360"/>
      </w:pPr>
      <w:rPr>
        <w:rFonts w:hint="default"/>
        <w:sz w:val="22"/>
        <w:szCs w:val="22"/>
      </w:rPr>
    </w:lvl>
    <w:lvl w:ilvl="1" w:tplc="95A43DB2" w:tentative="1">
      <w:start w:val="1"/>
      <w:numFmt w:val="lowerLetter"/>
      <w:lvlText w:val="%2."/>
      <w:lvlJc w:val="left"/>
      <w:pPr>
        <w:tabs>
          <w:tab w:val="num" w:pos="1440"/>
        </w:tabs>
        <w:ind w:left="1440" w:hanging="360"/>
      </w:pPr>
    </w:lvl>
    <w:lvl w:ilvl="2" w:tplc="69762CCA" w:tentative="1">
      <w:start w:val="1"/>
      <w:numFmt w:val="lowerRoman"/>
      <w:lvlText w:val="%3."/>
      <w:lvlJc w:val="right"/>
      <w:pPr>
        <w:tabs>
          <w:tab w:val="num" w:pos="2160"/>
        </w:tabs>
        <w:ind w:left="2160" w:hanging="180"/>
      </w:pPr>
    </w:lvl>
    <w:lvl w:ilvl="3" w:tplc="9B5CA840" w:tentative="1">
      <w:start w:val="1"/>
      <w:numFmt w:val="decimal"/>
      <w:lvlText w:val="%4."/>
      <w:lvlJc w:val="left"/>
      <w:pPr>
        <w:tabs>
          <w:tab w:val="num" w:pos="2880"/>
        </w:tabs>
        <w:ind w:left="2880" w:hanging="360"/>
      </w:pPr>
    </w:lvl>
    <w:lvl w:ilvl="4" w:tplc="27BCB9C4" w:tentative="1">
      <w:start w:val="1"/>
      <w:numFmt w:val="lowerLetter"/>
      <w:lvlText w:val="%5."/>
      <w:lvlJc w:val="left"/>
      <w:pPr>
        <w:tabs>
          <w:tab w:val="num" w:pos="3600"/>
        </w:tabs>
        <w:ind w:left="3600" w:hanging="360"/>
      </w:pPr>
    </w:lvl>
    <w:lvl w:ilvl="5" w:tplc="169242C4" w:tentative="1">
      <w:start w:val="1"/>
      <w:numFmt w:val="lowerRoman"/>
      <w:lvlText w:val="%6."/>
      <w:lvlJc w:val="right"/>
      <w:pPr>
        <w:tabs>
          <w:tab w:val="num" w:pos="4320"/>
        </w:tabs>
        <w:ind w:left="4320" w:hanging="180"/>
      </w:pPr>
    </w:lvl>
    <w:lvl w:ilvl="6" w:tplc="E912E64E" w:tentative="1">
      <w:start w:val="1"/>
      <w:numFmt w:val="decimal"/>
      <w:lvlText w:val="%7."/>
      <w:lvlJc w:val="left"/>
      <w:pPr>
        <w:tabs>
          <w:tab w:val="num" w:pos="5040"/>
        </w:tabs>
        <w:ind w:left="5040" w:hanging="360"/>
      </w:pPr>
    </w:lvl>
    <w:lvl w:ilvl="7" w:tplc="E24CFC4C" w:tentative="1">
      <w:start w:val="1"/>
      <w:numFmt w:val="lowerLetter"/>
      <w:lvlText w:val="%8."/>
      <w:lvlJc w:val="left"/>
      <w:pPr>
        <w:tabs>
          <w:tab w:val="num" w:pos="5760"/>
        </w:tabs>
        <w:ind w:left="5760" w:hanging="360"/>
      </w:pPr>
    </w:lvl>
    <w:lvl w:ilvl="8" w:tplc="750A8B96" w:tentative="1">
      <w:start w:val="1"/>
      <w:numFmt w:val="lowerRoman"/>
      <w:lvlText w:val="%9."/>
      <w:lvlJc w:val="right"/>
      <w:pPr>
        <w:tabs>
          <w:tab w:val="num" w:pos="6480"/>
        </w:tabs>
        <w:ind w:left="6480" w:hanging="180"/>
      </w:pPr>
    </w:lvl>
  </w:abstractNum>
  <w:abstractNum w:abstractNumId="70" w15:restartNumberingAfterBreak="0">
    <w:nsid w:val="724D3393"/>
    <w:multiLevelType w:val="hybridMultilevel"/>
    <w:tmpl w:val="9D86CA68"/>
    <w:lvl w:ilvl="0" w:tplc="A3EE4CF6">
      <w:start w:val="2"/>
      <w:numFmt w:val="bullet"/>
      <w:lvlText w:val="–"/>
      <w:lvlJc w:val="left"/>
      <w:pPr>
        <w:ind w:left="1996" w:hanging="360"/>
      </w:pPr>
      <w:rPr>
        <w:rFonts w:ascii="Coronet (W1)" w:eastAsia="Coronet (W1)" w:hAnsi="Coronet (W1)" w:cs="Coronet (W1)"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1" w15:restartNumberingAfterBreak="0">
    <w:nsid w:val="74720639"/>
    <w:multiLevelType w:val="multilevel"/>
    <w:tmpl w:val="B16CF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73" w15:restartNumberingAfterBreak="0">
    <w:nsid w:val="78343342"/>
    <w:multiLevelType w:val="hybridMultilevel"/>
    <w:tmpl w:val="357AF946"/>
    <w:lvl w:ilvl="0" w:tplc="FFFFFFFF">
      <w:start w:val="1"/>
      <w:numFmt w:val="decimal"/>
      <w:lvlText w:val="%1."/>
      <w:lvlJc w:val="left"/>
      <w:pPr>
        <w:tabs>
          <w:tab w:val="num" w:pos="720"/>
        </w:tabs>
        <w:ind w:left="720" w:hanging="720"/>
      </w:pPr>
      <w:rPr>
        <w:b w:val="0"/>
        <w:i w:val="0"/>
        <w:sz w:val="22"/>
        <w:szCs w:val="22"/>
      </w:rPr>
    </w:lvl>
    <w:lvl w:ilvl="1" w:tplc="FFFFFFFF">
      <w:start w:val="1"/>
      <w:numFmt w:val="lowerLetter"/>
      <w:lvlText w:val="%2."/>
      <w:lvlJc w:val="left"/>
      <w:pPr>
        <w:ind w:left="1636" w:hanging="360"/>
      </w:p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rFonts w:ascii="Arial" w:hAnsi="Arial"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DD1D47"/>
    <w:multiLevelType w:val="hybridMultilevel"/>
    <w:tmpl w:val="ACACE59C"/>
    <w:name w:val="AGSTBDash"/>
    <w:lvl w:ilvl="0" w:tplc="89E0D1D8">
      <w:start w:val="1"/>
      <w:numFmt w:val="bullet"/>
      <w:lvlText w:val="–"/>
      <w:lvlJc w:val="left"/>
      <w:pPr>
        <w:tabs>
          <w:tab w:val="num" w:pos="1440"/>
        </w:tabs>
        <w:ind w:left="1440" w:hanging="360"/>
      </w:pPr>
      <w:rPr>
        <w:rFonts w:ascii="Coronet (W1)" w:hAnsi="Coronet (W1)" w:hint="default"/>
        <w:sz w:val="24"/>
      </w:rPr>
    </w:lvl>
    <w:lvl w:ilvl="1" w:tplc="04FEBDC0" w:tentative="1">
      <w:start w:val="1"/>
      <w:numFmt w:val="bullet"/>
      <w:lvlText w:val="o"/>
      <w:lvlJc w:val="left"/>
      <w:pPr>
        <w:tabs>
          <w:tab w:val="num" w:pos="2123"/>
        </w:tabs>
        <w:ind w:left="2123" w:hanging="360"/>
      </w:pPr>
      <w:rPr>
        <w:rFonts w:ascii="Courier New" w:hAnsi="Courier New" w:cs="Courier New" w:hint="default"/>
      </w:rPr>
    </w:lvl>
    <w:lvl w:ilvl="2" w:tplc="EF287F68" w:tentative="1">
      <w:start w:val="1"/>
      <w:numFmt w:val="bullet"/>
      <w:lvlText w:val=""/>
      <w:lvlJc w:val="left"/>
      <w:pPr>
        <w:tabs>
          <w:tab w:val="num" w:pos="2843"/>
        </w:tabs>
        <w:ind w:left="2843" w:hanging="360"/>
      </w:pPr>
      <w:rPr>
        <w:rFonts w:ascii="Wingdings" w:hAnsi="Wingdings" w:hint="default"/>
      </w:rPr>
    </w:lvl>
    <w:lvl w:ilvl="3" w:tplc="3724B33C" w:tentative="1">
      <w:start w:val="1"/>
      <w:numFmt w:val="bullet"/>
      <w:lvlText w:val=""/>
      <w:lvlJc w:val="left"/>
      <w:pPr>
        <w:tabs>
          <w:tab w:val="num" w:pos="3563"/>
        </w:tabs>
        <w:ind w:left="3563" w:hanging="360"/>
      </w:pPr>
      <w:rPr>
        <w:rFonts w:ascii="Symbol" w:hAnsi="Symbol" w:hint="default"/>
      </w:rPr>
    </w:lvl>
    <w:lvl w:ilvl="4" w:tplc="72CA0C26" w:tentative="1">
      <w:start w:val="1"/>
      <w:numFmt w:val="bullet"/>
      <w:lvlText w:val="o"/>
      <w:lvlJc w:val="left"/>
      <w:pPr>
        <w:tabs>
          <w:tab w:val="num" w:pos="4283"/>
        </w:tabs>
        <w:ind w:left="4283" w:hanging="360"/>
      </w:pPr>
      <w:rPr>
        <w:rFonts w:ascii="Courier New" w:hAnsi="Courier New" w:cs="Courier New" w:hint="default"/>
      </w:rPr>
    </w:lvl>
    <w:lvl w:ilvl="5" w:tplc="54FA895E" w:tentative="1">
      <w:start w:val="1"/>
      <w:numFmt w:val="bullet"/>
      <w:lvlText w:val=""/>
      <w:lvlJc w:val="left"/>
      <w:pPr>
        <w:tabs>
          <w:tab w:val="num" w:pos="5003"/>
        </w:tabs>
        <w:ind w:left="5003" w:hanging="360"/>
      </w:pPr>
      <w:rPr>
        <w:rFonts w:ascii="Wingdings" w:hAnsi="Wingdings" w:hint="default"/>
      </w:rPr>
    </w:lvl>
    <w:lvl w:ilvl="6" w:tplc="76C609C2" w:tentative="1">
      <w:start w:val="1"/>
      <w:numFmt w:val="bullet"/>
      <w:lvlText w:val=""/>
      <w:lvlJc w:val="left"/>
      <w:pPr>
        <w:tabs>
          <w:tab w:val="num" w:pos="5723"/>
        </w:tabs>
        <w:ind w:left="5723" w:hanging="360"/>
      </w:pPr>
      <w:rPr>
        <w:rFonts w:ascii="Symbol" w:hAnsi="Symbol" w:hint="default"/>
      </w:rPr>
    </w:lvl>
    <w:lvl w:ilvl="7" w:tplc="ABE4D366" w:tentative="1">
      <w:start w:val="1"/>
      <w:numFmt w:val="bullet"/>
      <w:lvlText w:val="o"/>
      <w:lvlJc w:val="left"/>
      <w:pPr>
        <w:tabs>
          <w:tab w:val="num" w:pos="6443"/>
        </w:tabs>
        <w:ind w:left="6443" w:hanging="360"/>
      </w:pPr>
      <w:rPr>
        <w:rFonts w:ascii="Courier New" w:hAnsi="Courier New" w:cs="Courier New" w:hint="default"/>
      </w:rPr>
    </w:lvl>
    <w:lvl w:ilvl="8" w:tplc="8F82E44C" w:tentative="1">
      <w:start w:val="1"/>
      <w:numFmt w:val="bullet"/>
      <w:lvlText w:val=""/>
      <w:lvlJc w:val="left"/>
      <w:pPr>
        <w:tabs>
          <w:tab w:val="num" w:pos="7163"/>
        </w:tabs>
        <w:ind w:left="7163" w:hanging="360"/>
      </w:pPr>
      <w:rPr>
        <w:rFonts w:ascii="Wingdings" w:hAnsi="Wingdings" w:hint="default"/>
      </w:rPr>
    </w:lvl>
  </w:abstractNum>
  <w:abstractNum w:abstractNumId="75"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7CC30FE3"/>
    <w:multiLevelType w:val="hybridMultilevel"/>
    <w:tmpl w:val="43245294"/>
    <w:lvl w:ilvl="0" w:tplc="A3EE4CF6">
      <w:start w:val="2"/>
      <w:numFmt w:val="bullet"/>
      <w:lvlText w:val="–"/>
      <w:lvlJc w:val="left"/>
      <w:pPr>
        <w:ind w:left="1570" w:hanging="360"/>
      </w:pPr>
      <w:rPr>
        <w:rFonts w:ascii="Coronet (W1)" w:eastAsia="Coronet (W1)" w:hAnsi="Coronet (W1)" w:cs="Coronet (W1)" w:hint="default"/>
        <w:sz w:val="22"/>
        <w:szCs w:val="22"/>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7" w15:restartNumberingAfterBreak="0">
    <w:nsid w:val="7EFABC84"/>
    <w:multiLevelType w:val="hybridMultilevel"/>
    <w:tmpl w:val="1AF44560"/>
    <w:lvl w:ilvl="0" w:tplc="C1A8E19C">
      <w:start w:val="1"/>
      <w:numFmt w:val="decimal"/>
      <w:lvlText w:val="%1."/>
      <w:lvlJc w:val="left"/>
      <w:pPr>
        <w:ind w:left="720" w:hanging="360"/>
      </w:pPr>
    </w:lvl>
    <w:lvl w:ilvl="1" w:tplc="AE28C788">
      <w:start w:val="1"/>
      <w:numFmt w:val="decimal"/>
      <w:lvlText w:val="%2."/>
      <w:lvlJc w:val="left"/>
      <w:pPr>
        <w:ind w:left="1440" w:hanging="360"/>
      </w:pPr>
    </w:lvl>
    <w:lvl w:ilvl="2" w:tplc="5450F01C">
      <w:start w:val="1"/>
      <w:numFmt w:val="lowerRoman"/>
      <w:lvlText w:val="%3."/>
      <w:lvlJc w:val="right"/>
      <w:pPr>
        <w:ind w:left="2160" w:hanging="180"/>
      </w:pPr>
    </w:lvl>
    <w:lvl w:ilvl="3" w:tplc="28BADD9A">
      <w:start w:val="1"/>
      <w:numFmt w:val="decimal"/>
      <w:lvlText w:val="%4."/>
      <w:lvlJc w:val="left"/>
      <w:pPr>
        <w:ind w:left="2880" w:hanging="360"/>
      </w:pPr>
    </w:lvl>
    <w:lvl w:ilvl="4" w:tplc="FE28E4C6">
      <w:start w:val="1"/>
      <w:numFmt w:val="lowerLetter"/>
      <w:lvlText w:val="%5."/>
      <w:lvlJc w:val="left"/>
      <w:pPr>
        <w:ind w:left="3600" w:hanging="360"/>
      </w:pPr>
    </w:lvl>
    <w:lvl w:ilvl="5" w:tplc="25A6990A">
      <w:start w:val="1"/>
      <w:numFmt w:val="lowerRoman"/>
      <w:lvlText w:val="%6."/>
      <w:lvlJc w:val="right"/>
      <w:pPr>
        <w:ind w:left="4320" w:hanging="180"/>
      </w:pPr>
    </w:lvl>
    <w:lvl w:ilvl="6" w:tplc="916A0E98">
      <w:start w:val="1"/>
      <w:numFmt w:val="decimal"/>
      <w:lvlText w:val="%7."/>
      <w:lvlJc w:val="left"/>
      <w:pPr>
        <w:ind w:left="5040" w:hanging="360"/>
      </w:pPr>
    </w:lvl>
    <w:lvl w:ilvl="7" w:tplc="614ACC00">
      <w:start w:val="1"/>
      <w:numFmt w:val="lowerLetter"/>
      <w:lvlText w:val="%8."/>
      <w:lvlJc w:val="left"/>
      <w:pPr>
        <w:ind w:left="5760" w:hanging="360"/>
      </w:pPr>
    </w:lvl>
    <w:lvl w:ilvl="8" w:tplc="CA802608">
      <w:start w:val="1"/>
      <w:numFmt w:val="lowerRoman"/>
      <w:lvlText w:val="%9."/>
      <w:lvlJc w:val="right"/>
      <w:pPr>
        <w:ind w:left="6480" w:hanging="180"/>
      </w:pPr>
    </w:lvl>
  </w:abstractNum>
  <w:abstractNum w:abstractNumId="78" w15:restartNumberingAfterBreak="0">
    <w:nsid w:val="7F9C5CB3"/>
    <w:multiLevelType w:val="hybridMultilevel"/>
    <w:tmpl w:val="E06C3044"/>
    <w:lvl w:ilvl="0" w:tplc="5D4EE7F6">
      <w:start w:val="1"/>
      <w:numFmt w:val="lowerRoman"/>
      <w:lvlText w:val="(%1)"/>
      <w:lvlJc w:val="left"/>
      <w:pPr>
        <w:ind w:left="2420" w:hanging="72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num w:numId="1">
    <w:abstractNumId w:val="56"/>
  </w:num>
  <w:num w:numId="2">
    <w:abstractNumId w:val="50"/>
  </w:num>
  <w:num w:numId="3">
    <w:abstractNumId w:val="17"/>
  </w:num>
  <w:num w:numId="4">
    <w:abstractNumId w:val="66"/>
  </w:num>
  <w:num w:numId="5">
    <w:abstractNumId w:val="20"/>
  </w:num>
  <w:num w:numId="6">
    <w:abstractNumId w:val="58"/>
  </w:num>
  <w:num w:numId="7">
    <w:abstractNumId w:val="45"/>
  </w:num>
  <w:num w:numId="8">
    <w:abstractNumId w:val="10"/>
  </w:num>
  <w:num w:numId="9">
    <w:abstractNumId w:val="77"/>
  </w:num>
  <w:num w:numId="10">
    <w:abstractNumId w:val="67"/>
  </w:num>
  <w:num w:numId="11">
    <w:abstractNumId w:val="0"/>
  </w:num>
  <w:num w:numId="12">
    <w:abstractNumId w:val="28"/>
  </w:num>
  <w:num w:numId="13">
    <w:abstractNumId w:val="30"/>
  </w:num>
  <w:num w:numId="14">
    <w:abstractNumId w:val="32"/>
  </w:num>
  <w:num w:numId="15">
    <w:abstractNumId w:val="26"/>
  </w:num>
  <w:num w:numId="16">
    <w:abstractNumId w:val="3"/>
  </w:num>
  <w:num w:numId="17">
    <w:abstractNumId w:val="12"/>
  </w:num>
  <w:num w:numId="18">
    <w:abstractNumId w:val="37"/>
  </w:num>
  <w:num w:numId="19">
    <w:abstractNumId w:val="4"/>
  </w:num>
  <w:num w:numId="20">
    <w:abstractNumId w:val="24"/>
  </w:num>
  <w:num w:numId="21">
    <w:abstractNumId w:val="33"/>
  </w:num>
  <w:num w:numId="22">
    <w:abstractNumId w:val="11"/>
  </w:num>
  <w:num w:numId="23">
    <w:abstractNumId w:val="22"/>
  </w:num>
  <w:num w:numId="24">
    <w:abstractNumId w:val="8"/>
  </w:num>
  <w:num w:numId="25">
    <w:abstractNumId w:val="48"/>
  </w:num>
  <w:num w:numId="26">
    <w:abstractNumId w:val="7"/>
  </w:num>
  <w:num w:numId="27">
    <w:abstractNumId w:val="63"/>
  </w:num>
  <w:num w:numId="28">
    <w:abstractNumId w:val="1"/>
  </w:num>
  <w:num w:numId="29">
    <w:abstractNumId w:val="49"/>
  </w:num>
  <w:num w:numId="30">
    <w:abstractNumId w:val="57"/>
  </w:num>
  <w:num w:numId="31">
    <w:abstractNumId w:val="53"/>
  </w:num>
  <w:num w:numId="32">
    <w:abstractNumId w:val="51"/>
  </w:num>
  <w:num w:numId="33">
    <w:abstractNumId w:val="14"/>
  </w:num>
  <w:num w:numId="34">
    <w:abstractNumId w:val="61"/>
  </w:num>
  <w:num w:numId="35">
    <w:abstractNumId w:val="19"/>
  </w:num>
  <w:num w:numId="36">
    <w:abstractNumId w:val="9"/>
  </w:num>
  <w:num w:numId="37">
    <w:abstractNumId w:val="46"/>
  </w:num>
  <w:num w:numId="38">
    <w:abstractNumId w:val="27"/>
  </w:num>
  <w:num w:numId="39">
    <w:abstractNumId w:val="44"/>
  </w:num>
  <w:num w:numId="40">
    <w:abstractNumId w:val="64"/>
  </w:num>
  <w:num w:numId="41">
    <w:abstractNumId w:val="65"/>
  </w:num>
  <w:num w:numId="42">
    <w:abstractNumId w:val="76"/>
  </w:num>
  <w:num w:numId="43">
    <w:abstractNumId w:val="71"/>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6"/>
  </w:num>
  <w:num w:numId="53">
    <w:abstractNumId w:val="41"/>
  </w:num>
  <w:num w:numId="54">
    <w:abstractNumId w:val="2"/>
  </w:num>
  <w:num w:numId="55">
    <w:abstractNumId w:val="25"/>
  </w:num>
  <w:num w:numId="56">
    <w:abstractNumId w:val="54"/>
  </w:num>
  <w:num w:numId="57">
    <w:abstractNumId w:val="13"/>
  </w:num>
  <w:num w:numId="58">
    <w:abstractNumId w:val="42"/>
  </w:num>
  <w:num w:numId="59">
    <w:abstractNumId w:val="34"/>
  </w:num>
  <w:num w:numId="60">
    <w:abstractNumId w:val="70"/>
  </w:num>
  <w:num w:numId="61">
    <w:abstractNumId w:val="62"/>
  </w:num>
  <w:num w:numId="62">
    <w:abstractNumId w:val="36"/>
  </w:num>
  <w:num w:numId="63">
    <w:abstractNumId w:val="78"/>
  </w:num>
  <w:num w:numId="64">
    <w:abstractNumId w:val="43"/>
  </w:num>
  <w:num w:numId="65">
    <w:abstractNumId w:val="60"/>
  </w:num>
  <w:num w:numId="66">
    <w:abstractNumId w:val="15"/>
  </w:num>
  <w:num w:numId="67">
    <w:abstractNumId w:val="18"/>
  </w:num>
  <w:num w:numId="68">
    <w:abstractNumId w:val="68"/>
  </w:num>
  <w:num w:numId="69">
    <w:abstractNumId w:val="23"/>
  </w:num>
  <w:num w:numId="70">
    <w:abstractNumId w:val="35"/>
  </w:num>
  <w:num w:numId="71">
    <w:abstractNumId w:val="39"/>
  </w:num>
  <w:num w:numId="72">
    <w:abstractNumId w:val="5"/>
  </w:num>
  <w:num w:numId="73">
    <w:abstractNumId w:val="40"/>
  </w:num>
  <w:num w:numId="74">
    <w:abstractNumId w:val="38"/>
  </w:num>
  <w:num w:numId="75">
    <w:abstractNumId w:val="73"/>
  </w:num>
  <w:num w:numId="76">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2NDSyMLQ0NbA0NrFQ0lEKTi0uzszPAykwNKgFACvrCV8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dfp52rf5vrwae5rtrpdvvlfawx20vftepw&quot;&gt;MNB EndNote Library&lt;record-ids&gt;&lt;item&gt;1&lt;/item&gt;&lt;/record-ids&gt;&lt;/item&gt;&lt;/Libraries&gt;"/>
    <w:docVar w:name="filename" w:val="BYD\BYD\44898438\1"/>
  </w:docVars>
  <w:rsids>
    <w:rsidRoot w:val="00865B09"/>
    <w:rsid w:val="000028EA"/>
    <w:rsid w:val="00003ED6"/>
    <w:rsid w:val="0000491F"/>
    <w:rsid w:val="00005429"/>
    <w:rsid w:val="0000574D"/>
    <w:rsid w:val="00005C0F"/>
    <w:rsid w:val="00005CDD"/>
    <w:rsid w:val="000063DB"/>
    <w:rsid w:val="000065A8"/>
    <w:rsid w:val="0000FFC9"/>
    <w:rsid w:val="00011433"/>
    <w:rsid w:val="00011874"/>
    <w:rsid w:val="000118F8"/>
    <w:rsid w:val="00011E9C"/>
    <w:rsid w:val="00012469"/>
    <w:rsid w:val="0001287A"/>
    <w:rsid w:val="0001307F"/>
    <w:rsid w:val="000134D3"/>
    <w:rsid w:val="000139AF"/>
    <w:rsid w:val="00013E2A"/>
    <w:rsid w:val="00014097"/>
    <w:rsid w:val="0001562E"/>
    <w:rsid w:val="00015769"/>
    <w:rsid w:val="00015F22"/>
    <w:rsid w:val="00016DB8"/>
    <w:rsid w:val="00017609"/>
    <w:rsid w:val="00017774"/>
    <w:rsid w:val="00017F16"/>
    <w:rsid w:val="00020A6F"/>
    <w:rsid w:val="00020C30"/>
    <w:rsid w:val="00021729"/>
    <w:rsid w:val="0002203F"/>
    <w:rsid w:val="00022264"/>
    <w:rsid w:val="00022560"/>
    <w:rsid w:val="00022CFE"/>
    <w:rsid w:val="00024324"/>
    <w:rsid w:val="00024633"/>
    <w:rsid w:val="00024A43"/>
    <w:rsid w:val="00026FBD"/>
    <w:rsid w:val="00027BB5"/>
    <w:rsid w:val="000321E8"/>
    <w:rsid w:val="00032519"/>
    <w:rsid w:val="000343D6"/>
    <w:rsid w:val="00035460"/>
    <w:rsid w:val="00035ED5"/>
    <w:rsid w:val="0003689A"/>
    <w:rsid w:val="00036946"/>
    <w:rsid w:val="00037262"/>
    <w:rsid w:val="000376C2"/>
    <w:rsid w:val="000412DC"/>
    <w:rsid w:val="00041479"/>
    <w:rsid w:val="0004231B"/>
    <w:rsid w:val="00042E58"/>
    <w:rsid w:val="00043F90"/>
    <w:rsid w:val="000440C5"/>
    <w:rsid w:val="000441AE"/>
    <w:rsid w:val="0004490D"/>
    <w:rsid w:val="000452E6"/>
    <w:rsid w:val="00046010"/>
    <w:rsid w:val="00046D65"/>
    <w:rsid w:val="00047815"/>
    <w:rsid w:val="0004785D"/>
    <w:rsid w:val="0004793B"/>
    <w:rsid w:val="00047B08"/>
    <w:rsid w:val="00047B69"/>
    <w:rsid w:val="00050278"/>
    <w:rsid w:val="000506F9"/>
    <w:rsid w:val="00052C04"/>
    <w:rsid w:val="0005374A"/>
    <w:rsid w:val="00053B04"/>
    <w:rsid w:val="00054FFC"/>
    <w:rsid w:val="0005546C"/>
    <w:rsid w:val="00055660"/>
    <w:rsid w:val="00055B8E"/>
    <w:rsid w:val="00055F17"/>
    <w:rsid w:val="0005645F"/>
    <w:rsid w:val="000578B7"/>
    <w:rsid w:val="00057DD0"/>
    <w:rsid w:val="0006041D"/>
    <w:rsid w:val="00061379"/>
    <w:rsid w:val="00061F87"/>
    <w:rsid w:val="00064036"/>
    <w:rsid w:val="000640C8"/>
    <w:rsid w:val="00064D9E"/>
    <w:rsid w:val="00064EEA"/>
    <w:rsid w:val="000652BD"/>
    <w:rsid w:val="00065B36"/>
    <w:rsid w:val="0007093F"/>
    <w:rsid w:val="00070AE4"/>
    <w:rsid w:val="00070C5D"/>
    <w:rsid w:val="000718F5"/>
    <w:rsid w:val="00072537"/>
    <w:rsid w:val="000732A5"/>
    <w:rsid w:val="0007345B"/>
    <w:rsid w:val="000737F1"/>
    <w:rsid w:val="00073BDC"/>
    <w:rsid w:val="000756EB"/>
    <w:rsid w:val="0007631D"/>
    <w:rsid w:val="00076C42"/>
    <w:rsid w:val="0007797A"/>
    <w:rsid w:val="00080132"/>
    <w:rsid w:val="000806CB"/>
    <w:rsid w:val="0008091A"/>
    <w:rsid w:val="000819B0"/>
    <w:rsid w:val="0008279F"/>
    <w:rsid w:val="0008301E"/>
    <w:rsid w:val="000830DA"/>
    <w:rsid w:val="0008484E"/>
    <w:rsid w:val="000857C8"/>
    <w:rsid w:val="00086047"/>
    <w:rsid w:val="0008689B"/>
    <w:rsid w:val="000870B7"/>
    <w:rsid w:val="0008758E"/>
    <w:rsid w:val="000907E8"/>
    <w:rsid w:val="00090937"/>
    <w:rsid w:val="000914A9"/>
    <w:rsid w:val="00092131"/>
    <w:rsid w:val="00092777"/>
    <w:rsid w:val="00092CAA"/>
    <w:rsid w:val="00092E48"/>
    <w:rsid w:val="000931C9"/>
    <w:rsid w:val="000934D7"/>
    <w:rsid w:val="00094ADB"/>
    <w:rsid w:val="00094DB3"/>
    <w:rsid w:val="00095434"/>
    <w:rsid w:val="00095A5A"/>
    <w:rsid w:val="00095A9C"/>
    <w:rsid w:val="00095BAB"/>
    <w:rsid w:val="00095CB5"/>
    <w:rsid w:val="00096236"/>
    <w:rsid w:val="000A01F9"/>
    <w:rsid w:val="000A02E8"/>
    <w:rsid w:val="000A1953"/>
    <w:rsid w:val="000A3621"/>
    <w:rsid w:val="000A3D33"/>
    <w:rsid w:val="000A41C0"/>
    <w:rsid w:val="000A4556"/>
    <w:rsid w:val="000A4C58"/>
    <w:rsid w:val="000A50E6"/>
    <w:rsid w:val="000A5417"/>
    <w:rsid w:val="000A55A8"/>
    <w:rsid w:val="000A5C9E"/>
    <w:rsid w:val="000A6433"/>
    <w:rsid w:val="000A6A87"/>
    <w:rsid w:val="000A6E32"/>
    <w:rsid w:val="000A71BE"/>
    <w:rsid w:val="000B12A2"/>
    <w:rsid w:val="000B1B76"/>
    <w:rsid w:val="000B24CC"/>
    <w:rsid w:val="000B29E5"/>
    <w:rsid w:val="000B36A4"/>
    <w:rsid w:val="000B3BC1"/>
    <w:rsid w:val="000B3CE7"/>
    <w:rsid w:val="000B404C"/>
    <w:rsid w:val="000B4E70"/>
    <w:rsid w:val="000B5301"/>
    <w:rsid w:val="000B5880"/>
    <w:rsid w:val="000B6936"/>
    <w:rsid w:val="000B6A43"/>
    <w:rsid w:val="000B7E24"/>
    <w:rsid w:val="000C0819"/>
    <w:rsid w:val="000C08C3"/>
    <w:rsid w:val="000C0966"/>
    <w:rsid w:val="000C16B4"/>
    <w:rsid w:val="000C1B4D"/>
    <w:rsid w:val="000C244F"/>
    <w:rsid w:val="000C2960"/>
    <w:rsid w:val="000C45A5"/>
    <w:rsid w:val="000C4B3A"/>
    <w:rsid w:val="000C5451"/>
    <w:rsid w:val="000C5DFC"/>
    <w:rsid w:val="000C60C7"/>
    <w:rsid w:val="000C662E"/>
    <w:rsid w:val="000C725D"/>
    <w:rsid w:val="000C7342"/>
    <w:rsid w:val="000C73D3"/>
    <w:rsid w:val="000C7C80"/>
    <w:rsid w:val="000D0839"/>
    <w:rsid w:val="000D0A16"/>
    <w:rsid w:val="000D0C73"/>
    <w:rsid w:val="000D0F4A"/>
    <w:rsid w:val="000D178C"/>
    <w:rsid w:val="000D1F43"/>
    <w:rsid w:val="000D209A"/>
    <w:rsid w:val="000D220A"/>
    <w:rsid w:val="000D22D0"/>
    <w:rsid w:val="000D2D70"/>
    <w:rsid w:val="000D38FD"/>
    <w:rsid w:val="000D3BFF"/>
    <w:rsid w:val="000D40EF"/>
    <w:rsid w:val="000D4270"/>
    <w:rsid w:val="000D4E74"/>
    <w:rsid w:val="000D524B"/>
    <w:rsid w:val="000D5BED"/>
    <w:rsid w:val="000D5C6E"/>
    <w:rsid w:val="000D5D1E"/>
    <w:rsid w:val="000D6169"/>
    <w:rsid w:val="000D65F6"/>
    <w:rsid w:val="000D69E5"/>
    <w:rsid w:val="000D6B6E"/>
    <w:rsid w:val="000D7720"/>
    <w:rsid w:val="000D7C57"/>
    <w:rsid w:val="000D7D88"/>
    <w:rsid w:val="000E02AC"/>
    <w:rsid w:val="000E05A5"/>
    <w:rsid w:val="000E1260"/>
    <w:rsid w:val="000E358E"/>
    <w:rsid w:val="000E4465"/>
    <w:rsid w:val="000E4CCA"/>
    <w:rsid w:val="000E5CC3"/>
    <w:rsid w:val="000E65EE"/>
    <w:rsid w:val="000E6D94"/>
    <w:rsid w:val="000F0833"/>
    <w:rsid w:val="000F1894"/>
    <w:rsid w:val="000F1C1C"/>
    <w:rsid w:val="000F2441"/>
    <w:rsid w:val="000F24AA"/>
    <w:rsid w:val="000F28DF"/>
    <w:rsid w:val="000F3E21"/>
    <w:rsid w:val="000F4102"/>
    <w:rsid w:val="000F48B8"/>
    <w:rsid w:val="000F4F77"/>
    <w:rsid w:val="000F5069"/>
    <w:rsid w:val="000F532C"/>
    <w:rsid w:val="000F57C1"/>
    <w:rsid w:val="000F7273"/>
    <w:rsid w:val="000F99DB"/>
    <w:rsid w:val="000FBEA3"/>
    <w:rsid w:val="00103072"/>
    <w:rsid w:val="001037C9"/>
    <w:rsid w:val="00104263"/>
    <w:rsid w:val="001049FF"/>
    <w:rsid w:val="00104A32"/>
    <w:rsid w:val="00104B6F"/>
    <w:rsid w:val="001053A0"/>
    <w:rsid w:val="00105AAE"/>
    <w:rsid w:val="00105C21"/>
    <w:rsid w:val="00106A4C"/>
    <w:rsid w:val="00106DE3"/>
    <w:rsid w:val="0010718F"/>
    <w:rsid w:val="00107685"/>
    <w:rsid w:val="0011010C"/>
    <w:rsid w:val="00110DAB"/>
    <w:rsid w:val="00111761"/>
    <w:rsid w:val="00112718"/>
    <w:rsid w:val="00112912"/>
    <w:rsid w:val="001130CF"/>
    <w:rsid w:val="001137E0"/>
    <w:rsid w:val="00113A20"/>
    <w:rsid w:val="00113A2D"/>
    <w:rsid w:val="00113E42"/>
    <w:rsid w:val="00114340"/>
    <w:rsid w:val="001145EF"/>
    <w:rsid w:val="0011554B"/>
    <w:rsid w:val="001158CB"/>
    <w:rsid w:val="0011622C"/>
    <w:rsid w:val="0011630F"/>
    <w:rsid w:val="0011670B"/>
    <w:rsid w:val="00116B0F"/>
    <w:rsid w:val="00116FFE"/>
    <w:rsid w:val="00117571"/>
    <w:rsid w:val="00117F30"/>
    <w:rsid w:val="00117FC3"/>
    <w:rsid w:val="001203F4"/>
    <w:rsid w:val="001207D0"/>
    <w:rsid w:val="00121539"/>
    <w:rsid w:val="00121B23"/>
    <w:rsid w:val="00122133"/>
    <w:rsid w:val="00122EB4"/>
    <w:rsid w:val="0012311A"/>
    <w:rsid w:val="001232CF"/>
    <w:rsid w:val="00124320"/>
    <w:rsid w:val="0012432A"/>
    <w:rsid w:val="0012652E"/>
    <w:rsid w:val="00126A44"/>
    <w:rsid w:val="00126BE3"/>
    <w:rsid w:val="00126ED4"/>
    <w:rsid w:val="00127436"/>
    <w:rsid w:val="0012759D"/>
    <w:rsid w:val="0012797F"/>
    <w:rsid w:val="00127ABF"/>
    <w:rsid w:val="00127E85"/>
    <w:rsid w:val="00130435"/>
    <w:rsid w:val="00130AA8"/>
    <w:rsid w:val="00131412"/>
    <w:rsid w:val="001319BC"/>
    <w:rsid w:val="00131AC8"/>
    <w:rsid w:val="00132C39"/>
    <w:rsid w:val="00133592"/>
    <w:rsid w:val="00133891"/>
    <w:rsid w:val="00135628"/>
    <w:rsid w:val="00135A69"/>
    <w:rsid w:val="00135ADA"/>
    <w:rsid w:val="001367BC"/>
    <w:rsid w:val="00137C2F"/>
    <w:rsid w:val="0013BFEC"/>
    <w:rsid w:val="001405DF"/>
    <w:rsid w:val="0014153B"/>
    <w:rsid w:val="0014198E"/>
    <w:rsid w:val="00141E15"/>
    <w:rsid w:val="0014286D"/>
    <w:rsid w:val="001428FF"/>
    <w:rsid w:val="00143FD9"/>
    <w:rsid w:val="00144E1B"/>
    <w:rsid w:val="00144EC9"/>
    <w:rsid w:val="00145109"/>
    <w:rsid w:val="00145361"/>
    <w:rsid w:val="001470FD"/>
    <w:rsid w:val="001471D0"/>
    <w:rsid w:val="001477D6"/>
    <w:rsid w:val="001478F5"/>
    <w:rsid w:val="001500B3"/>
    <w:rsid w:val="001503E1"/>
    <w:rsid w:val="00151BAA"/>
    <w:rsid w:val="00153339"/>
    <w:rsid w:val="001534A1"/>
    <w:rsid w:val="00153ABA"/>
    <w:rsid w:val="00154316"/>
    <w:rsid w:val="00155CFC"/>
    <w:rsid w:val="00155EF0"/>
    <w:rsid w:val="00157512"/>
    <w:rsid w:val="001605E2"/>
    <w:rsid w:val="00161127"/>
    <w:rsid w:val="00161594"/>
    <w:rsid w:val="00161AB3"/>
    <w:rsid w:val="00161D32"/>
    <w:rsid w:val="00162148"/>
    <w:rsid w:val="00162668"/>
    <w:rsid w:val="00164BAD"/>
    <w:rsid w:val="00164F35"/>
    <w:rsid w:val="001654E0"/>
    <w:rsid w:val="00166035"/>
    <w:rsid w:val="0016687D"/>
    <w:rsid w:val="00167253"/>
    <w:rsid w:val="001678C0"/>
    <w:rsid w:val="00170888"/>
    <w:rsid w:val="00170F18"/>
    <w:rsid w:val="00171006"/>
    <w:rsid w:val="0017106D"/>
    <w:rsid w:val="001715A4"/>
    <w:rsid w:val="00171BB5"/>
    <w:rsid w:val="00172B01"/>
    <w:rsid w:val="00173698"/>
    <w:rsid w:val="00173BE5"/>
    <w:rsid w:val="00175D6F"/>
    <w:rsid w:val="001768ED"/>
    <w:rsid w:val="0017705D"/>
    <w:rsid w:val="00177D1B"/>
    <w:rsid w:val="00177D67"/>
    <w:rsid w:val="001806AF"/>
    <w:rsid w:val="00180769"/>
    <w:rsid w:val="0018085A"/>
    <w:rsid w:val="001809B8"/>
    <w:rsid w:val="00181C9A"/>
    <w:rsid w:val="00182EEA"/>
    <w:rsid w:val="00183055"/>
    <w:rsid w:val="00183246"/>
    <w:rsid w:val="00183DDA"/>
    <w:rsid w:val="0018474D"/>
    <w:rsid w:val="0018548F"/>
    <w:rsid w:val="001854CF"/>
    <w:rsid w:val="00185EDA"/>
    <w:rsid w:val="00187E46"/>
    <w:rsid w:val="00190424"/>
    <w:rsid w:val="00190812"/>
    <w:rsid w:val="00190F02"/>
    <w:rsid w:val="00192154"/>
    <w:rsid w:val="00192750"/>
    <w:rsid w:val="00192942"/>
    <w:rsid w:val="001935A7"/>
    <w:rsid w:val="001943D9"/>
    <w:rsid w:val="00195294"/>
    <w:rsid w:val="001952C8"/>
    <w:rsid w:val="00195D33"/>
    <w:rsid w:val="001973D9"/>
    <w:rsid w:val="00197B89"/>
    <w:rsid w:val="00197D96"/>
    <w:rsid w:val="001A026A"/>
    <w:rsid w:val="001A0EA3"/>
    <w:rsid w:val="001A14DE"/>
    <w:rsid w:val="001A1BDB"/>
    <w:rsid w:val="001A25F7"/>
    <w:rsid w:val="001A26F6"/>
    <w:rsid w:val="001A2925"/>
    <w:rsid w:val="001A2BAF"/>
    <w:rsid w:val="001A30CD"/>
    <w:rsid w:val="001A320D"/>
    <w:rsid w:val="001A373C"/>
    <w:rsid w:val="001A37AA"/>
    <w:rsid w:val="001A3B52"/>
    <w:rsid w:val="001A3BEC"/>
    <w:rsid w:val="001A4534"/>
    <w:rsid w:val="001A5971"/>
    <w:rsid w:val="001A6232"/>
    <w:rsid w:val="001A625D"/>
    <w:rsid w:val="001A6260"/>
    <w:rsid w:val="001A66F9"/>
    <w:rsid w:val="001A6A63"/>
    <w:rsid w:val="001A6E65"/>
    <w:rsid w:val="001A7EE2"/>
    <w:rsid w:val="001B017A"/>
    <w:rsid w:val="001B0C00"/>
    <w:rsid w:val="001B14D2"/>
    <w:rsid w:val="001B17FF"/>
    <w:rsid w:val="001B238D"/>
    <w:rsid w:val="001B297B"/>
    <w:rsid w:val="001B2BC0"/>
    <w:rsid w:val="001B32D0"/>
    <w:rsid w:val="001B440F"/>
    <w:rsid w:val="001B4D0F"/>
    <w:rsid w:val="001B6550"/>
    <w:rsid w:val="001B6A75"/>
    <w:rsid w:val="001B705F"/>
    <w:rsid w:val="001B739B"/>
    <w:rsid w:val="001B7BC5"/>
    <w:rsid w:val="001C1104"/>
    <w:rsid w:val="001C117F"/>
    <w:rsid w:val="001C1359"/>
    <w:rsid w:val="001C26FE"/>
    <w:rsid w:val="001C2E01"/>
    <w:rsid w:val="001C359C"/>
    <w:rsid w:val="001C38A3"/>
    <w:rsid w:val="001C44B9"/>
    <w:rsid w:val="001C4F2F"/>
    <w:rsid w:val="001C519F"/>
    <w:rsid w:val="001C541C"/>
    <w:rsid w:val="001C56F3"/>
    <w:rsid w:val="001C7169"/>
    <w:rsid w:val="001C7983"/>
    <w:rsid w:val="001D0025"/>
    <w:rsid w:val="001D0C85"/>
    <w:rsid w:val="001D10A4"/>
    <w:rsid w:val="001D16A3"/>
    <w:rsid w:val="001D182B"/>
    <w:rsid w:val="001D18D3"/>
    <w:rsid w:val="001D1DB3"/>
    <w:rsid w:val="001D3E7A"/>
    <w:rsid w:val="001D4057"/>
    <w:rsid w:val="001D5E83"/>
    <w:rsid w:val="001D6F1B"/>
    <w:rsid w:val="001D70B5"/>
    <w:rsid w:val="001D7A80"/>
    <w:rsid w:val="001D7BD1"/>
    <w:rsid w:val="001E0673"/>
    <w:rsid w:val="001E06FC"/>
    <w:rsid w:val="001E0F3E"/>
    <w:rsid w:val="001E0F58"/>
    <w:rsid w:val="001E12F4"/>
    <w:rsid w:val="001E3ACD"/>
    <w:rsid w:val="001E4924"/>
    <w:rsid w:val="001E49CD"/>
    <w:rsid w:val="001E52B4"/>
    <w:rsid w:val="001E52B9"/>
    <w:rsid w:val="001E5569"/>
    <w:rsid w:val="001E59A3"/>
    <w:rsid w:val="001E6A26"/>
    <w:rsid w:val="001E6A2E"/>
    <w:rsid w:val="001E6ED8"/>
    <w:rsid w:val="001E726F"/>
    <w:rsid w:val="001F0248"/>
    <w:rsid w:val="001F04F1"/>
    <w:rsid w:val="001F0E15"/>
    <w:rsid w:val="001F1881"/>
    <w:rsid w:val="001F18E2"/>
    <w:rsid w:val="001F1971"/>
    <w:rsid w:val="001F2019"/>
    <w:rsid w:val="001F2D76"/>
    <w:rsid w:val="001F3763"/>
    <w:rsid w:val="001F3905"/>
    <w:rsid w:val="001F3A53"/>
    <w:rsid w:val="001F3CF1"/>
    <w:rsid w:val="001F4A6F"/>
    <w:rsid w:val="001F4E2F"/>
    <w:rsid w:val="001F64F1"/>
    <w:rsid w:val="001F7235"/>
    <w:rsid w:val="00201644"/>
    <w:rsid w:val="0020316A"/>
    <w:rsid w:val="002045B6"/>
    <w:rsid w:val="00204FAD"/>
    <w:rsid w:val="00205121"/>
    <w:rsid w:val="00205700"/>
    <w:rsid w:val="00205CE8"/>
    <w:rsid w:val="0020754C"/>
    <w:rsid w:val="0020786D"/>
    <w:rsid w:val="00207A50"/>
    <w:rsid w:val="00207BBE"/>
    <w:rsid w:val="002112CB"/>
    <w:rsid w:val="002115DE"/>
    <w:rsid w:val="00211761"/>
    <w:rsid w:val="00211EDD"/>
    <w:rsid w:val="00212A74"/>
    <w:rsid w:val="00212DD9"/>
    <w:rsid w:val="00213D50"/>
    <w:rsid w:val="0021477C"/>
    <w:rsid w:val="00214A93"/>
    <w:rsid w:val="00214BFB"/>
    <w:rsid w:val="00214D45"/>
    <w:rsid w:val="002152B3"/>
    <w:rsid w:val="0021549A"/>
    <w:rsid w:val="00215E8C"/>
    <w:rsid w:val="002163A6"/>
    <w:rsid w:val="00220247"/>
    <w:rsid w:val="00220C79"/>
    <w:rsid w:val="00220F71"/>
    <w:rsid w:val="00221603"/>
    <w:rsid w:val="00221BAC"/>
    <w:rsid w:val="00221E8B"/>
    <w:rsid w:val="0022251D"/>
    <w:rsid w:val="00222DF8"/>
    <w:rsid w:val="00222F7E"/>
    <w:rsid w:val="00223D20"/>
    <w:rsid w:val="002246CA"/>
    <w:rsid w:val="002262CD"/>
    <w:rsid w:val="00227BCB"/>
    <w:rsid w:val="00227EF4"/>
    <w:rsid w:val="0023071B"/>
    <w:rsid w:val="00231324"/>
    <w:rsid w:val="00232071"/>
    <w:rsid w:val="002323D6"/>
    <w:rsid w:val="0023367D"/>
    <w:rsid w:val="00233A78"/>
    <w:rsid w:val="0023463D"/>
    <w:rsid w:val="0023744B"/>
    <w:rsid w:val="002403AA"/>
    <w:rsid w:val="00240811"/>
    <w:rsid w:val="00240EA1"/>
    <w:rsid w:val="00241003"/>
    <w:rsid w:val="00241C1F"/>
    <w:rsid w:val="0024273E"/>
    <w:rsid w:val="002428AD"/>
    <w:rsid w:val="002439EC"/>
    <w:rsid w:val="002443B9"/>
    <w:rsid w:val="00244937"/>
    <w:rsid w:val="00245370"/>
    <w:rsid w:val="00246006"/>
    <w:rsid w:val="00246300"/>
    <w:rsid w:val="00246815"/>
    <w:rsid w:val="00247354"/>
    <w:rsid w:val="002473F9"/>
    <w:rsid w:val="00250A8F"/>
    <w:rsid w:val="002512B1"/>
    <w:rsid w:val="00251F3A"/>
    <w:rsid w:val="00251F6B"/>
    <w:rsid w:val="002523A7"/>
    <w:rsid w:val="00252423"/>
    <w:rsid w:val="002526D1"/>
    <w:rsid w:val="00253375"/>
    <w:rsid w:val="00253CE8"/>
    <w:rsid w:val="00253E5F"/>
    <w:rsid w:val="00253ED2"/>
    <w:rsid w:val="002543E0"/>
    <w:rsid w:val="00254E16"/>
    <w:rsid w:val="00254FC2"/>
    <w:rsid w:val="00255825"/>
    <w:rsid w:val="00256FD4"/>
    <w:rsid w:val="0025747D"/>
    <w:rsid w:val="00260570"/>
    <w:rsid w:val="00260C2C"/>
    <w:rsid w:val="0026142D"/>
    <w:rsid w:val="002614E7"/>
    <w:rsid w:val="00262CBE"/>
    <w:rsid w:val="00262D3A"/>
    <w:rsid w:val="002632E1"/>
    <w:rsid w:val="00263B16"/>
    <w:rsid w:val="0026465E"/>
    <w:rsid w:val="00264773"/>
    <w:rsid w:val="00264B2E"/>
    <w:rsid w:val="002657D6"/>
    <w:rsid w:val="00266062"/>
    <w:rsid w:val="0026682A"/>
    <w:rsid w:val="0026686E"/>
    <w:rsid w:val="00266DDB"/>
    <w:rsid w:val="00267273"/>
    <w:rsid w:val="00267C88"/>
    <w:rsid w:val="00270893"/>
    <w:rsid w:val="00271448"/>
    <w:rsid w:val="00271CB2"/>
    <w:rsid w:val="00271E49"/>
    <w:rsid w:val="0027223C"/>
    <w:rsid w:val="00272E20"/>
    <w:rsid w:val="0027340C"/>
    <w:rsid w:val="00273670"/>
    <w:rsid w:val="00273903"/>
    <w:rsid w:val="00274377"/>
    <w:rsid w:val="00274EA9"/>
    <w:rsid w:val="0027537B"/>
    <w:rsid w:val="002753C7"/>
    <w:rsid w:val="00275962"/>
    <w:rsid w:val="0027663D"/>
    <w:rsid w:val="00281141"/>
    <w:rsid w:val="00281A6C"/>
    <w:rsid w:val="00281B19"/>
    <w:rsid w:val="00281D5F"/>
    <w:rsid w:val="002821C2"/>
    <w:rsid w:val="00282ADD"/>
    <w:rsid w:val="002834AD"/>
    <w:rsid w:val="002834BB"/>
    <w:rsid w:val="00283C8B"/>
    <w:rsid w:val="0028414A"/>
    <w:rsid w:val="00284A2D"/>
    <w:rsid w:val="00285217"/>
    <w:rsid w:val="002857E6"/>
    <w:rsid w:val="00287629"/>
    <w:rsid w:val="002911BE"/>
    <w:rsid w:val="00291678"/>
    <w:rsid w:val="0029170B"/>
    <w:rsid w:val="002919C2"/>
    <w:rsid w:val="00292FE9"/>
    <w:rsid w:val="00294148"/>
    <w:rsid w:val="002941EA"/>
    <w:rsid w:val="002943CF"/>
    <w:rsid w:val="00294FBA"/>
    <w:rsid w:val="00295736"/>
    <w:rsid w:val="002958A7"/>
    <w:rsid w:val="00295ABF"/>
    <w:rsid w:val="00296634"/>
    <w:rsid w:val="0029667B"/>
    <w:rsid w:val="00296970"/>
    <w:rsid w:val="002972FC"/>
    <w:rsid w:val="002978F0"/>
    <w:rsid w:val="00297A61"/>
    <w:rsid w:val="00297B34"/>
    <w:rsid w:val="002A0072"/>
    <w:rsid w:val="002A04B7"/>
    <w:rsid w:val="002A0FEB"/>
    <w:rsid w:val="002A1E01"/>
    <w:rsid w:val="002A23B6"/>
    <w:rsid w:val="002A26AC"/>
    <w:rsid w:val="002A2940"/>
    <w:rsid w:val="002A3280"/>
    <w:rsid w:val="002A523C"/>
    <w:rsid w:val="002A52F4"/>
    <w:rsid w:val="002A5343"/>
    <w:rsid w:val="002A56DE"/>
    <w:rsid w:val="002A5EB1"/>
    <w:rsid w:val="002A6554"/>
    <w:rsid w:val="002A6DC9"/>
    <w:rsid w:val="002A7BED"/>
    <w:rsid w:val="002A7FD6"/>
    <w:rsid w:val="002B1082"/>
    <w:rsid w:val="002B2FEF"/>
    <w:rsid w:val="002B422B"/>
    <w:rsid w:val="002B4A69"/>
    <w:rsid w:val="002B593D"/>
    <w:rsid w:val="002B5F72"/>
    <w:rsid w:val="002B5F8D"/>
    <w:rsid w:val="002C0B52"/>
    <w:rsid w:val="002C175C"/>
    <w:rsid w:val="002C1CC5"/>
    <w:rsid w:val="002C26FC"/>
    <w:rsid w:val="002C2D15"/>
    <w:rsid w:val="002C35CC"/>
    <w:rsid w:val="002C53EB"/>
    <w:rsid w:val="002C56BC"/>
    <w:rsid w:val="002C5818"/>
    <w:rsid w:val="002C60FE"/>
    <w:rsid w:val="002C6834"/>
    <w:rsid w:val="002C6A29"/>
    <w:rsid w:val="002C6D01"/>
    <w:rsid w:val="002D097F"/>
    <w:rsid w:val="002D1480"/>
    <w:rsid w:val="002D1B8F"/>
    <w:rsid w:val="002D1D68"/>
    <w:rsid w:val="002D2123"/>
    <w:rsid w:val="002D26EA"/>
    <w:rsid w:val="002D2A68"/>
    <w:rsid w:val="002D2C10"/>
    <w:rsid w:val="002D3296"/>
    <w:rsid w:val="002D35B1"/>
    <w:rsid w:val="002D42D2"/>
    <w:rsid w:val="002D44A8"/>
    <w:rsid w:val="002D583A"/>
    <w:rsid w:val="002D5BC0"/>
    <w:rsid w:val="002D6558"/>
    <w:rsid w:val="002D72A7"/>
    <w:rsid w:val="002E0E03"/>
    <w:rsid w:val="002E18A3"/>
    <w:rsid w:val="002E193E"/>
    <w:rsid w:val="002E20FA"/>
    <w:rsid w:val="002E2B4E"/>
    <w:rsid w:val="002E337B"/>
    <w:rsid w:val="002E33A2"/>
    <w:rsid w:val="002E35B9"/>
    <w:rsid w:val="002E39CC"/>
    <w:rsid w:val="002E3B5B"/>
    <w:rsid w:val="002E486E"/>
    <w:rsid w:val="002E5048"/>
    <w:rsid w:val="002E57BC"/>
    <w:rsid w:val="002E70B2"/>
    <w:rsid w:val="002E756B"/>
    <w:rsid w:val="002E79D7"/>
    <w:rsid w:val="002E7F74"/>
    <w:rsid w:val="002F04F4"/>
    <w:rsid w:val="002F0B86"/>
    <w:rsid w:val="002F0E97"/>
    <w:rsid w:val="002F13DE"/>
    <w:rsid w:val="002F1A27"/>
    <w:rsid w:val="002F1B93"/>
    <w:rsid w:val="002F1EBE"/>
    <w:rsid w:val="002F2340"/>
    <w:rsid w:val="002F2AB0"/>
    <w:rsid w:val="002F31D5"/>
    <w:rsid w:val="002F394D"/>
    <w:rsid w:val="002F558D"/>
    <w:rsid w:val="002F69F0"/>
    <w:rsid w:val="002F6B9A"/>
    <w:rsid w:val="002F713C"/>
    <w:rsid w:val="002F77F2"/>
    <w:rsid w:val="002F7BE0"/>
    <w:rsid w:val="00300494"/>
    <w:rsid w:val="003011A9"/>
    <w:rsid w:val="003013B0"/>
    <w:rsid w:val="0030163C"/>
    <w:rsid w:val="003021DF"/>
    <w:rsid w:val="003023D3"/>
    <w:rsid w:val="0030242B"/>
    <w:rsid w:val="00302638"/>
    <w:rsid w:val="0030338C"/>
    <w:rsid w:val="003039F6"/>
    <w:rsid w:val="00303CAF"/>
    <w:rsid w:val="00303F62"/>
    <w:rsid w:val="0030453A"/>
    <w:rsid w:val="00304CEB"/>
    <w:rsid w:val="00306133"/>
    <w:rsid w:val="003079F5"/>
    <w:rsid w:val="0031002D"/>
    <w:rsid w:val="00310454"/>
    <w:rsid w:val="00310844"/>
    <w:rsid w:val="00310AC0"/>
    <w:rsid w:val="00310D25"/>
    <w:rsid w:val="0031176F"/>
    <w:rsid w:val="00311D79"/>
    <w:rsid w:val="00312483"/>
    <w:rsid w:val="00312AC3"/>
    <w:rsid w:val="00313CC4"/>
    <w:rsid w:val="00314048"/>
    <w:rsid w:val="0031518B"/>
    <w:rsid w:val="00315D70"/>
    <w:rsid w:val="00316A57"/>
    <w:rsid w:val="00317858"/>
    <w:rsid w:val="00320472"/>
    <w:rsid w:val="003208A5"/>
    <w:rsid w:val="00320DEC"/>
    <w:rsid w:val="00321645"/>
    <w:rsid w:val="00321BDE"/>
    <w:rsid w:val="00321DDF"/>
    <w:rsid w:val="0032298C"/>
    <w:rsid w:val="00322F47"/>
    <w:rsid w:val="00322FC7"/>
    <w:rsid w:val="00324169"/>
    <w:rsid w:val="003247FB"/>
    <w:rsid w:val="00326626"/>
    <w:rsid w:val="00330BB3"/>
    <w:rsid w:val="00330C08"/>
    <w:rsid w:val="0033113D"/>
    <w:rsid w:val="003320BB"/>
    <w:rsid w:val="0033420A"/>
    <w:rsid w:val="00334226"/>
    <w:rsid w:val="00334626"/>
    <w:rsid w:val="003348C3"/>
    <w:rsid w:val="00334C83"/>
    <w:rsid w:val="0033637A"/>
    <w:rsid w:val="00337387"/>
    <w:rsid w:val="003373AD"/>
    <w:rsid w:val="003416BB"/>
    <w:rsid w:val="003416FF"/>
    <w:rsid w:val="00341C06"/>
    <w:rsid w:val="00342535"/>
    <w:rsid w:val="00342CDA"/>
    <w:rsid w:val="0034334A"/>
    <w:rsid w:val="00343DF6"/>
    <w:rsid w:val="00344156"/>
    <w:rsid w:val="0034513D"/>
    <w:rsid w:val="00345BE9"/>
    <w:rsid w:val="003461AD"/>
    <w:rsid w:val="00346229"/>
    <w:rsid w:val="003465D7"/>
    <w:rsid w:val="003466C9"/>
    <w:rsid w:val="003469BC"/>
    <w:rsid w:val="00346EEC"/>
    <w:rsid w:val="00347B91"/>
    <w:rsid w:val="00347E86"/>
    <w:rsid w:val="0035089F"/>
    <w:rsid w:val="00350EFC"/>
    <w:rsid w:val="00350F28"/>
    <w:rsid w:val="00351E8F"/>
    <w:rsid w:val="00352DA0"/>
    <w:rsid w:val="00352F1F"/>
    <w:rsid w:val="003534DE"/>
    <w:rsid w:val="003537D8"/>
    <w:rsid w:val="003541EF"/>
    <w:rsid w:val="00354375"/>
    <w:rsid w:val="00354558"/>
    <w:rsid w:val="0035530A"/>
    <w:rsid w:val="003553EA"/>
    <w:rsid w:val="00355838"/>
    <w:rsid w:val="00355D23"/>
    <w:rsid w:val="00356052"/>
    <w:rsid w:val="00356A40"/>
    <w:rsid w:val="0035734C"/>
    <w:rsid w:val="0035777E"/>
    <w:rsid w:val="00357797"/>
    <w:rsid w:val="0035BAB3"/>
    <w:rsid w:val="003607AE"/>
    <w:rsid w:val="0036114F"/>
    <w:rsid w:val="00361A07"/>
    <w:rsid w:val="0036360B"/>
    <w:rsid w:val="00363B42"/>
    <w:rsid w:val="00363CF6"/>
    <w:rsid w:val="0036416D"/>
    <w:rsid w:val="003652BB"/>
    <w:rsid w:val="00365D9F"/>
    <w:rsid w:val="0036634C"/>
    <w:rsid w:val="003675EE"/>
    <w:rsid w:val="003701E0"/>
    <w:rsid w:val="0037030A"/>
    <w:rsid w:val="003705B5"/>
    <w:rsid w:val="003710ED"/>
    <w:rsid w:val="00371D6A"/>
    <w:rsid w:val="00372132"/>
    <w:rsid w:val="00372500"/>
    <w:rsid w:val="00373265"/>
    <w:rsid w:val="00373409"/>
    <w:rsid w:val="00374F41"/>
    <w:rsid w:val="00374F99"/>
    <w:rsid w:val="0037783E"/>
    <w:rsid w:val="00377B44"/>
    <w:rsid w:val="00381328"/>
    <w:rsid w:val="00381946"/>
    <w:rsid w:val="00381C00"/>
    <w:rsid w:val="00382E50"/>
    <w:rsid w:val="00383D9B"/>
    <w:rsid w:val="0038440B"/>
    <w:rsid w:val="003853E8"/>
    <w:rsid w:val="003861D2"/>
    <w:rsid w:val="00386A79"/>
    <w:rsid w:val="00387412"/>
    <w:rsid w:val="00391560"/>
    <w:rsid w:val="00392B52"/>
    <w:rsid w:val="00393CD3"/>
    <w:rsid w:val="00396413"/>
    <w:rsid w:val="003986B4"/>
    <w:rsid w:val="003A01A3"/>
    <w:rsid w:val="003A0375"/>
    <w:rsid w:val="003A04AA"/>
    <w:rsid w:val="003A0985"/>
    <w:rsid w:val="003A09D2"/>
    <w:rsid w:val="003A0DFC"/>
    <w:rsid w:val="003A0F50"/>
    <w:rsid w:val="003A17E7"/>
    <w:rsid w:val="003A2335"/>
    <w:rsid w:val="003A23BF"/>
    <w:rsid w:val="003A2D5D"/>
    <w:rsid w:val="003A34F7"/>
    <w:rsid w:val="003A3B5B"/>
    <w:rsid w:val="003A5C61"/>
    <w:rsid w:val="003A6C54"/>
    <w:rsid w:val="003A6CD1"/>
    <w:rsid w:val="003B02AC"/>
    <w:rsid w:val="003B179D"/>
    <w:rsid w:val="003B210B"/>
    <w:rsid w:val="003B2C9A"/>
    <w:rsid w:val="003B386B"/>
    <w:rsid w:val="003B3C7A"/>
    <w:rsid w:val="003B4DB0"/>
    <w:rsid w:val="003B4E3A"/>
    <w:rsid w:val="003B4E4F"/>
    <w:rsid w:val="003B7302"/>
    <w:rsid w:val="003B7C0A"/>
    <w:rsid w:val="003B7C15"/>
    <w:rsid w:val="003C0102"/>
    <w:rsid w:val="003C04AE"/>
    <w:rsid w:val="003C0A8D"/>
    <w:rsid w:val="003C0B0A"/>
    <w:rsid w:val="003C1421"/>
    <w:rsid w:val="003C1BA3"/>
    <w:rsid w:val="003C2EA3"/>
    <w:rsid w:val="003C363D"/>
    <w:rsid w:val="003C3F09"/>
    <w:rsid w:val="003C5445"/>
    <w:rsid w:val="003C56AE"/>
    <w:rsid w:val="003C6855"/>
    <w:rsid w:val="003C7387"/>
    <w:rsid w:val="003D0F5F"/>
    <w:rsid w:val="003D1A2B"/>
    <w:rsid w:val="003D26DE"/>
    <w:rsid w:val="003D2E90"/>
    <w:rsid w:val="003D34A1"/>
    <w:rsid w:val="003D3ACA"/>
    <w:rsid w:val="003D472B"/>
    <w:rsid w:val="003D4792"/>
    <w:rsid w:val="003D5112"/>
    <w:rsid w:val="003D54B7"/>
    <w:rsid w:val="003D6FF8"/>
    <w:rsid w:val="003D7A61"/>
    <w:rsid w:val="003E114E"/>
    <w:rsid w:val="003E188F"/>
    <w:rsid w:val="003E1B01"/>
    <w:rsid w:val="003E2091"/>
    <w:rsid w:val="003E28FF"/>
    <w:rsid w:val="003E3D46"/>
    <w:rsid w:val="003E4DCD"/>
    <w:rsid w:val="003E4E1C"/>
    <w:rsid w:val="003E5D47"/>
    <w:rsid w:val="003E5DB4"/>
    <w:rsid w:val="003E753D"/>
    <w:rsid w:val="003E779D"/>
    <w:rsid w:val="003E7B24"/>
    <w:rsid w:val="003F076A"/>
    <w:rsid w:val="003F21C7"/>
    <w:rsid w:val="003F2E5F"/>
    <w:rsid w:val="003F351F"/>
    <w:rsid w:val="003F39B1"/>
    <w:rsid w:val="003F44D2"/>
    <w:rsid w:val="003F49F3"/>
    <w:rsid w:val="003F529A"/>
    <w:rsid w:val="003F5371"/>
    <w:rsid w:val="003F61D3"/>
    <w:rsid w:val="003F71E5"/>
    <w:rsid w:val="003F72B3"/>
    <w:rsid w:val="003F768C"/>
    <w:rsid w:val="003F77AE"/>
    <w:rsid w:val="003F79BF"/>
    <w:rsid w:val="0040036D"/>
    <w:rsid w:val="00400A49"/>
    <w:rsid w:val="00400C94"/>
    <w:rsid w:val="004034FE"/>
    <w:rsid w:val="00403957"/>
    <w:rsid w:val="00404072"/>
    <w:rsid w:val="004048C1"/>
    <w:rsid w:val="00404CFE"/>
    <w:rsid w:val="00405A94"/>
    <w:rsid w:val="00406ECD"/>
    <w:rsid w:val="00406F10"/>
    <w:rsid w:val="0040738E"/>
    <w:rsid w:val="0040752C"/>
    <w:rsid w:val="00407567"/>
    <w:rsid w:val="004076E1"/>
    <w:rsid w:val="0041015C"/>
    <w:rsid w:val="00410C02"/>
    <w:rsid w:val="00411557"/>
    <w:rsid w:val="0041173C"/>
    <w:rsid w:val="004125C4"/>
    <w:rsid w:val="004126BF"/>
    <w:rsid w:val="00414A50"/>
    <w:rsid w:val="00414B3E"/>
    <w:rsid w:val="00414F74"/>
    <w:rsid w:val="0041581F"/>
    <w:rsid w:val="00416437"/>
    <w:rsid w:val="00416946"/>
    <w:rsid w:val="00416B2D"/>
    <w:rsid w:val="00416D44"/>
    <w:rsid w:val="00417098"/>
    <w:rsid w:val="0041711B"/>
    <w:rsid w:val="00417AE9"/>
    <w:rsid w:val="0041D80B"/>
    <w:rsid w:val="0042047C"/>
    <w:rsid w:val="0042058C"/>
    <w:rsid w:val="0042097C"/>
    <w:rsid w:val="00420D74"/>
    <w:rsid w:val="0042135C"/>
    <w:rsid w:val="0042150F"/>
    <w:rsid w:val="00421B8A"/>
    <w:rsid w:val="00422362"/>
    <w:rsid w:val="00424208"/>
    <w:rsid w:val="0042491F"/>
    <w:rsid w:val="004249CB"/>
    <w:rsid w:val="00425819"/>
    <w:rsid w:val="0042680D"/>
    <w:rsid w:val="004269DD"/>
    <w:rsid w:val="00426D00"/>
    <w:rsid w:val="00427D32"/>
    <w:rsid w:val="00427F48"/>
    <w:rsid w:val="0043078A"/>
    <w:rsid w:val="00430F8A"/>
    <w:rsid w:val="00431483"/>
    <w:rsid w:val="004315BE"/>
    <w:rsid w:val="004319ED"/>
    <w:rsid w:val="00431E67"/>
    <w:rsid w:val="004339CB"/>
    <w:rsid w:val="00434629"/>
    <w:rsid w:val="00434649"/>
    <w:rsid w:val="00434AF7"/>
    <w:rsid w:val="00434F7B"/>
    <w:rsid w:val="00435713"/>
    <w:rsid w:val="00435879"/>
    <w:rsid w:val="004365B9"/>
    <w:rsid w:val="0043684A"/>
    <w:rsid w:val="00437747"/>
    <w:rsid w:val="00440471"/>
    <w:rsid w:val="00440640"/>
    <w:rsid w:val="0044067B"/>
    <w:rsid w:val="00441064"/>
    <w:rsid w:val="004419AF"/>
    <w:rsid w:val="00443036"/>
    <w:rsid w:val="00444028"/>
    <w:rsid w:val="004440AC"/>
    <w:rsid w:val="00444FA0"/>
    <w:rsid w:val="004459FA"/>
    <w:rsid w:val="00446909"/>
    <w:rsid w:val="00446968"/>
    <w:rsid w:val="00446BDB"/>
    <w:rsid w:val="00447DF8"/>
    <w:rsid w:val="00450408"/>
    <w:rsid w:val="0045062D"/>
    <w:rsid w:val="00450BC0"/>
    <w:rsid w:val="00451B46"/>
    <w:rsid w:val="00452256"/>
    <w:rsid w:val="00452850"/>
    <w:rsid w:val="00452F2E"/>
    <w:rsid w:val="0045366F"/>
    <w:rsid w:val="00454033"/>
    <w:rsid w:val="004549E1"/>
    <w:rsid w:val="00454E83"/>
    <w:rsid w:val="00455065"/>
    <w:rsid w:val="00456562"/>
    <w:rsid w:val="00456E5F"/>
    <w:rsid w:val="0046007D"/>
    <w:rsid w:val="00462656"/>
    <w:rsid w:val="00462E1A"/>
    <w:rsid w:val="004632D2"/>
    <w:rsid w:val="00463531"/>
    <w:rsid w:val="00463D70"/>
    <w:rsid w:val="00464261"/>
    <w:rsid w:val="004702CF"/>
    <w:rsid w:val="00471098"/>
    <w:rsid w:val="00472110"/>
    <w:rsid w:val="00472391"/>
    <w:rsid w:val="00472586"/>
    <w:rsid w:val="00472CB1"/>
    <w:rsid w:val="00472E6F"/>
    <w:rsid w:val="004735CA"/>
    <w:rsid w:val="004745E0"/>
    <w:rsid w:val="004756E6"/>
    <w:rsid w:val="00475DD9"/>
    <w:rsid w:val="00476049"/>
    <w:rsid w:val="00476B92"/>
    <w:rsid w:val="00477653"/>
    <w:rsid w:val="00480A94"/>
    <w:rsid w:val="00480C21"/>
    <w:rsid w:val="004814ED"/>
    <w:rsid w:val="00481BB8"/>
    <w:rsid w:val="00481D39"/>
    <w:rsid w:val="00481DF3"/>
    <w:rsid w:val="00481E3E"/>
    <w:rsid w:val="004822EE"/>
    <w:rsid w:val="00482677"/>
    <w:rsid w:val="004827D5"/>
    <w:rsid w:val="00483FCC"/>
    <w:rsid w:val="00484899"/>
    <w:rsid w:val="00484D77"/>
    <w:rsid w:val="004858F1"/>
    <w:rsid w:val="00485C95"/>
    <w:rsid w:val="00485F4E"/>
    <w:rsid w:val="00486652"/>
    <w:rsid w:val="00486975"/>
    <w:rsid w:val="00486BCA"/>
    <w:rsid w:val="00487642"/>
    <w:rsid w:val="004879FA"/>
    <w:rsid w:val="0049157E"/>
    <w:rsid w:val="00491B58"/>
    <w:rsid w:val="00492542"/>
    <w:rsid w:val="00493D73"/>
    <w:rsid w:val="00494395"/>
    <w:rsid w:val="00494627"/>
    <w:rsid w:val="00495861"/>
    <w:rsid w:val="00496E95"/>
    <w:rsid w:val="00497258"/>
    <w:rsid w:val="00497486"/>
    <w:rsid w:val="00497AAF"/>
    <w:rsid w:val="004A091C"/>
    <w:rsid w:val="004A1AA3"/>
    <w:rsid w:val="004A201C"/>
    <w:rsid w:val="004A2BE4"/>
    <w:rsid w:val="004A33B3"/>
    <w:rsid w:val="004A3A2A"/>
    <w:rsid w:val="004A3D16"/>
    <w:rsid w:val="004A4724"/>
    <w:rsid w:val="004A4F6D"/>
    <w:rsid w:val="004A5070"/>
    <w:rsid w:val="004A5830"/>
    <w:rsid w:val="004A5EBC"/>
    <w:rsid w:val="004A5F13"/>
    <w:rsid w:val="004A61D6"/>
    <w:rsid w:val="004A690D"/>
    <w:rsid w:val="004A6DE9"/>
    <w:rsid w:val="004A7259"/>
    <w:rsid w:val="004B02D4"/>
    <w:rsid w:val="004B0C05"/>
    <w:rsid w:val="004B0FC7"/>
    <w:rsid w:val="004B162A"/>
    <w:rsid w:val="004B223B"/>
    <w:rsid w:val="004B3021"/>
    <w:rsid w:val="004B3BB2"/>
    <w:rsid w:val="004B5172"/>
    <w:rsid w:val="004B529F"/>
    <w:rsid w:val="004B5DB5"/>
    <w:rsid w:val="004B6026"/>
    <w:rsid w:val="004B629B"/>
    <w:rsid w:val="004B6A7D"/>
    <w:rsid w:val="004B72F0"/>
    <w:rsid w:val="004B7DA0"/>
    <w:rsid w:val="004B7F33"/>
    <w:rsid w:val="004BE052"/>
    <w:rsid w:val="004C01E0"/>
    <w:rsid w:val="004C064D"/>
    <w:rsid w:val="004C0C62"/>
    <w:rsid w:val="004C1779"/>
    <w:rsid w:val="004C1B45"/>
    <w:rsid w:val="004C2932"/>
    <w:rsid w:val="004C2C60"/>
    <w:rsid w:val="004C34E9"/>
    <w:rsid w:val="004C3507"/>
    <w:rsid w:val="004C3B22"/>
    <w:rsid w:val="004C4222"/>
    <w:rsid w:val="004C4451"/>
    <w:rsid w:val="004C446C"/>
    <w:rsid w:val="004C47AF"/>
    <w:rsid w:val="004C4BB5"/>
    <w:rsid w:val="004C50D6"/>
    <w:rsid w:val="004C597F"/>
    <w:rsid w:val="004C61D7"/>
    <w:rsid w:val="004C6523"/>
    <w:rsid w:val="004C69BD"/>
    <w:rsid w:val="004C7EF2"/>
    <w:rsid w:val="004D0515"/>
    <w:rsid w:val="004D0AC1"/>
    <w:rsid w:val="004D0CBC"/>
    <w:rsid w:val="004D0E28"/>
    <w:rsid w:val="004D12D6"/>
    <w:rsid w:val="004D2394"/>
    <w:rsid w:val="004D2410"/>
    <w:rsid w:val="004D2851"/>
    <w:rsid w:val="004D2877"/>
    <w:rsid w:val="004D3FE0"/>
    <w:rsid w:val="004D49D1"/>
    <w:rsid w:val="004D6BEE"/>
    <w:rsid w:val="004D6DD9"/>
    <w:rsid w:val="004D76AB"/>
    <w:rsid w:val="004E042A"/>
    <w:rsid w:val="004E08A4"/>
    <w:rsid w:val="004E0C28"/>
    <w:rsid w:val="004E15EF"/>
    <w:rsid w:val="004E1833"/>
    <w:rsid w:val="004E1EEF"/>
    <w:rsid w:val="004E1F04"/>
    <w:rsid w:val="004E2015"/>
    <w:rsid w:val="004E3A0E"/>
    <w:rsid w:val="004E3D29"/>
    <w:rsid w:val="004E3FFE"/>
    <w:rsid w:val="004E4ED7"/>
    <w:rsid w:val="004E5244"/>
    <w:rsid w:val="004E64DF"/>
    <w:rsid w:val="004E6E6D"/>
    <w:rsid w:val="004E6E87"/>
    <w:rsid w:val="004E75AA"/>
    <w:rsid w:val="004E76A5"/>
    <w:rsid w:val="004F0308"/>
    <w:rsid w:val="004F2419"/>
    <w:rsid w:val="004F2566"/>
    <w:rsid w:val="004F2568"/>
    <w:rsid w:val="004F2A76"/>
    <w:rsid w:val="004F3B5D"/>
    <w:rsid w:val="004F4296"/>
    <w:rsid w:val="004F4F79"/>
    <w:rsid w:val="004F5116"/>
    <w:rsid w:val="004F5909"/>
    <w:rsid w:val="004F5A8E"/>
    <w:rsid w:val="004F5DA7"/>
    <w:rsid w:val="004F5FB3"/>
    <w:rsid w:val="004F7478"/>
    <w:rsid w:val="004F770C"/>
    <w:rsid w:val="004F7712"/>
    <w:rsid w:val="004F78BE"/>
    <w:rsid w:val="004F7AB0"/>
    <w:rsid w:val="004F7B61"/>
    <w:rsid w:val="004F7BF4"/>
    <w:rsid w:val="004F7FCB"/>
    <w:rsid w:val="004FB21B"/>
    <w:rsid w:val="004FDB72"/>
    <w:rsid w:val="005000A0"/>
    <w:rsid w:val="00500331"/>
    <w:rsid w:val="005003C3"/>
    <w:rsid w:val="00500892"/>
    <w:rsid w:val="00500A50"/>
    <w:rsid w:val="00502971"/>
    <w:rsid w:val="00502D21"/>
    <w:rsid w:val="00502EC9"/>
    <w:rsid w:val="00503AB1"/>
    <w:rsid w:val="00503BBA"/>
    <w:rsid w:val="00504B07"/>
    <w:rsid w:val="00504E1C"/>
    <w:rsid w:val="00504EFE"/>
    <w:rsid w:val="00505276"/>
    <w:rsid w:val="00505D95"/>
    <w:rsid w:val="005073CC"/>
    <w:rsid w:val="005075E9"/>
    <w:rsid w:val="0050798E"/>
    <w:rsid w:val="005101B1"/>
    <w:rsid w:val="00510746"/>
    <w:rsid w:val="005126C1"/>
    <w:rsid w:val="00512A40"/>
    <w:rsid w:val="00513549"/>
    <w:rsid w:val="005138E8"/>
    <w:rsid w:val="005141A9"/>
    <w:rsid w:val="0051435E"/>
    <w:rsid w:val="005149D3"/>
    <w:rsid w:val="00514E8C"/>
    <w:rsid w:val="00515141"/>
    <w:rsid w:val="005151A9"/>
    <w:rsid w:val="00515DFF"/>
    <w:rsid w:val="0051650A"/>
    <w:rsid w:val="00517524"/>
    <w:rsid w:val="00517B17"/>
    <w:rsid w:val="00517BE1"/>
    <w:rsid w:val="00520A7F"/>
    <w:rsid w:val="00520AFC"/>
    <w:rsid w:val="00520F86"/>
    <w:rsid w:val="00521575"/>
    <w:rsid w:val="005224E1"/>
    <w:rsid w:val="00523BD6"/>
    <w:rsid w:val="00524077"/>
    <w:rsid w:val="0052453D"/>
    <w:rsid w:val="00525FE9"/>
    <w:rsid w:val="00526A00"/>
    <w:rsid w:val="00527238"/>
    <w:rsid w:val="005274CD"/>
    <w:rsid w:val="00530646"/>
    <w:rsid w:val="00530691"/>
    <w:rsid w:val="005313A3"/>
    <w:rsid w:val="00531E60"/>
    <w:rsid w:val="00532A17"/>
    <w:rsid w:val="0053304F"/>
    <w:rsid w:val="0053348A"/>
    <w:rsid w:val="005335AC"/>
    <w:rsid w:val="0053360E"/>
    <w:rsid w:val="0053386F"/>
    <w:rsid w:val="0053422F"/>
    <w:rsid w:val="00534C08"/>
    <w:rsid w:val="00535ACC"/>
    <w:rsid w:val="005375DB"/>
    <w:rsid w:val="00537705"/>
    <w:rsid w:val="00540C54"/>
    <w:rsid w:val="005414BB"/>
    <w:rsid w:val="0054159D"/>
    <w:rsid w:val="005419DF"/>
    <w:rsid w:val="00542E0F"/>
    <w:rsid w:val="00542E52"/>
    <w:rsid w:val="005431DF"/>
    <w:rsid w:val="00543989"/>
    <w:rsid w:val="00543C06"/>
    <w:rsid w:val="00543CCA"/>
    <w:rsid w:val="00543F44"/>
    <w:rsid w:val="005440B6"/>
    <w:rsid w:val="005477F8"/>
    <w:rsid w:val="00547F83"/>
    <w:rsid w:val="005500F9"/>
    <w:rsid w:val="0055231A"/>
    <w:rsid w:val="005523D9"/>
    <w:rsid w:val="005528A2"/>
    <w:rsid w:val="0055309A"/>
    <w:rsid w:val="005530AC"/>
    <w:rsid w:val="005533D5"/>
    <w:rsid w:val="00553733"/>
    <w:rsid w:val="00553EC3"/>
    <w:rsid w:val="005544E6"/>
    <w:rsid w:val="0055488C"/>
    <w:rsid w:val="00555387"/>
    <w:rsid w:val="00555F48"/>
    <w:rsid w:val="00556B8F"/>
    <w:rsid w:val="005578D1"/>
    <w:rsid w:val="00557901"/>
    <w:rsid w:val="0055DA5E"/>
    <w:rsid w:val="005606A0"/>
    <w:rsid w:val="00560ABE"/>
    <w:rsid w:val="00560EAF"/>
    <w:rsid w:val="00561192"/>
    <w:rsid w:val="005612CE"/>
    <w:rsid w:val="005632F7"/>
    <w:rsid w:val="00563D83"/>
    <w:rsid w:val="00563E22"/>
    <w:rsid w:val="00564784"/>
    <w:rsid w:val="0056526F"/>
    <w:rsid w:val="005655B1"/>
    <w:rsid w:val="005658AD"/>
    <w:rsid w:val="00565E96"/>
    <w:rsid w:val="00566B77"/>
    <w:rsid w:val="00567A24"/>
    <w:rsid w:val="00567ACD"/>
    <w:rsid w:val="005700CC"/>
    <w:rsid w:val="00570913"/>
    <w:rsid w:val="005709D9"/>
    <w:rsid w:val="00570A2C"/>
    <w:rsid w:val="00571549"/>
    <w:rsid w:val="005716C9"/>
    <w:rsid w:val="005716DB"/>
    <w:rsid w:val="0057237E"/>
    <w:rsid w:val="00572A62"/>
    <w:rsid w:val="00573206"/>
    <w:rsid w:val="00573776"/>
    <w:rsid w:val="00573F0C"/>
    <w:rsid w:val="00574443"/>
    <w:rsid w:val="00574B77"/>
    <w:rsid w:val="00575338"/>
    <w:rsid w:val="00576F3C"/>
    <w:rsid w:val="005772B2"/>
    <w:rsid w:val="00577904"/>
    <w:rsid w:val="00580565"/>
    <w:rsid w:val="00582650"/>
    <w:rsid w:val="005835B0"/>
    <w:rsid w:val="00583754"/>
    <w:rsid w:val="00584E62"/>
    <w:rsid w:val="00585648"/>
    <w:rsid w:val="00585CE1"/>
    <w:rsid w:val="00585EF6"/>
    <w:rsid w:val="005867A1"/>
    <w:rsid w:val="00590388"/>
    <w:rsid w:val="005918FC"/>
    <w:rsid w:val="00591953"/>
    <w:rsid w:val="00593DBB"/>
    <w:rsid w:val="00593DE0"/>
    <w:rsid w:val="00593FB0"/>
    <w:rsid w:val="0059414F"/>
    <w:rsid w:val="005946EF"/>
    <w:rsid w:val="00594AB6"/>
    <w:rsid w:val="0059510F"/>
    <w:rsid w:val="00595173"/>
    <w:rsid w:val="005953C9"/>
    <w:rsid w:val="005954F0"/>
    <w:rsid w:val="0059574F"/>
    <w:rsid w:val="00595763"/>
    <w:rsid w:val="00595885"/>
    <w:rsid w:val="00595C0E"/>
    <w:rsid w:val="00596BA2"/>
    <w:rsid w:val="00596CF1"/>
    <w:rsid w:val="005970F4"/>
    <w:rsid w:val="005973F2"/>
    <w:rsid w:val="005A065F"/>
    <w:rsid w:val="005A0E57"/>
    <w:rsid w:val="005A0E76"/>
    <w:rsid w:val="005A1A58"/>
    <w:rsid w:val="005A4013"/>
    <w:rsid w:val="005A464C"/>
    <w:rsid w:val="005A4DE4"/>
    <w:rsid w:val="005A69F3"/>
    <w:rsid w:val="005A7C54"/>
    <w:rsid w:val="005AD165"/>
    <w:rsid w:val="005B00E2"/>
    <w:rsid w:val="005B01EF"/>
    <w:rsid w:val="005B045C"/>
    <w:rsid w:val="005B1618"/>
    <w:rsid w:val="005B19E7"/>
    <w:rsid w:val="005B1AFC"/>
    <w:rsid w:val="005B2C12"/>
    <w:rsid w:val="005B2DC1"/>
    <w:rsid w:val="005B2F21"/>
    <w:rsid w:val="005B43A4"/>
    <w:rsid w:val="005B68D7"/>
    <w:rsid w:val="005B6943"/>
    <w:rsid w:val="005B7183"/>
    <w:rsid w:val="005B7C96"/>
    <w:rsid w:val="005B7D9C"/>
    <w:rsid w:val="005BE4D2"/>
    <w:rsid w:val="005C0762"/>
    <w:rsid w:val="005C09D0"/>
    <w:rsid w:val="005C10CC"/>
    <w:rsid w:val="005C1133"/>
    <w:rsid w:val="005C16A7"/>
    <w:rsid w:val="005C16DC"/>
    <w:rsid w:val="005C1B10"/>
    <w:rsid w:val="005C1BB4"/>
    <w:rsid w:val="005C27E6"/>
    <w:rsid w:val="005C28D9"/>
    <w:rsid w:val="005C2B0C"/>
    <w:rsid w:val="005C398E"/>
    <w:rsid w:val="005C4ECD"/>
    <w:rsid w:val="005C61FF"/>
    <w:rsid w:val="005C64ED"/>
    <w:rsid w:val="005C6E3A"/>
    <w:rsid w:val="005C7130"/>
    <w:rsid w:val="005C7F9B"/>
    <w:rsid w:val="005D043F"/>
    <w:rsid w:val="005D0D18"/>
    <w:rsid w:val="005D0DC3"/>
    <w:rsid w:val="005D16C1"/>
    <w:rsid w:val="005D178A"/>
    <w:rsid w:val="005D19BD"/>
    <w:rsid w:val="005D4928"/>
    <w:rsid w:val="005D4C07"/>
    <w:rsid w:val="005D4E79"/>
    <w:rsid w:val="005D5ACA"/>
    <w:rsid w:val="005D7C56"/>
    <w:rsid w:val="005E001D"/>
    <w:rsid w:val="005E0982"/>
    <w:rsid w:val="005E0DDF"/>
    <w:rsid w:val="005E146C"/>
    <w:rsid w:val="005E1CAC"/>
    <w:rsid w:val="005E2DB8"/>
    <w:rsid w:val="005E346D"/>
    <w:rsid w:val="005E3722"/>
    <w:rsid w:val="005E373E"/>
    <w:rsid w:val="005E4A2F"/>
    <w:rsid w:val="005E65C6"/>
    <w:rsid w:val="005E6732"/>
    <w:rsid w:val="005F043B"/>
    <w:rsid w:val="005F1548"/>
    <w:rsid w:val="005F39CA"/>
    <w:rsid w:val="005F580F"/>
    <w:rsid w:val="005F69F8"/>
    <w:rsid w:val="005F6B43"/>
    <w:rsid w:val="005F6D5B"/>
    <w:rsid w:val="005F7E3B"/>
    <w:rsid w:val="00600089"/>
    <w:rsid w:val="00600260"/>
    <w:rsid w:val="00600578"/>
    <w:rsid w:val="00601C63"/>
    <w:rsid w:val="00601E52"/>
    <w:rsid w:val="006021C8"/>
    <w:rsid w:val="00603029"/>
    <w:rsid w:val="00603530"/>
    <w:rsid w:val="00603D52"/>
    <w:rsid w:val="00603E2F"/>
    <w:rsid w:val="0060413F"/>
    <w:rsid w:val="00604333"/>
    <w:rsid w:val="00604338"/>
    <w:rsid w:val="006049DE"/>
    <w:rsid w:val="00605621"/>
    <w:rsid w:val="0060564C"/>
    <w:rsid w:val="00605F97"/>
    <w:rsid w:val="00606421"/>
    <w:rsid w:val="00607E78"/>
    <w:rsid w:val="00610596"/>
    <w:rsid w:val="0061082D"/>
    <w:rsid w:val="0061226B"/>
    <w:rsid w:val="0061254C"/>
    <w:rsid w:val="0061279B"/>
    <w:rsid w:val="00613251"/>
    <w:rsid w:val="00613B22"/>
    <w:rsid w:val="00613FAF"/>
    <w:rsid w:val="0061513F"/>
    <w:rsid w:val="006168E7"/>
    <w:rsid w:val="00617B14"/>
    <w:rsid w:val="0062112B"/>
    <w:rsid w:val="006216FF"/>
    <w:rsid w:val="00621D0A"/>
    <w:rsid w:val="0062209F"/>
    <w:rsid w:val="006220B4"/>
    <w:rsid w:val="00622663"/>
    <w:rsid w:val="00622BBA"/>
    <w:rsid w:val="00625146"/>
    <w:rsid w:val="00626C9A"/>
    <w:rsid w:val="006278C9"/>
    <w:rsid w:val="006279C7"/>
    <w:rsid w:val="00627D37"/>
    <w:rsid w:val="0063082D"/>
    <w:rsid w:val="00630D41"/>
    <w:rsid w:val="0063162F"/>
    <w:rsid w:val="0063297D"/>
    <w:rsid w:val="00632D2A"/>
    <w:rsid w:val="0063304F"/>
    <w:rsid w:val="00633218"/>
    <w:rsid w:val="006335FB"/>
    <w:rsid w:val="00634DDB"/>
    <w:rsid w:val="00635581"/>
    <w:rsid w:val="00635CDD"/>
    <w:rsid w:val="00636792"/>
    <w:rsid w:val="00636A8C"/>
    <w:rsid w:val="00637490"/>
    <w:rsid w:val="00637EE1"/>
    <w:rsid w:val="00640953"/>
    <w:rsid w:val="006410DC"/>
    <w:rsid w:val="006415D5"/>
    <w:rsid w:val="006419A1"/>
    <w:rsid w:val="00641F54"/>
    <w:rsid w:val="006422C8"/>
    <w:rsid w:val="006436C5"/>
    <w:rsid w:val="00644832"/>
    <w:rsid w:val="00644F33"/>
    <w:rsid w:val="006452EF"/>
    <w:rsid w:val="00645352"/>
    <w:rsid w:val="00645D7A"/>
    <w:rsid w:val="00646100"/>
    <w:rsid w:val="00646443"/>
    <w:rsid w:val="00646C33"/>
    <w:rsid w:val="00647377"/>
    <w:rsid w:val="00647384"/>
    <w:rsid w:val="006473A2"/>
    <w:rsid w:val="006477C7"/>
    <w:rsid w:val="0065105E"/>
    <w:rsid w:val="006522B8"/>
    <w:rsid w:val="00653180"/>
    <w:rsid w:val="006546C3"/>
    <w:rsid w:val="00655097"/>
    <w:rsid w:val="00655F30"/>
    <w:rsid w:val="00656629"/>
    <w:rsid w:val="00656933"/>
    <w:rsid w:val="00656A6F"/>
    <w:rsid w:val="00657AB0"/>
    <w:rsid w:val="0065B1AD"/>
    <w:rsid w:val="00660B92"/>
    <w:rsid w:val="00660C31"/>
    <w:rsid w:val="006612A0"/>
    <w:rsid w:val="00661B90"/>
    <w:rsid w:val="00661CF1"/>
    <w:rsid w:val="006621EF"/>
    <w:rsid w:val="006629FA"/>
    <w:rsid w:val="00662FED"/>
    <w:rsid w:val="006630D6"/>
    <w:rsid w:val="0066338F"/>
    <w:rsid w:val="00663E74"/>
    <w:rsid w:val="00664295"/>
    <w:rsid w:val="0066505D"/>
    <w:rsid w:val="00665189"/>
    <w:rsid w:val="006660FF"/>
    <w:rsid w:val="00666504"/>
    <w:rsid w:val="006667CB"/>
    <w:rsid w:val="00666873"/>
    <w:rsid w:val="00666DF3"/>
    <w:rsid w:val="0066785E"/>
    <w:rsid w:val="006701F4"/>
    <w:rsid w:val="006710C9"/>
    <w:rsid w:val="00671637"/>
    <w:rsid w:val="00673060"/>
    <w:rsid w:val="00673256"/>
    <w:rsid w:val="006732F5"/>
    <w:rsid w:val="006738F3"/>
    <w:rsid w:val="00675A14"/>
    <w:rsid w:val="00676B8B"/>
    <w:rsid w:val="00676C43"/>
    <w:rsid w:val="00676F4E"/>
    <w:rsid w:val="006777B0"/>
    <w:rsid w:val="00677DCE"/>
    <w:rsid w:val="00680169"/>
    <w:rsid w:val="00680415"/>
    <w:rsid w:val="00681907"/>
    <w:rsid w:val="00681C3A"/>
    <w:rsid w:val="0068201A"/>
    <w:rsid w:val="00683433"/>
    <w:rsid w:val="00683623"/>
    <w:rsid w:val="006842B4"/>
    <w:rsid w:val="006853EF"/>
    <w:rsid w:val="00685508"/>
    <w:rsid w:val="006856D5"/>
    <w:rsid w:val="00685DB7"/>
    <w:rsid w:val="006861D7"/>
    <w:rsid w:val="00686DF5"/>
    <w:rsid w:val="006875CC"/>
    <w:rsid w:val="006877AB"/>
    <w:rsid w:val="00687D69"/>
    <w:rsid w:val="006908E8"/>
    <w:rsid w:val="00690D6E"/>
    <w:rsid w:val="00691BBB"/>
    <w:rsid w:val="006938A8"/>
    <w:rsid w:val="00693EDA"/>
    <w:rsid w:val="00694052"/>
    <w:rsid w:val="0069411F"/>
    <w:rsid w:val="006943BF"/>
    <w:rsid w:val="00694C1C"/>
    <w:rsid w:val="00696020"/>
    <w:rsid w:val="00696B1C"/>
    <w:rsid w:val="00696D2D"/>
    <w:rsid w:val="006978B7"/>
    <w:rsid w:val="00697DC4"/>
    <w:rsid w:val="00697F3C"/>
    <w:rsid w:val="006A0149"/>
    <w:rsid w:val="006A0DDA"/>
    <w:rsid w:val="006A12EE"/>
    <w:rsid w:val="006A269F"/>
    <w:rsid w:val="006A37C4"/>
    <w:rsid w:val="006A3D25"/>
    <w:rsid w:val="006A4147"/>
    <w:rsid w:val="006A51B3"/>
    <w:rsid w:val="006A535C"/>
    <w:rsid w:val="006A71DA"/>
    <w:rsid w:val="006A794E"/>
    <w:rsid w:val="006A7E85"/>
    <w:rsid w:val="006A7FB5"/>
    <w:rsid w:val="006B00A3"/>
    <w:rsid w:val="006B046C"/>
    <w:rsid w:val="006B082A"/>
    <w:rsid w:val="006B1F7A"/>
    <w:rsid w:val="006B33EC"/>
    <w:rsid w:val="006B4C4B"/>
    <w:rsid w:val="006B4D5A"/>
    <w:rsid w:val="006B558B"/>
    <w:rsid w:val="006B6183"/>
    <w:rsid w:val="006B6390"/>
    <w:rsid w:val="006B63D3"/>
    <w:rsid w:val="006B69EE"/>
    <w:rsid w:val="006B6E1C"/>
    <w:rsid w:val="006B726B"/>
    <w:rsid w:val="006B728A"/>
    <w:rsid w:val="006B787D"/>
    <w:rsid w:val="006B7ACD"/>
    <w:rsid w:val="006B7C5F"/>
    <w:rsid w:val="006C0D26"/>
    <w:rsid w:val="006C1ADC"/>
    <w:rsid w:val="006C1EBF"/>
    <w:rsid w:val="006C5548"/>
    <w:rsid w:val="006C5F71"/>
    <w:rsid w:val="006C6499"/>
    <w:rsid w:val="006C660E"/>
    <w:rsid w:val="006C69DB"/>
    <w:rsid w:val="006C6F03"/>
    <w:rsid w:val="006C73AE"/>
    <w:rsid w:val="006C7DA3"/>
    <w:rsid w:val="006D0DDE"/>
    <w:rsid w:val="006D1732"/>
    <w:rsid w:val="006D23B2"/>
    <w:rsid w:val="006D28DC"/>
    <w:rsid w:val="006D2B62"/>
    <w:rsid w:val="006D3505"/>
    <w:rsid w:val="006D4B65"/>
    <w:rsid w:val="006D4EED"/>
    <w:rsid w:val="006D4FE9"/>
    <w:rsid w:val="006D5281"/>
    <w:rsid w:val="006D5295"/>
    <w:rsid w:val="006D55AB"/>
    <w:rsid w:val="006D57D0"/>
    <w:rsid w:val="006D5B24"/>
    <w:rsid w:val="006D5E1B"/>
    <w:rsid w:val="006D5F24"/>
    <w:rsid w:val="006D614F"/>
    <w:rsid w:val="006D637E"/>
    <w:rsid w:val="006D6404"/>
    <w:rsid w:val="006D6FE9"/>
    <w:rsid w:val="006D7684"/>
    <w:rsid w:val="006D7968"/>
    <w:rsid w:val="006E01AA"/>
    <w:rsid w:val="006E027A"/>
    <w:rsid w:val="006E0597"/>
    <w:rsid w:val="006E0BB6"/>
    <w:rsid w:val="006E2422"/>
    <w:rsid w:val="006E27AE"/>
    <w:rsid w:val="006E29BB"/>
    <w:rsid w:val="006E29E7"/>
    <w:rsid w:val="006E31D7"/>
    <w:rsid w:val="006E4C6A"/>
    <w:rsid w:val="006E4C7F"/>
    <w:rsid w:val="006E5201"/>
    <w:rsid w:val="006E669C"/>
    <w:rsid w:val="006E68FF"/>
    <w:rsid w:val="006E71A0"/>
    <w:rsid w:val="006E7675"/>
    <w:rsid w:val="006E7A1A"/>
    <w:rsid w:val="006F026E"/>
    <w:rsid w:val="006F2367"/>
    <w:rsid w:val="006F29F8"/>
    <w:rsid w:val="006F2ACE"/>
    <w:rsid w:val="006F3169"/>
    <w:rsid w:val="006F3852"/>
    <w:rsid w:val="006F3CA6"/>
    <w:rsid w:val="006F4437"/>
    <w:rsid w:val="006F4835"/>
    <w:rsid w:val="006F54F8"/>
    <w:rsid w:val="006F5E7A"/>
    <w:rsid w:val="006F5ED8"/>
    <w:rsid w:val="006F6E97"/>
    <w:rsid w:val="006F7642"/>
    <w:rsid w:val="006F7933"/>
    <w:rsid w:val="006F7E73"/>
    <w:rsid w:val="00700259"/>
    <w:rsid w:val="007009BA"/>
    <w:rsid w:val="00701A17"/>
    <w:rsid w:val="00701CE6"/>
    <w:rsid w:val="00701EB3"/>
    <w:rsid w:val="00701F85"/>
    <w:rsid w:val="007039CB"/>
    <w:rsid w:val="00703CE3"/>
    <w:rsid w:val="00703E7B"/>
    <w:rsid w:val="007043C5"/>
    <w:rsid w:val="0070482B"/>
    <w:rsid w:val="007054A2"/>
    <w:rsid w:val="00705AD6"/>
    <w:rsid w:val="00705EED"/>
    <w:rsid w:val="00706782"/>
    <w:rsid w:val="00706AEF"/>
    <w:rsid w:val="00707383"/>
    <w:rsid w:val="007076E3"/>
    <w:rsid w:val="00707F8C"/>
    <w:rsid w:val="00707FCC"/>
    <w:rsid w:val="00710618"/>
    <w:rsid w:val="0071063E"/>
    <w:rsid w:val="00711A13"/>
    <w:rsid w:val="007130A2"/>
    <w:rsid w:val="0071338F"/>
    <w:rsid w:val="00713A3E"/>
    <w:rsid w:val="00714B6F"/>
    <w:rsid w:val="00715646"/>
    <w:rsid w:val="00715D40"/>
    <w:rsid w:val="007170FC"/>
    <w:rsid w:val="0071755A"/>
    <w:rsid w:val="00717856"/>
    <w:rsid w:val="00717A7D"/>
    <w:rsid w:val="00722A92"/>
    <w:rsid w:val="00722D45"/>
    <w:rsid w:val="007230A8"/>
    <w:rsid w:val="007231F8"/>
    <w:rsid w:val="00723BB2"/>
    <w:rsid w:val="00723BCC"/>
    <w:rsid w:val="00724572"/>
    <w:rsid w:val="007249FA"/>
    <w:rsid w:val="00726B25"/>
    <w:rsid w:val="00726BB8"/>
    <w:rsid w:val="00727B35"/>
    <w:rsid w:val="007304B0"/>
    <w:rsid w:val="007309C9"/>
    <w:rsid w:val="00731A97"/>
    <w:rsid w:val="0073206C"/>
    <w:rsid w:val="00732133"/>
    <w:rsid w:val="00732C41"/>
    <w:rsid w:val="007334AA"/>
    <w:rsid w:val="00733975"/>
    <w:rsid w:val="00733A0A"/>
    <w:rsid w:val="00733A73"/>
    <w:rsid w:val="0073424A"/>
    <w:rsid w:val="00737306"/>
    <w:rsid w:val="0074072D"/>
    <w:rsid w:val="007409A6"/>
    <w:rsid w:val="007409DF"/>
    <w:rsid w:val="00741295"/>
    <w:rsid w:val="0074166E"/>
    <w:rsid w:val="00741FF8"/>
    <w:rsid w:val="007424CA"/>
    <w:rsid w:val="00742E86"/>
    <w:rsid w:val="0074718C"/>
    <w:rsid w:val="007477A9"/>
    <w:rsid w:val="00747973"/>
    <w:rsid w:val="00747FEC"/>
    <w:rsid w:val="00750DBD"/>
    <w:rsid w:val="007515D7"/>
    <w:rsid w:val="00752131"/>
    <w:rsid w:val="00752271"/>
    <w:rsid w:val="00752389"/>
    <w:rsid w:val="007533A1"/>
    <w:rsid w:val="0075393E"/>
    <w:rsid w:val="00753A89"/>
    <w:rsid w:val="007543D4"/>
    <w:rsid w:val="00754D16"/>
    <w:rsid w:val="00755736"/>
    <w:rsid w:val="00755E15"/>
    <w:rsid w:val="00756284"/>
    <w:rsid w:val="00757850"/>
    <w:rsid w:val="00761F45"/>
    <w:rsid w:val="007620F8"/>
    <w:rsid w:val="007625BB"/>
    <w:rsid w:val="00763884"/>
    <w:rsid w:val="00763D6F"/>
    <w:rsid w:val="00764968"/>
    <w:rsid w:val="00764985"/>
    <w:rsid w:val="00764ADB"/>
    <w:rsid w:val="00764C7E"/>
    <w:rsid w:val="00764E23"/>
    <w:rsid w:val="00765FB5"/>
    <w:rsid w:val="00766F2E"/>
    <w:rsid w:val="007705D3"/>
    <w:rsid w:val="0077077D"/>
    <w:rsid w:val="007716E0"/>
    <w:rsid w:val="00771FCE"/>
    <w:rsid w:val="00772DF6"/>
    <w:rsid w:val="00772E55"/>
    <w:rsid w:val="007747E0"/>
    <w:rsid w:val="00774DD7"/>
    <w:rsid w:val="00775C92"/>
    <w:rsid w:val="00775F02"/>
    <w:rsid w:val="00776DCB"/>
    <w:rsid w:val="00776E55"/>
    <w:rsid w:val="00777783"/>
    <w:rsid w:val="007777EC"/>
    <w:rsid w:val="007779A8"/>
    <w:rsid w:val="007800D9"/>
    <w:rsid w:val="00780106"/>
    <w:rsid w:val="00780230"/>
    <w:rsid w:val="00780A92"/>
    <w:rsid w:val="007817A0"/>
    <w:rsid w:val="0078197D"/>
    <w:rsid w:val="0078302D"/>
    <w:rsid w:val="00783295"/>
    <w:rsid w:val="00783CD1"/>
    <w:rsid w:val="00783E7B"/>
    <w:rsid w:val="007846C8"/>
    <w:rsid w:val="00784CFC"/>
    <w:rsid w:val="00784F1A"/>
    <w:rsid w:val="00784F83"/>
    <w:rsid w:val="007852BD"/>
    <w:rsid w:val="00786B58"/>
    <w:rsid w:val="00786C9B"/>
    <w:rsid w:val="007871B2"/>
    <w:rsid w:val="0078730D"/>
    <w:rsid w:val="00787358"/>
    <w:rsid w:val="00790B13"/>
    <w:rsid w:val="00791235"/>
    <w:rsid w:val="00791DF3"/>
    <w:rsid w:val="0079314A"/>
    <w:rsid w:val="007935D5"/>
    <w:rsid w:val="00793D38"/>
    <w:rsid w:val="00794D21"/>
    <w:rsid w:val="0079539F"/>
    <w:rsid w:val="00796279"/>
    <w:rsid w:val="00796353"/>
    <w:rsid w:val="007967E9"/>
    <w:rsid w:val="007970F1"/>
    <w:rsid w:val="0079719E"/>
    <w:rsid w:val="007A0CF8"/>
    <w:rsid w:val="007A15CD"/>
    <w:rsid w:val="007A1F21"/>
    <w:rsid w:val="007A20C8"/>
    <w:rsid w:val="007A2512"/>
    <w:rsid w:val="007A2EB4"/>
    <w:rsid w:val="007A2EDD"/>
    <w:rsid w:val="007A31B3"/>
    <w:rsid w:val="007A3465"/>
    <w:rsid w:val="007A3493"/>
    <w:rsid w:val="007A39FC"/>
    <w:rsid w:val="007A43AA"/>
    <w:rsid w:val="007A4C60"/>
    <w:rsid w:val="007A4FA9"/>
    <w:rsid w:val="007A52F2"/>
    <w:rsid w:val="007A5E01"/>
    <w:rsid w:val="007A709C"/>
    <w:rsid w:val="007A7254"/>
    <w:rsid w:val="007A74A2"/>
    <w:rsid w:val="007B0082"/>
    <w:rsid w:val="007B0203"/>
    <w:rsid w:val="007B14D3"/>
    <w:rsid w:val="007B16B0"/>
    <w:rsid w:val="007B1846"/>
    <w:rsid w:val="007B25C3"/>
    <w:rsid w:val="007B26CA"/>
    <w:rsid w:val="007B2A1C"/>
    <w:rsid w:val="007B2F0F"/>
    <w:rsid w:val="007B3CF4"/>
    <w:rsid w:val="007B4D66"/>
    <w:rsid w:val="007B572B"/>
    <w:rsid w:val="007B5C94"/>
    <w:rsid w:val="007B5ED6"/>
    <w:rsid w:val="007B60DB"/>
    <w:rsid w:val="007B6794"/>
    <w:rsid w:val="007B694E"/>
    <w:rsid w:val="007B6D56"/>
    <w:rsid w:val="007B7333"/>
    <w:rsid w:val="007B75C6"/>
    <w:rsid w:val="007BAC5F"/>
    <w:rsid w:val="007C0545"/>
    <w:rsid w:val="007C0670"/>
    <w:rsid w:val="007C0EC1"/>
    <w:rsid w:val="007C17EE"/>
    <w:rsid w:val="007C1975"/>
    <w:rsid w:val="007C1C8C"/>
    <w:rsid w:val="007C2A92"/>
    <w:rsid w:val="007C3A74"/>
    <w:rsid w:val="007C4735"/>
    <w:rsid w:val="007C4A39"/>
    <w:rsid w:val="007C519C"/>
    <w:rsid w:val="007C52EC"/>
    <w:rsid w:val="007C6A45"/>
    <w:rsid w:val="007C72FF"/>
    <w:rsid w:val="007D0415"/>
    <w:rsid w:val="007D0577"/>
    <w:rsid w:val="007D14FC"/>
    <w:rsid w:val="007D1A44"/>
    <w:rsid w:val="007D1B12"/>
    <w:rsid w:val="007D2327"/>
    <w:rsid w:val="007D29CD"/>
    <w:rsid w:val="007D2FED"/>
    <w:rsid w:val="007D422D"/>
    <w:rsid w:val="007D525D"/>
    <w:rsid w:val="007D53DC"/>
    <w:rsid w:val="007D5DBA"/>
    <w:rsid w:val="007D680B"/>
    <w:rsid w:val="007D6F8D"/>
    <w:rsid w:val="007D73D2"/>
    <w:rsid w:val="007D78CA"/>
    <w:rsid w:val="007D7946"/>
    <w:rsid w:val="007E1395"/>
    <w:rsid w:val="007E1662"/>
    <w:rsid w:val="007E16E0"/>
    <w:rsid w:val="007E1781"/>
    <w:rsid w:val="007E208D"/>
    <w:rsid w:val="007E20B2"/>
    <w:rsid w:val="007E2339"/>
    <w:rsid w:val="007E237B"/>
    <w:rsid w:val="007E277F"/>
    <w:rsid w:val="007E2BE1"/>
    <w:rsid w:val="007E2D4E"/>
    <w:rsid w:val="007E30B4"/>
    <w:rsid w:val="007E5426"/>
    <w:rsid w:val="007E5A6C"/>
    <w:rsid w:val="007E6B45"/>
    <w:rsid w:val="007E6B7D"/>
    <w:rsid w:val="007E6DE3"/>
    <w:rsid w:val="007E74A4"/>
    <w:rsid w:val="007F04D9"/>
    <w:rsid w:val="007F0851"/>
    <w:rsid w:val="007F0FF1"/>
    <w:rsid w:val="007F1CB9"/>
    <w:rsid w:val="007F1D08"/>
    <w:rsid w:val="007F2BD9"/>
    <w:rsid w:val="007F2C11"/>
    <w:rsid w:val="007F584B"/>
    <w:rsid w:val="007F592A"/>
    <w:rsid w:val="007F5985"/>
    <w:rsid w:val="007F5F96"/>
    <w:rsid w:val="007F6C7E"/>
    <w:rsid w:val="007F7301"/>
    <w:rsid w:val="0080000C"/>
    <w:rsid w:val="00800A8B"/>
    <w:rsid w:val="00800F9D"/>
    <w:rsid w:val="008016BD"/>
    <w:rsid w:val="00801851"/>
    <w:rsid w:val="0080193D"/>
    <w:rsid w:val="00801BEC"/>
    <w:rsid w:val="0080203F"/>
    <w:rsid w:val="0080206A"/>
    <w:rsid w:val="00802436"/>
    <w:rsid w:val="00802802"/>
    <w:rsid w:val="00802D5D"/>
    <w:rsid w:val="00802DC1"/>
    <w:rsid w:val="0080378C"/>
    <w:rsid w:val="00805170"/>
    <w:rsid w:val="00806067"/>
    <w:rsid w:val="00806123"/>
    <w:rsid w:val="0080674E"/>
    <w:rsid w:val="00806F83"/>
    <w:rsid w:val="00807BE1"/>
    <w:rsid w:val="00810D99"/>
    <w:rsid w:val="0081153B"/>
    <w:rsid w:val="00811791"/>
    <w:rsid w:val="00811998"/>
    <w:rsid w:val="00811A5D"/>
    <w:rsid w:val="00811CF3"/>
    <w:rsid w:val="008122A8"/>
    <w:rsid w:val="008127B0"/>
    <w:rsid w:val="00812832"/>
    <w:rsid w:val="00812E05"/>
    <w:rsid w:val="00813061"/>
    <w:rsid w:val="008136D0"/>
    <w:rsid w:val="00813D43"/>
    <w:rsid w:val="008141FB"/>
    <w:rsid w:val="008150B2"/>
    <w:rsid w:val="00815D71"/>
    <w:rsid w:val="00815F36"/>
    <w:rsid w:val="00815FFB"/>
    <w:rsid w:val="008168A9"/>
    <w:rsid w:val="0081797D"/>
    <w:rsid w:val="00820115"/>
    <w:rsid w:val="00820814"/>
    <w:rsid w:val="008209B8"/>
    <w:rsid w:val="00820A38"/>
    <w:rsid w:val="00820D56"/>
    <w:rsid w:val="00821BDD"/>
    <w:rsid w:val="00821F6A"/>
    <w:rsid w:val="008220E6"/>
    <w:rsid w:val="00822291"/>
    <w:rsid w:val="0082285F"/>
    <w:rsid w:val="008241D4"/>
    <w:rsid w:val="00824CA9"/>
    <w:rsid w:val="00824EF4"/>
    <w:rsid w:val="00825B8F"/>
    <w:rsid w:val="00826126"/>
    <w:rsid w:val="008268A3"/>
    <w:rsid w:val="00826AA8"/>
    <w:rsid w:val="00826FEF"/>
    <w:rsid w:val="00827271"/>
    <w:rsid w:val="0082755A"/>
    <w:rsid w:val="00827C88"/>
    <w:rsid w:val="00828798"/>
    <w:rsid w:val="00830DBA"/>
    <w:rsid w:val="00830F03"/>
    <w:rsid w:val="00831308"/>
    <w:rsid w:val="0083226A"/>
    <w:rsid w:val="008323AA"/>
    <w:rsid w:val="00832444"/>
    <w:rsid w:val="00832C3E"/>
    <w:rsid w:val="00832F3C"/>
    <w:rsid w:val="00833008"/>
    <w:rsid w:val="008330BC"/>
    <w:rsid w:val="00833709"/>
    <w:rsid w:val="008338D2"/>
    <w:rsid w:val="00833F54"/>
    <w:rsid w:val="008340E5"/>
    <w:rsid w:val="00834118"/>
    <w:rsid w:val="008341A4"/>
    <w:rsid w:val="008346B3"/>
    <w:rsid w:val="0083554F"/>
    <w:rsid w:val="008356E8"/>
    <w:rsid w:val="00836563"/>
    <w:rsid w:val="00837CF2"/>
    <w:rsid w:val="00840639"/>
    <w:rsid w:val="008407CF"/>
    <w:rsid w:val="00840EAD"/>
    <w:rsid w:val="00841126"/>
    <w:rsid w:val="00841321"/>
    <w:rsid w:val="00841692"/>
    <w:rsid w:val="008427EB"/>
    <w:rsid w:val="008429EE"/>
    <w:rsid w:val="00843121"/>
    <w:rsid w:val="00844448"/>
    <w:rsid w:val="00845E35"/>
    <w:rsid w:val="00847304"/>
    <w:rsid w:val="00847F04"/>
    <w:rsid w:val="00850B8E"/>
    <w:rsid w:val="00850D3B"/>
    <w:rsid w:val="008511DD"/>
    <w:rsid w:val="0085190A"/>
    <w:rsid w:val="00851CCA"/>
    <w:rsid w:val="00851EEE"/>
    <w:rsid w:val="00852189"/>
    <w:rsid w:val="00852613"/>
    <w:rsid w:val="008528A3"/>
    <w:rsid w:val="00853E4E"/>
    <w:rsid w:val="00854079"/>
    <w:rsid w:val="008545E6"/>
    <w:rsid w:val="00855D20"/>
    <w:rsid w:val="00855E7B"/>
    <w:rsid w:val="008562F4"/>
    <w:rsid w:val="00856E36"/>
    <w:rsid w:val="008573FD"/>
    <w:rsid w:val="00857BFE"/>
    <w:rsid w:val="00860507"/>
    <w:rsid w:val="0086093F"/>
    <w:rsid w:val="00860DFB"/>
    <w:rsid w:val="008610B9"/>
    <w:rsid w:val="00861C5E"/>
    <w:rsid w:val="00862547"/>
    <w:rsid w:val="00862921"/>
    <w:rsid w:val="00862BE2"/>
    <w:rsid w:val="00862E5D"/>
    <w:rsid w:val="008638DA"/>
    <w:rsid w:val="008642A0"/>
    <w:rsid w:val="0086552D"/>
    <w:rsid w:val="00865B09"/>
    <w:rsid w:val="00865CE5"/>
    <w:rsid w:val="00865E36"/>
    <w:rsid w:val="008666C3"/>
    <w:rsid w:val="008668B0"/>
    <w:rsid w:val="00867A60"/>
    <w:rsid w:val="00867CBD"/>
    <w:rsid w:val="00870480"/>
    <w:rsid w:val="008709BA"/>
    <w:rsid w:val="0087100B"/>
    <w:rsid w:val="00871246"/>
    <w:rsid w:val="00871272"/>
    <w:rsid w:val="008713F2"/>
    <w:rsid w:val="00871A7A"/>
    <w:rsid w:val="00871CC1"/>
    <w:rsid w:val="00871E0F"/>
    <w:rsid w:val="00871EE6"/>
    <w:rsid w:val="00872108"/>
    <w:rsid w:val="00872719"/>
    <w:rsid w:val="0087362C"/>
    <w:rsid w:val="00873884"/>
    <w:rsid w:val="00874495"/>
    <w:rsid w:val="008745EE"/>
    <w:rsid w:val="008755F7"/>
    <w:rsid w:val="00876C78"/>
    <w:rsid w:val="00876F13"/>
    <w:rsid w:val="00877B6F"/>
    <w:rsid w:val="00877ED7"/>
    <w:rsid w:val="008802EF"/>
    <w:rsid w:val="008809BA"/>
    <w:rsid w:val="00880D07"/>
    <w:rsid w:val="00880D76"/>
    <w:rsid w:val="008821A8"/>
    <w:rsid w:val="0088257A"/>
    <w:rsid w:val="008825EA"/>
    <w:rsid w:val="00884096"/>
    <w:rsid w:val="008847FD"/>
    <w:rsid w:val="00884990"/>
    <w:rsid w:val="00884C82"/>
    <w:rsid w:val="00885C3F"/>
    <w:rsid w:val="00886184"/>
    <w:rsid w:val="00886CAF"/>
    <w:rsid w:val="0088741C"/>
    <w:rsid w:val="008874F6"/>
    <w:rsid w:val="00887EC2"/>
    <w:rsid w:val="008907A1"/>
    <w:rsid w:val="00891BD8"/>
    <w:rsid w:val="00891D31"/>
    <w:rsid w:val="00892152"/>
    <w:rsid w:val="0089258C"/>
    <w:rsid w:val="008927ED"/>
    <w:rsid w:val="00892C5B"/>
    <w:rsid w:val="00892D96"/>
    <w:rsid w:val="008936BD"/>
    <w:rsid w:val="008936F6"/>
    <w:rsid w:val="00894289"/>
    <w:rsid w:val="00894D99"/>
    <w:rsid w:val="00894F63"/>
    <w:rsid w:val="00895BEB"/>
    <w:rsid w:val="008968C7"/>
    <w:rsid w:val="008968F7"/>
    <w:rsid w:val="00896CC0"/>
    <w:rsid w:val="00897277"/>
    <w:rsid w:val="00897D32"/>
    <w:rsid w:val="008A148C"/>
    <w:rsid w:val="008A174D"/>
    <w:rsid w:val="008A1CE5"/>
    <w:rsid w:val="008A2429"/>
    <w:rsid w:val="008A2A5E"/>
    <w:rsid w:val="008A2DD7"/>
    <w:rsid w:val="008A385D"/>
    <w:rsid w:val="008A3987"/>
    <w:rsid w:val="008A4358"/>
    <w:rsid w:val="008A46CB"/>
    <w:rsid w:val="008A5161"/>
    <w:rsid w:val="008A632B"/>
    <w:rsid w:val="008A7C24"/>
    <w:rsid w:val="008B0590"/>
    <w:rsid w:val="008B06F5"/>
    <w:rsid w:val="008B0EDE"/>
    <w:rsid w:val="008B1502"/>
    <w:rsid w:val="008B15A2"/>
    <w:rsid w:val="008B1AB6"/>
    <w:rsid w:val="008B1AFD"/>
    <w:rsid w:val="008B2A46"/>
    <w:rsid w:val="008B31F2"/>
    <w:rsid w:val="008B32C6"/>
    <w:rsid w:val="008B3702"/>
    <w:rsid w:val="008B46D5"/>
    <w:rsid w:val="008B49D9"/>
    <w:rsid w:val="008B5985"/>
    <w:rsid w:val="008B66F5"/>
    <w:rsid w:val="008B6D0F"/>
    <w:rsid w:val="008B6E77"/>
    <w:rsid w:val="008B74F4"/>
    <w:rsid w:val="008B7FD1"/>
    <w:rsid w:val="008C0FFB"/>
    <w:rsid w:val="008C1189"/>
    <w:rsid w:val="008C144C"/>
    <w:rsid w:val="008C1A1C"/>
    <w:rsid w:val="008C1FC3"/>
    <w:rsid w:val="008C338B"/>
    <w:rsid w:val="008C36CA"/>
    <w:rsid w:val="008C3A49"/>
    <w:rsid w:val="008C4434"/>
    <w:rsid w:val="008C44CF"/>
    <w:rsid w:val="008C46A5"/>
    <w:rsid w:val="008C48C2"/>
    <w:rsid w:val="008C5D9B"/>
    <w:rsid w:val="008C77B3"/>
    <w:rsid w:val="008C7DC5"/>
    <w:rsid w:val="008D11A7"/>
    <w:rsid w:val="008D1632"/>
    <w:rsid w:val="008D1EE8"/>
    <w:rsid w:val="008D323B"/>
    <w:rsid w:val="008D3591"/>
    <w:rsid w:val="008D3820"/>
    <w:rsid w:val="008D3E8D"/>
    <w:rsid w:val="008D58C8"/>
    <w:rsid w:val="008D60D6"/>
    <w:rsid w:val="008D67AE"/>
    <w:rsid w:val="008D76FA"/>
    <w:rsid w:val="008D7964"/>
    <w:rsid w:val="008D7A8C"/>
    <w:rsid w:val="008D7E60"/>
    <w:rsid w:val="008E0359"/>
    <w:rsid w:val="008E0BF8"/>
    <w:rsid w:val="008E1219"/>
    <w:rsid w:val="008E170B"/>
    <w:rsid w:val="008E2BE7"/>
    <w:rsid w:val="008E35A2"/>
    <w:rsid w:val="008E39AE"/>
    <w:rsid w:val="008E4B42"/>
    <w:rsid w:val="008E55F0"/>
    <w:rsid w:val="008E5E34"/>
    <w:rsid w:val="008E669D"/>
    <w:rsid w:val="008E75D0"/>
    <w:rsid w:val="008F0786"/>
    <w:rsid w:val="008F0DAB"/>
    <w:rsid w:val="008F1268"/>
    <w:rsid w:val="008F1975"/>
    <w:rsid w:val="008F2C9C"/>
    <w:rsid w:val="008F3509"/>
    <w:rsid w:val="008F3795"/>
    <w:rsid w:val="008F4977"/>
    <w:rsid w:val="008F4EDF"/>
    <w:rsid w:val="008F5194"/>
    <w:rsid w:val="008F51F2"/>
    <w:rsid w:val="008F52B9"/>
    <w:rsid w:val="008F5853"/>
    <w:rsid w:val="008F5E2D"/>
    <w:rsid w:val="008F5FD0"/>
    <w:rsid w:val="008F6149"/>
    <w:rsid w:val="008F6B99"/>
    <w:rsid w:val="008F75FF"/>
    <w:rsid w:val="00900D1B"/>
    <w:rsid w:val="0090104F"/>
    <w:rsid w:val="00901806"/>
    <w:rsid w:val="00901912"/>
    <w:rsid w:val="00902A58"/>
    <w:rsid w:val="0090325B"/>
    <w:rsid w:val="009037B0"/>
    <w:rsid w:val="00904EA8"/>
    <w:rsid w:val="00905B36"/>
    <w:rsid w:val="00905C86"/>
    <w:rsid w:val="00906454"/>
    <w:rsid w:val="00906FC4"/>
    <w:rsid w:val="0090769D"/>
    <w:rsid w:val="00907D59"/>
    <w:rsid w:val="00910DB7"/>
    <w:rsid w:val="00910F0A"/>
    <w:rsid w:val="009111A1"/>
    <w:rsid w:val="00911F1F"/>
    <w:rsid w:val="00911FF4"/>
    <w:rsid w:val="009126DB"/>
    <w:rsid w:val="00912E33"/>
    <w:rsid w:val="00913A76"/>
    <w:rsid w:val="0091423B"/>
    <w:rsid w:val="0091455F"/>
    <w:rsid w:val="00914C13"/>
    <w:rsid w:val="0091597A"/>
    <w:rsid w:val="00915A0C"/>
    <w:rsid w:val="00915A97"/>
    <w:rsid w:val="00915DF6"/>
    <w:rsid w:val="009160DA"/>
    <w:rsid w:val="0091645D"/>
    <w:rsid w:val="00916B3E"/>
    <w:rsid w:val="00916D50"/>
    <w:rsid w:val="009170CF"/>
    <w:rsid w:val="009175F3"/>
    <w:rsid w:val="00917CB1"/>
    <w:rsid w:val="009191EC"/>
    <w:rsid w:val="0091C2EA"/>
    <w:rsid w:val="00920275"/>
    <w:rsid w:val="00921DC8"/>
    <w:rsid w:val="0092295D"/>
    <w:rsid w:val="00922DDC"/>
    <w:rsid w:val="00923AF4"/>
    <w:rsid w:val="00923B5F"/>
    <w:rsid w:val="009246E7"/>
    <w:rsid w:val="0092489A"/>
    <w:rsid w:val="00925277"/>
    <w:rsid w:val="009257C9"/>
    <w:rsid w:val="00925C7F"/>
    <w:rsid w:val="00925D7C"/>
    <w:rsid w:val="00926272"/>
    <w:rsid w:val="00926550"/>
    <w:rsid w:val="0092676F"/>
    <w:rsid w:val="009271E4"/>
    <w:rsid w:val="009272BD"/>
    <w:rsid w:val="00929934"/>
    <w:rsid w:val="00930EE8"/>
    <w:rsid w:val="00930F7D"/>
    <w:rsid w:val="00931087"/>
    <w:rsid w:val="00933983"/>
    <w:rsid w:val="00933ECB"/>
    <w:rsid w:val="00934016"/>
    <w:rsid w:val="0093424F"/>
    <w:rsid w:val="00936204"/>
    <w:rsid w:val="00936F0D"/>
    <w:rsid w:val="00937849"/>
    <w:rsid w:val="00937F50"/>
    <w:rsid w:val="00940601"/>
    <w:rsid w:val="00940727"/>
    <w:rsid w:val="009407C4"/>
    <w:rsid w:val="00940CD1"/>
    <w:rsid w:val="00941189"/>
    <w:rsid w:val="00941454"/>
    <w:rsid w:val="00941863"/>
    <w:rsid w:val="00942530"/>
    <w:rsid w:val="00942A6F"/>
    <w:rsid w:val="009435D1"/>
    <w:rsid w:val="009443E9"/>
    <w:rsid w:val="00944B58"/>
    <w:rsid w:val="0094587E"/>
    <w:rsid w:val="00945A56"/>
    <w:rsid w:val="009477C9"/>
    <w:rsid w:val="009477CF"/>
    <w:rsid w:val="0094787B"/>
    <w:rsid w:val="00947F50"/>
    <w:rsid w:val="009501C9"/>
    <w:rsid w:val="00950CBE"/>
    <w:rsid w:val="009516D0"/>
    <w:rsid w:val="009548D5"/>
    <w:rsid w:val="00955C6F"/>
    <w:rsid w:val="00956FB3"/>
    <w:rsid w:val="00957B82"/>
    <w:rsid w:val="0096010E"/>
    <w:rsid w:val="009609C2"/>
    <w:rsid w:val="00960DA6"/>
    <w:rsid w:val="00961775"/>
    <w:rsid w:val="0096324C"/>
    <w:rsid w:val="00964B31"/>
    <w:rsid w:val="00964C59"/>
    <w:rsid w:val="009657D9"/>
    <w:rsid w:val="00967121"/>
    <w:rsid w:val="009676DD"/>
    <w:rsid w:val="00970005"/>
    <w:rsid w:val="00970182"/>
    <w:rsid w:val="0097136B"/>
    <w:rsid w:val="0097173E"/>
    <w:rsid w:val="009718BF"/>
    <w:rsid w:val="009719DA"/>
    <w:rsid w:val="0097248E"/>
    <w:rsid w:val="00972B9B"/>
    <w:rsid w:val="0097664C"/>
    <w:rsid w:val="009767BA"/>
    <w:rsid w:val="00976AA9"/>
    <w:rsid w:val="00976B48"/>
    <w:rsid w:val="00976FDA"/>
    <w:rsid w:val="00977731"/>
    <w:rsid w:val="00977B2E"/>
    <w:rsid w:val="0098046C"/>
    <w:rsid w:val="00980823"/>
    <w:rsid w:val="00980B26"/>
    <w:rsid w:val="009814A8"/>
    <w:rsid w:val="00981C08"/>
    <w:rsid w:val="009820C8"/>
    <w:rsid w:val="00982888"/>
    <w:rsid w:val="00983051"/>
    <w:rsid w:val="00983CCB"/>
    <w:rsid w:val="00984C51"/>
    <w:rsid w:val="00985FA7"/>
    <w:rsid w:val="00986E8D"/>
    <w:rsid w:val="009901FA"/>
    <w:rsid w:val="0099045F"/>
    <w:rsid w:val="009907A6"/>
    <w:rsid w:val="00990A59"/>
    <w:rsid w:val="00991AB1"/>
    <w:rsid w:val="00991C1B"/>
    <w:rsid w:val="00991E10"/>
    <w:rsid w:val="009922AA"/>
    <w:rsid w:val="009928C6"/>
    <w:rsid w:val="00992D79"/>
    <w:rsid w:val="009934C6"/>
    <w:rsid w:val="0099494E"/>
    <w:rsid w:val="00995B30"/>
    <w:rsid w:val="0099601C"/>
    <w:rsid w:val="009962E2"/>
    <w:rsid w:val="00996A9E"/>
    <w:rsid w:val="00996BCE"/>
    <w:rsid w:val="00997404"/>
    <w:rsid w:val="00997C52"/>
    <w:rsid w:val="00997EC0"/>
    <w:rsid w:val="009A07C7"/>
    <w:rsid w:val="009A1122"/>
    <w:rsid w:val="009A118E"/>
    <w:rsid w:val="009A1E96"/>
    <w:rsid w:val="009A5136"/>
    <w:rsid w:val="009A55E4"/>
    <w:rsid w:val="009A664E"/>
    <w:rsid w:val="009A6B16"/>
    <w:rsid w:val="009A7735"/>
    <w:rsid w:val="009A7961"/>
    <w:rsid w:val="009AA50A"/>
    <w:rsid w:val="009B029D"/>
    <w:rsid w:val="009B068D"/>
    <w:rsid w:val="009B0893"/>
    <w:rsid w:val="009B0C18"/>
    <w:rsid w:val="009B0D03"/>
    <w:rsid w:val="009B15CC"/>
    <w:rsid w:val="009B37C1"/>
    <w:rsid w:val="009B398D"/>
    <w:rsid w:val="009B5218"/>
    <w:rsid w:val="009B6129"/>
    <w:rsid w:val="009B6731"/>
    <w:rsid w:val="009B7BAE"/>
    <w:rsid w:val="009C0E70"/>
    <w:rsid w:val="009C1174"/>
    <w:rsid w:val="009C13CA"/>
    <w:rsid w:val="009C1500"/>
    <w:rsid w:val="009C1700"/>
    <w:rsid w:val="009C18A1"/>
    <w:rsid w:val="009C1F92"/>
    <w:rsid w:val="009C2193"/>
    <w:rsid w:val="009C275B"/>
    <w:rsid w:val="009C509A"/>
    <w:rsid w:val="009C5330"/>
    <w:rsid w:val="009C5C6A"/>
    <w:rsid w:val="009C5CD7"/>
    <w:rsid w:val="009C6704"/>
    <w:rsid w:val="009C788F"/>
    <w:rsid w:val="009D02B1"/>
    <w:rsid w:val="009D0407"/>
    <w:rsid w:val="009D0694"/>
    <w:rsid w:val="009D09E3"/>
    <w:rsid w:val="009D0CFC"/>
    <w:rsid w:val="009D2AA8"/>
    <w:rsid w:val="009D4BE9"/>
    <w:rsid w:val="009D5239"/>
    <w:rsid w:val="009D543E"/>
    <w:rsid w:val="009D54DC"/>
    <w:rsid w:val="009D56B7"/>
    <w:rsid w:val="009D59D7"/>
    <w:rsid w:val="009D5EC6"/>
    <w:rsid w:val="009D6128"/>
    <w:rsid w:val="009D6404"/>
    <w:rsid w:val="009D6CB0"/>
    <w:rsid w:val="009D7071"/>
    <w:rsid w:val="009D70CB"/>
    <w:rsid w:val="009D75F2"/>
    <w:rsid w:val="009D7B40"/>
    <w:rsid w:val="009E01E9"/>
    <w:rsid w:val="009E2E10"/>
    <w:rsid w:val="009E2F10"/>
    <w:rsid w:val="009E38E1"/>
    <w:rsid w:val="009E3B31"/>
    <w:rsid w:val="009E4994"/>
    <w:rsid w:val="009E4A26"/>
    <w:rsid w:val="009E4BBC"/>
    <w:rsid w:val="009E527E"/>
    <w:rsid w:val="009E66AF"/>
    <w:rsid w:val="009E6F88"/>
    <w:rsid w:val="009E77A6"/>
    <w:rsid w:val="009E7C32"/>
    <w:rsid w:val="009F066F"/>
    <w:rsid w:val="009F0683"/>
    <w:rsid w:val="009F18F1"/>
    <w:rsid w:val="009F19DE"/>
    <w:rsid w:val="009F1BA9"/>
    <w:rsid w:val="009F2437"/>
    <w:rsid w:val="009F2472"/>
    <w:rsid w:val="009F308F"/>
    <w:rsid w:val="009F30BB"/>
    <w:rsid w:val="009F3833"/>
    <w:rsid w:val="009F393B"/>
    <w:rsid w:val="009F3F6C"/>
    <w:rsid w:val="009F40CF"/>
    <w:rsid w:val="009F4658"/>
    <w:rsid w:val="009F4845"/>
    <w:rsid w:val="009F4AB3"/>
    <w:rsid w:val="009F5471"/>
    <w:rsid w:val="009F622D"/>
    <w:rsid w:val="009F6966"/>
    <w:rsid w:val="009F6D90"/>
    <w:rsid w:val="009F6E06"/>
    <w:rsid w:val="009F71C3"/>
    <w:rsid w:val="009F73B1"/>
    <w:rsid w:val="009F7F18"/>
    <w:rsid w:val="00A00C50"/>
    <w:rsid w:val="00A01CCD"/>
    <w:rsid w:val="00A02402"/>
    <w:rsid w:val="00A02B13"/>
    <w:rsid w:val="00A037CF"/>
    <w:rsid w:val="00A03CBB"/>
    <w:rsid w:val="00A03EC5"/>
    <w:rsid w:val="00A044C9"/>
    <w:rsid w:val="00A04723"/>
    <w:rsid w:val="00A04A49"/>
    <w:rsid w:val="00A04B07"/>
    <w:rsid w:val="00A05A9D"/>
    <w:rsid w:val="00A076C8"/>
    <w:rsid w:val="00A1041E"/>
    <w:rsid w:val="00A11501"/>
    <w:rsid w:val="00A1199A"/>
    <w:rsid w:val="00A12BEC"/>
    <w:rsid w:val="00A130FB"/>
    <w:rsid w:val="00A13CD8"/>
    <w:rsid w:val="00A142C3"/>
    <w:rsid w:val="00A1513D"/>
    <w:rsid w:val="00A1550E"/>
    <w:rsid w:val="00A163DA"/>
    <w:rsid w:val="00A16D10"/>
    <w:rsid w:val="00A17997"/>
    <w:rsid w:val="00A21695"/>
    <w:rsid w:val="00A21B61"/>
    <w:rsid w:val="00A21EA2"/>
    <w:rsid w:val="00A21F0C"/>
    <w:rsid w:val="00A22C0F"/>
    <w:rsid w:val="00A24423"/>
    <w:rsid w:val="00A24847"/>
    <w:rsid w:val="00A24B0B"/>
    <w:rsid w:val="00A2572F"/>
    <w:rsid w:val="00A25984"/>
    <w:rsid w:val="00A263B6"/>
    <w:rsid w:val="00A2656A"/>
    <w:rsid w:val="00A2676C"/>
    <w:rsid w:val="00A26DD1"/>
    <w:rsid w:val="00A270A6"/>
    <w:rsid w:val="00A27333"/>
    <w:rsid w:val="00A30405"/>
    <w:rsid w:val="00A30F2D"/>
    <w:rsid w:val="00A3106A"/>
    <w:rsid w:val="00A31847"/>
    <w:rsid w:val="00A31DDD"/>
    <w:rsid w:val="00A32D02"/>
    <w:rsid w:val="00A33493"/>
    <w:rsid w:val="00A33516"/>
    <w:rsid w:val="00A343C8"/>
    <w:rsid w:val="00A34401"/>
    <w:rsid w:val="00A3440B"/>
    <w:rsid w:val="00A34665"/>
    <w:rsid w:val="00A34C36"/>
    <w:rsid w:val="00A35197"/>
    <w:rsid w:val="00A3523C"/>
    <w:rsid w:val="00A35285"/>
    <w:rsid w:val="00A35FA8"/>
    <w:rsid w:val="00A36850"/>
    <w:rsid w:val="00A37453"/>
    <w:rsid w:val="00A37FF4"/>
    <w:rsid w:val="00A40E93"/>
    <w:rsid w:val="00A41779"/>
    <w:rsid w:val="00A425BA"/>
    <w:rsid w:val="00A44D77"/>
    <w:rsid w:val="00A450A8"/>
    <w:rsid w:val="00A45A5F"/>
    <w:rsid w:val="00A4659B"/>
    <w:rsid w:val="00A46D09"/>
    <w:rsid w:val="00A50546"/>
    <w:rsid w:val="00A50B77"/>
    <w:rsid w:val="00A50DE6"/>
    <w:rsid w:val="00A52D48"/>
    <w:rsid w:val="00A53171"/>
    <w:rsid w:val="00A54732"/>
    <w:rsid w:val="00A54765"/>
    <w:rsid w:val="00A5511E"/>
    <w:rsid w:val="00A556F0"/>
    <w:rsid w:val="00A5572E"/>
    <w:rsid w:val="00A559F4"/>
    <w:rsid w:val="00A55B61"/>
    <w:rsid w:val="00A566AB"/>
    <w:rsid w:val="00A56749"/>
    <w:rsid w:val="00A5682F"/>
    <w:rsid w:val="00A56A1C"/>
    <w:rsid w:val="00A56F1B"/>
    <w:rsid w:val="00A601E5"/>
    <w:rsid w:val="00A6060C"/>
    <w:rsid w:val="00A61413"/>
    <w:rsid w:val="00A62105"/>
    <w:rsid w:val="00A62768"/>
    <w:rsid w:val="00A62CA3"/>
    <w:rsid w:val="00A62E95"/>
    <w:rsid w:val="00A638B5"/>
    <w:rsid w:val="00A6552B"/>
    <w:rsid w:val="00A65B05"/>
    <w:rsid w:val="00A66A9F"/>
    <w:rsid w:val="00A6788D"/>
    <w:rsid w:val="00A70AA2"/>
    <w:rsid w:val="00A712D5"/>
    <w:rsid w:val="00A72083"/>
    <w:rsid w:val="00A72773"/>
    <w:rsid w:val="00A73489"/>
    <w:rsid w:val="00A74363"/>
    <w:rsid w:val="00A7472A"/>
    <w:rsid w:val="00A756F4"/>
    <w:rsid w:val="00A75A9F"/>
    <w:rsid w:val="00A75E11"/>
    <w:rsid w:val="00A76B16"/>
    <w:rsid w:val="00A76D11"/>
    <w:rsid w:val="00A76D92"/>
    <w:rsid w:val="00A76EBA"/>
    <w:rsid w:val="00A80593"/>
    <w:rsid w:val="00A80B90"/>
    <w:rsid w:val="00A81551"/>
    <w:rsid w:val="00A82703"/>
    <w:rsid w:val="00A82CA3"/>
    <w:rsid w:val="00A8369C"/>
    <w:rsid w:val="00A83CD9"/>
    <w:rsid w:val="00A85887"/>
    <w:rsid w:val="00A85B92"/>
    <w:rsid w:val="00A85BD3"/>
    <w:rsid w:val="00A85F8A"/>
    <w:rsid w:val="00A86020"/>
    <w:rsid w:val="00A86175"/>
    <w:rsid w:val="00A863F7"/>
    <w:rsid w:val="00A86A95"/>
    <w:rsid w:val="00A86DF4"/>
    <w:rsid w:val="00A87F69"/>
    <w:rsid w:val="00A905C6"/>
    <w:rsid w:val="00A90839"/>
    <w:rsid w:val="00A910C7"/>
    <w:rsid w:val="00A91310"/>
    <w:rsid w:val="00A91E14"/>
    <w:rsid w:val="00A92797"/>
    <w:rsid w:val="00A9295A"/>
    <w:rsid w:val="00A92C41"/>
    <w:rsid w:val="00A93053"/>
    <w:rsid w:val="00A93147"/>
    <w:rsid w:val="00A9457C"/>
    <w:rsid w:val="00A946CB"/>
    <w:rsid w:val="00A94836"/>
    <w:rsid w:val="00A94A7E"/>
    <w:rsid w:val="00A96046"/>
    <w:rsid w:val="00A96D43"/>
    <w:rsid w:val="00A97674"/>
    <w:rsid w:val="00A97720"/>
    <w:rsid w:val="00A97E5D"/>
    <w:rsid w:val="00AA0B0F"/>
    <w:rsid w:val="00AA1ED7"/>
    <w:rsid w:val="00AA225A"/>
    <w:rsid w:val="00AA3DF7"/>
    <w:rsid w:val="00AA48ED"/>
    <w:rsid w:val="00AA4E32"/>
    <w:rsid w:val="00AA4FCF"/>
    <w:rsid w:val="00AA5691"/>
    <w:rsid w:val="00AA6128"/>
    <w:rsid w:val="00AA66B0"/>
    <w:rsid w:val="00AA687A"/>
    <w:rsid w:val="00AA6FC1"/>
    <w:rsid w:val="00AA76C0"/>
    <w:rsid w:val="00AA7C1D"/>
    <w:rsid w:val="00AB0C8C"/>
    <w:rsid w:val="00AB19A0"/>
    <w:rsid w:val="00AB1F50"/>
    <w:rsid w:val="00AB2291"/>
    <w:rsid w:val="00AB2900"/>
    <w:rsid w:val="00AB2AB3"/>
    <w:rsid w:val="00AB3306"/>
    <w:rsid w:val="00AB3E35"/>
    <w:rsid w:val="00AB4428"/>
    <w:rsid w:val="00AB46BB"/>
    <w:rsid w:val="00AB5006"/>
    <w:rsid w:val="00AB586C"/>
    <w:rsid w:val="00AB6C5C"/>
    <w:rsid w:val="00AB6E1C"/>
    <w:rsid w:val="00AB7A4A"/>
    <w:rsid w:val="00AB7F89"/>
    <w:rsid w:val="00AB7F9C"/>
    <w:rsid w:val="00AC0F50"/>
    <w:rsid w:val="00AC1049"/>
    <w:rsid w:val="00AC1CBA"/>
    <w:rsid w:val="00AC33A9"/>
    <w:rsid w:val="00AC3DAA"/>
    <w:rsid w:val="00AC5A4A"/>
    <w:rsid w:val="00AC5EFB"/>
    <w:rsid w:val="00AC6118"/>
    <w:rsid w:val="00AC7086"/>
    <w:rsid w:val="00AC7938"/>
    <w:rsid w:val="00AC793E"/>
    <w:rsid w:val="00AC7CFE"/>
    <w:rsid w:val="00AD0EDA"/>
    <w:rsid w:val="00AD1FA0"/>
    <w:rsid w:val="00AD2C08"/>
    <w:rsid w:val="00AD3203"/>
    <w:rsid w:val="00AD3C94"/>
    <w:rsid w:val="00AD4001"/>
    <w:rsid w:val="00AD43C1"/>
    <w:rsid w:val="00AD5907"/>
    <w:rsid w:val="00AD5D14"/>
    <w:rsid w:val="00AD6209"/>
    <w:rsid w:val="00AD66FC"/>
    <w:rsid w:val="00AD6C3E"/>
    <w:rsid w:val="00AD7F42"/>
    <w:rsid w:val="00AD7F7B"/>
    <w:rsid w:val="00AE05EE"/>
    <w:rsid w:val="00AE0908"/>
    <w:rsid w:val="00AE257A"/>
    <w:rsid w:val="00AE33D8"/>
    <w:rsid w:val="00AE381F"/>
    <w:rsid w:val="00AE3A3C"/>
    <w:rsid w:val="00AE3EF2"/>
    <w:rsid w:val="00AE5075"/>
    <w:rsid w:val="00AE65BD"/>
    <w:rsid w:val="00AE6C1C"/>
    <w:rsid w:val="00AE73D0"/>
    <w:rsid w:val="00AE7600"/>
    <w:rsid w:val="00AE79D5"/>
    <w:rsid w:val="00AF0940"/>
    <w:rsid w:val="00AF0AC4"/>
    <w:rsid w:val="00AF0F0B"/>
    <w:rsid w:val="00AF128F"/>
    <w:rsid w:val="00AF36A3"/>
    <w:rsid w:val="00AF3DA0"/>
    <w:rsid w:val="00AF43D4"/>
    <w:rsid w:val="00AF4981"/>
    <w:rsid w:val="00AF4E42"/>
    <w:rsid w:val="00AF5303"/>
    <w:rsid w:val="00AF535C"/>
    <w:rsid w:val="00AF56AC"/>
    <w:rsid w:val="00AF57B7"/>
    <w:rsid w:val="00AF59E6"/>
    <w:rsid w:val="00AF6545"/>
    <w:rsid w:val="00AF6808"/>
    <w:rsid w:val="00AF69EC"/>
    <w:rsid w:val="00AF6ADA"/>
    <w:rsid w:val="00AF6F66"/>
    <w:rsid w:val="00AF7D29"/>
    <w:rsid w:val="00B006E1"/>
    <w:rsid w:val="00B018EE"/>
    <w:rsid w:val="00B02D55"/>
    <w:rsid w:val="00B034AC"/>
    <w:rsid w:val="00B0356C"/>
    <w:rsid w:val="00B03927"/>
    <w:rsid w:val="00B047D5"/>
    <w:rsid w:val="00B04C62"/>
    <w:rsid w:val="00B051D7"/>
    <w:rsid w:val="00B05DE3"/>
    <w:rsid w:val="00B076D6"/>
    <w:rsid w:val="00B07C32"/>
    <w:rsid w:val="00B101A6"/>
    <w:rsid w:val="00B108F2"/>
    <w:rsid w:val="00B11C6A"/>
    <w:rsid w:val="00B11EA0"/>
    <w:rsid w:val="00B1208C"/>
    <w:rsid w:val="00B12F62"/>
    <w:rsid w:val="00B14067"/>
    <w:rsid w:val="00B1425D"/>
    <w:rsid w:val="00B14559"/>
    <w:rsid w:val="00B14D76"/>
    <w:rsid w:val="00B1574D"/>
    <w:rsid w:val="00B163CA"/>
    <w:rsid w:val="00B1663F"/>
    <w:rsid w:val="00B16865"/>
    <w:rsid w:val="00B16C17"/>
    <w:rsid w:val="00B175F3"/>
    <w:rsid w:val="00B21FC7"/>
    <w:rsid w:val="00B21FC8"/>
    <w:rsid w:val="00B220D6"/>
    <w:rsid w:val="00B22D3B"/>
    <w:rsid w:val="00B22E01"/>
    <w:rsid w:val="00B23433"/>
    <w:rsid w:val="00B23D05"/>
    <w:rsid w:val="00B24EBA"/>
    <w:rsid w:val="00B257B2"/>
    <w:rsid w:val="00B25C33"/>
    <w:rsid w:val="00B25F91"/>
    <w:rsid w:val="00B260B8"/>
    <w:rsid w:val="00B26CF0"/>
    <w:rsid w:val="00B26DA9"/>
    <w:rsid w:val="00B27FEB"/>
    <w:rsid w:val="00B30047"/>
    <w:rsid w:val="00B30AEC"/>
    <w:rsid w:val="00B31A1B"/>
    <w:rsid w:val="00B31ADE"/>
    <w:rsid w:val="00B3225E"/>
    <w:rsid w:val="00B3446D"/>
    <w:rsid w:val="00B3504D"/>
    <w:rsid w:val="00B35497"/>
    <w:rsid w:val="00B37E1F"/>
    <w:rsid w:val="00B40B1E"/>
    <w:rsid w:val="00B40B51"/>
    <w:rsid w:val="00B40FF4"/>
    <w:rsid w:val="00B413DB"/>
    <w:rsid w:val="00B4156A"/>
    <w:rsid w:val="00B416EB"/>
    <w:rsid w:val="00B417E9"/>
    <w:rsid w:val="00B4181A"/>
    <w:rsid w:val="00B41B93"/>
    <w:rsid w:val="00B41DC9"/>
    <w:rsid w:val="00B434C1"/>
    <w:rsid w:val="00B4351E"/>
    <w:rsid w:val="00B43965"/>
    <w:rsid w:val="00B4430E"/>
    <w:rsid w:val="00B443C3"/>
    <w:rsid w:val="00B450D3"/>
    <w:rsid w:val="00B458E6"/>
    <w:rsid w:val="00B47789"/>
    <w:rsid w:val="00B47D4A"/>
    <w:rsid w:val="00B47E37"/>
    <w:rsid w:val="00B500F7"/>
    <w:rsid w:val="00B5169C"/>
    <w:rsid w:val="00B51D65"/>
    <w:rsid w:val="00B51FCF"/>
    <w:rsid w:val="00B52256"/>
    <w:rsid w:val="00B52956"/>
    <w:rsid w:val="00B52A69"/>
    <w:rsid w:val="00B52CEC"/>
    <w:rsid w:val="00B52DE9"/>
    <w:rsid w:val="00B52E2D"/>
    <w:rsid w:val="00B52FDA"/>
    <w:rsid w:val="00B53F47"/>
    <w:rsid w:val="00B54046"/>
    <w:rsid w:val="00B54FA0"/>
    <w:rsid w:val="00B5670A"/>
    <w:rsid w:val="00B56BDB"/>
    <w:rsid w:val="00B56D3E"/>
    <w:rsid w:val="00B57092"/>
    <w:rsid w:val="00B57A95"/>
    <w:rsid w:val="00B57C58"/>
    <w:rsid w:val="00B61692"/>
    <w:rsid w:val="00B61975"/>
    <w:rsid w:val="00B62AC4"/>
    <w:rsid w:val="00B6436B"/>
    <w:rsid w:val="00B647FB"/>
    <w:rsid w:val="00B64DF2"/>
    <w:rsid w:val="00B64E5B"/>
    <w:rsid w:val="00B65293"/>
    <w:rsid w:val="00B65911"/>
    <w:rsid w:val="00B66481"/>
    <w:rsid w:val="00B66B50"/>
    <w:rsid w:val="00B66EE4"/>
    <w:rsid w:val="00B671A4"/>
    <w:rsid w:val="00B67A55"/>
    <w:rsid w:val="00B705A2"/>
    <w:rsid w:val="00B71E37"/>
    <w:rsid w:val="00B72F46"/>
    <w:rsid w:val="00B73173"/>
    <w:rsid w:val="00B73494"/>
    <w:rsid w:val="00B73814"/>
    <w:rsid w:val="00B73BBC"/>
    <w:rsid w:val="00B75CC1"/>
    <w:rsid w:val="00B75FA4"/>
    <w:rsid w:val="00B76002"/>
    <w:rsid w:val="00B76071"/>
    <w:rsid w:val="00B76101"/>
    <w:rsid w:val="00B77266"/>
    <w:rsid w:val="00B7784F"/>
    <w:rsid w:val="00B77AC3"/>
    <w:rsid w:val="00B77E61"/>
    <w:rsid w:val="00B812F1"/>
    <w:rsid w:val="00B81517"/>
    <w:rsid w:val="00B8194B"/>
    <w:rsid w:val="00B81958"/>
    <w:rsid w:val="00B822EE"/>
    <w:rsid w:val="00B823C2"/>
    <w:rsid w:val="00B82536"/>
    <w:rsid w:val="00B84AB3"/>
    <w:rsid w:val="00B860FE"/>
    <w:rsid w:val="00B86CEB"/>
    <w:rsid w:val="00B86E93"/>
    <w:rsid w:val="00B87AF4"/>
    <w:rsid w:val="00B90620"/>
    <w:rsid w:val="00B90C4D"/>
    <w:rsid w:val="00B90DF3"/>
    <w:rsid w:val="00B911BC"/>
    <w:rsid w:val="00B92ACB"/>
    <w:rsid w:val="00B92FD4"/>
    <w:rsid w:val="00B93720"/>
    <w:rsid w:val="00B93ABB"/>
    <w:rsid w:val="00B93F82"/>
    <w:rsid w:val="00B9483F"/>
    <w:rsid w:val="00B953CD"/>
    <w:rsid w:val="00B957A3"/>
    <w:rsid w:val="00B95C8E"/>
    <w:rsid w:val="00B96261"/>
    <w:rsid w:val="00B97F3E"/>
    <w:rsid w:val="00BA0063"/>
    <w:rsid w:val="00BA0205"/>
    <w:rsid w:val="00BA0250"/>
    <w:rsid w:val="00BA04DA"/>
    <w:rsid w:val="00BA0AC2"/>
    <w:rsid w:val="00BA20B7"/>
    <w:rsid w:val="00BA3056"/>
    <w:rsid w:val="00BA36E8"/>
    <w:rsid w:val="00BA3829"/>
    <w:rsid w:val="00BA39F7"/>
    <w:rsid w:val="00BA40AB"/>
    <w:rsid w:val="00BA43C5"/>
    <w:rsid w:val="00BA4C5A"/>
    <w:rsid w:val="00BA6283"/>
    <w:rsid w:val="00BA633D"/>
    <w:rsid w:val="00BA641A"/>
    <w:rsid w:val="00BA66BF"/>
    <w:rsid w:val="00BB2E7F"/>
    <w:rsid w:val="00BB50C2"/>
    <w:rsid w:val="00BB62E1"/>
    <w:rsid w:val="00BB63E3"/>
    <w:rsid w:val="00BB6AD5"/>
    <w:rsid w:val="00BB6C16"/>
    <w:rsid w:val="00BB6F1B"/>
    <w:rsid w:val="00BB71FA"/>
    <w:rsid w:val="00BB76CD"/>
    <w:rsid w:val="00BB7857"/>
    <w:rsid w:val="00BB7AFB"/>
    <w:rsid w:val="00BB7F69"/>
    <w:rsid w:val="00BBCEB6"/>
    <w:rsid w:val="00BC0993"/>
    <w:rsid w:val="00BC0E65"/>
    <w:rsid w:val="00BC1256"/>
    <w:rsid w:val="00BC2FC2"/>
    <w:rsid w:val="00BC4252"/>
    <w:rsid w:val="00BC47F2"/>
    <w:rsid w:val="00BC487A"/>
    <w:rsid w:val="00BC4E07"/>
    <w:rsid w:val="00BC5577"/>
    <w:rsid w:val="00BC69E6"/>
    <w:rsid w:val="00BD086A"/>
    <w:rsid w:val="00BD08D3"/>
    <w:rsid w:val="00BD258B"/>
    <w:rsid w:val="00BD4B60"/>
    <w:rsid w:val="00BD4BFB"/>
    <w:rsid w:val="00BD4E19"/>
    <w:rsid w:val="00BD5707"/>
    <w:rsid w:val="00BD5F0A"/>
    <w:rsid w:val="00BD5FE8"/>
    <w:rsid w:val="00BD6141"/>
    <w:rsid w:val="00BD63AC"/>
    <w:rsid w:val="00BD63D1"/>
    <w:rsid w:val="00BD7CE1"/>
    <w:rsid w:val="00BE0025"/>
    <w:rsid w:val="00BE09C5"/>
    <w:rsid w:val="00BE1811"/>
    <w:rsid w:val="00BE2BB4"/>
    <w:rsid w:val="00BE31A0"/>
    <w:rsid w:val="00BE350F"/>
    <w:rsid w:val="00BE35E4"/>
    <w:rsid w:val="00BE3AA8"/>
    <w:rsid w:val="00BE498A"/>
    <w:rsid w:val="00BE561C"/>
    <w:rsid w:val="00BE5C2C"/>
    <w:rsid w:val="00BE732A"/>
    <w:rsid w:val="00BE7D93"/>
    <w:rsid w:val="00BF00EC"/>
    <w:rsid w:val="00BF112A"/>
    <w:rsid w:val="00BF1451"/>
    <w:rsid w:val="00BF1F4B"/>
    <w:rsid w:val="00BF2EBF"/>
    <w:rsid w:val="00BF30B3"/>
    <w:rsid w:val="00BF319B"/>
    <w:rsid w:val="00BF452C"/>
    <w:rsid w:val="00BF4DD7"/>
    <w:rsid w:val="00BF4E74"/>
    <w:rsid w:val="00BF5F75"/>
    <w:rsid w:val="00BF5F9B"/>
    <w:rsid w:val="00BF67C9"/>
    <w:rsid w:val="00BF7248"/>
    <w:rsid w:val="00BF7D75"/>
    <w:rsid w:val="00C002CB"/>
    <w:rsid w:val="00C0083E"/>
    <w:rsid w:val="00C00E12"/>
    <w:rsid w:val="00C01B18"/>
    <w:rsid w:val="00C02ADF"/>
    <w:rsid w:val="00C0326A"/>
    <w:rsid w:val="00C03644"/>
    <w:rsid w:val="00C0404D"/>
    <w:rsid w:val="00C0429D"/>
    <w:rsid w:val="00C043EC"/>
    <w:rsid w:val="00C04870"/>
    <w:rsid w:val="00C050A2"/>
    <w:rsid w:val="00C0669C"/>
    <w:rsid w:val="00C06A19"/>
    <w:rsid w:val="00C06BDF"/>
    <w:rsid w:val="00C07056"/>
    <w:rsid w:val="00C075E8"/>
    <w:rsid w:val="00C07EED"/>
    <w:rsid w:val="00C07FAA"/>
    <w:rsid w:val="00C10890"/>
    <w:rsid w:val="00C10A4B"/>
    <w:rsid w:val="00C10DD0"/>
    <w:rsid w:val="00C11554"/>
    <w:rsid w:val="00C11B57"/>
    <w:rsid w:val="00C1221E"/>
    <w:rsid w:val="00C12A6A"/>
    <w:rsid w:val="00C12FF0"/>
    <w:rsid w:val="00C1421E"/>
    <w:rsid w:val="00C14A30"/>
    <w:rsid w:val="00C150F9"/>
    <w:rsid w:val="00C15D00"/>
    <w:rsid w:val="00C15F56"/>
    <w:rsid w:val="00C16216"/>
    <w:rsid w:val="00C16272"/>
    <w:rsid w:val="00C162B4"/>
    <w:rsid w:val="00C165C1"/>
    <w:rsid w:val="00C2056D"/>
    <w:rsid w:val="00C20747"/>
    <w:rsid w:val="00C2092C"/>
    <w:rsid w:val="00C20F1C"/>
    <w:rsid w:val="00C21C60"/>
    <w:rsid w:val="00C22070"/>
    <w:rsid w:val="00C23259"/>
    <w:rsid w:val="00C24BED"/>
    <w:rsid w:val="00C2506C"/>
    <w:rsid w:val="00C252B0"/>
    <w:rsid w:val="00C25AEE"/>
    <w:rsid w:val="00C25F3E"/>
    <w:rsid w:val="00C27EAB"/>
    <w:rsid w:val="00C309AA"/>
    <w:rsid w:val="00C31CE6"/>
    <w:rsid w:val="00C32310"/>
    <w:rsid w:val="00C32ED7"/>
    <w:rsid w:val="00C33615"/>
    <w:rsid w:val="00C34714"/>
    <w:rsid w:val="00C34DCB"/>
    <w:rsid w:val="00C34E68"/>
    <w:rsid w:val="00C361B1"/>
    <w:rsid w:val="00C36606"/>
    <w:rsid w:val="00C372A5"/>
    <w:rsid w:val="00C37C21"/>
    <w:rsid w:val="00C4005D"/>
    <w:rsid w:val="00C401B3"/>
    <w:rsid w:val="00C40C18"/>
    <w:rsid w:val="00C40ECA"/>
    <w:rsid w:val="00C43B9D"/>
    <w:rsid w:val="00C44CA8"/>
    <w:rsid w:val="00C4537D"/>
    <w:rsid w:val="00C455B1"/>
    <w:rsid w:val="00C4690E"/>
    <w:rsid w:val="00C47CD7"/>
    <w:rsid w:val="00C47FEB"/>
    <w:rsid w:val="00C50235"/>
    <w:rsid w:val="00C52825"/>
    <w:rsid w:val="00C53BB2"/>
    <w:rsid w:val="00C53F8E"/>
    <w:rsid w:val="00C60C5B"/>
    <w:rsid w:val="00C60F06"/>
    <w:rsid w:val="00C61104"/>
    <w:rsid w:val="00C6218F"/>
    <w:rsid w:val="00C62404"/>
    <w:rsid w:val="00C62AF1"/>
    <w:rsid w:val="00C62E54"/>
    <w:rsid w:val="00C6304E"/>
    <w:rsid w:val="00C63A57"/>
    <w:rsid w:val="00C63ED0"/>
    <w:rsid w:val="00C6403C"/>
    <w:rsid w:val="00C64FEB"/>
    <w:rsid w:val="00C6518A"/>
    <w:rsid w:val="00C655FA"/>
    <w:rsid w:val="00C66014"/>
    <w:rsid w:val="00C66171"/>
    <w:rsid w:val="00C666AE"/>
    <w:rsid w:val="00C6704D"/>
    <w:rsid w:val="00C678FE"/>
    <w:rsid w:val="00C67B04"/>
    <w:rsid w:val="00C70897"/>
    <w:rsid w:val="00C70F52"/>
    <w:rsid w:val="00C711F3"/>
    <w:rsid w:val="00C71C0D"/>
    <w:rsid w:val="00C72E97"/>
    <w:rsid w:val="00C747A8"/>
    <w:rsid w:val="00C74BA8"/>
    <w:rsid w:val="00C74ECF"/>
    <w:rsid w:val="00C7521E"/>
    <w:rsid w:val="00C7526D"/>
    <w:rsid w:val="00C76C59"/>
    <w:rsid w:val="00C77B20"/>
    <w:rsid w:val="00C77E1A"/>
    <w:rsid w:val="00C77FF8"/>
    <w:rsid w:val="00C81195"/>
    <w:rsid w:val="00C812BF"/>
    <w:rsid w:val="00C813D3"/>
    <w:rsid w:val="00C8154F"/>
    <w:rsid w:val="00C82EBD"/>
    <w:rsid w:val="00C836B8"/>
    <w:rsid w:val="00C83BA1"/>
    <w:rsid w:val="00C8470C"/>
    <w:rsid w:val="00C84F84"/>
    <w:rsid w:val="00C8559C"/>
    <w:rsid w:val="00C85998"/>
    <w:rsid w:val="00C86EC9"/>
    <w:rsid w:val="00C86F19"/>
    <w:rsid w:val="00C87279"/>
    <w:rsid w:val="00C9102A"/>
    <w:rsid w:val="00C911F7"/>
    <w:rsid w:val="00C91790"/>
    <w:rsid w:val="00C91EA0"/>
    <w:rsid w:val="00C92743"/>
    <w:rsid w:val="00C93E40"/>
    <w:rsid w:val="00C94325"/>
    <w:rsid w:val="00C948AC"/>
    <w:rsid w:val="00C94CE2"/>
    <w:rsid w:val="00C969F0"/>
    <w:rsid w:val="00C96D16"/>
    <w:rsid w:val="00C97446"/>
    <w:rsid w:val="00CA1645"/>
    <w:rsid w:val="00CA1723"/>
    <w:rsid w:val="00CA1EC6"/>
    <w:rsid w:val="00CA3055"/>
    <w:rsid w:val="00CA32D6"/>
    <w:rsid w:val="00CA47B1"/>
    <w:rsid w:val="00CA4A9C"/>
    <w:rsid w:val="00CA5744"/>
    <w:rsid w:val="00CA5E5C"/>
    <w:rsid w:val="00CA76C6"/>
    <w:rsid w:val="00CA7F72"/>
    <w:rsid w:val="00CB07DD"/>
    <w:rsid w:val="00CB08E2"/>
    <w:rsid w:val="00CB1970"/>
    <w:rsid w:val="00CB1CAC"/>
    <w:rsid w:val="00CB23C3"/>
    <w:rsid w:val="00CB24EB"/>
    <w:rsid w:val="00CB314D"/>
    <w:rsid w:val="00CB356C"/>
    <w:rsid w:val="00CB3A72"/>
    <w:rsid w:val="00CB3CCB"/>
    <w:rsid w:val="00CB4DB8"/>
    <w:rsid w:val="00CB52AD"/>
    <w:rsid w:val="00CB548F"/>
    <w:rsid w:val="00CB56EE"/>
    <w:rsid w:val="00CB58D4"/>
    <w:rsid w:val="00CB6468"/>
    <w:rsid w:val="00CB6827"/>
    <w:rsid w:val="00CB6B79"/>
    <w:rsid w:val="00CB6D45"/>
    <w:rsid w:val="00CB7F41"/>
    <w:rsid w:val="00CBCA8D"/>
    <w:rsid w:val="00CC0B57"/>
    <w:rsid w:val="00CC1355"/>
    <w:rsid w:val="00CC1492"/>
    <w:rsid w:val="00CC22F5"/>
    <w:rsid w:val="00CC2F4A"/>
    <w:rsid w:val="00CC2FB2"/>
    <w:rsid w:val="00CC35A8"/>
    <w:rsid w:val="00CC3AB7"/>
    <w:rsid w:val="00CC3E0B"/>
    <w:rsid w:val="00CC4DBB"/>
    <w:rsid w:val="00CC55FE"/>
    <w:rsid w:val="00CC61F1"/>
    <w:rsid w:val="00CC63CE"/>
    <w:rsid w:val="00CC653B"/>
    <w:rsid w:val="00CC74B4"/>
    <w:rsid w:val="00CC7F51"/>
    <w:rsid w:val="00CD16AB"/>
    <w:rsid w:val="00CD1818"/>
    <w:rsid w:val="00CD1EBE"/>
    <w:rsid w:val="00CD2471"/>
    <w:rsid w:val="00CD322D"/>
    <w:rsid w:val="00CD3A84"/>
    <w:rsid w:val="00CD3CE2"/>
    <w:rsid w:val="00CD3F3D"/>
    <w:rsid w:val="00CD4195"/>
    <w:rsid w:val="00CD4569"/>
    <w:rsid w:val="00CD4818"/>
    <w:rsid w:val="00CD4F75"/>
    <w:rsid w:val="00CD50A6"/>
    <w:rsid w:val="00CD5619"/>
    <w:rsid w:val="00CD5CCD"/>
    <w:rsid w:val="00CD5E94"/>
    <w:rsid w:val="00CD6072"/>
    <w:rsid w:val="00CD609F"/>
    <w:rsid w:val="00CD622D"/>
    <w:rsid w:val="00CD64C6"/>
    <w:rsid w:val="00CD6FDE"/>
    <w:rsid w:val="00CD7232"/>
    <w:rsid w:val="00CD72DF"/>
    <w:rsid w:val="00CD74CF"/>
    <w:rsid w:val="00CD7889"/>
    <w:rsid w:val="00CD7F6A"/>
    <w:rsid w:val="00CE0FAA"/>
    <w:rsid w:val="00CE1496"/>
    <w:rsid w:val="00CE1CC2"/>
    <w:rsid w:val="00CE4342"/>
    <w:rsid w:val="00CE5DA0"/>
    <w:rsid w:val="00CE604C"/>
    <w:rsid w:val="00CE6EF9"/>
    <w:rsid w:val="00CE6F1E"/>
    <w:rsid w:val="00CE7763"/>
    <w:rsid w:val="00CE780C"/>
    <w:rsid w:val="00CE7C70"/>
    <w:rsid w:val="00CF00F4"/>
    <w:rsid w:val="00CF036C"/>
    <w:rsid w:val="00CF1202"/>
    <w:rsid w:val="00CF256D"/>
    <w:rsid w:val="00CF2B9C"/>
    <w:rsid w:val="00CF2E87"/>
    <w:rsid w:val="00CF2F51"/>
    <w:rsid w:val="00CF47F1"/>
    <w:rsid w:val="00CF4DB0"/>
    <w:rsid w:val="00CF4DDE"/>
    <w:rsid w:val="00CF58C0"/>
    <w:rsid w:val="00CF59F2"/>
    <w:rsid w:val="00CF5ABB"/>
    <w:rsid w:val="00CF6150"/>
    <w:rsid w:val="00CF6F82"/>
    <w:rsid w:val="00CF766D"/>
    <w:rsid w:val="00CF7E32"/>
    <w:rsid w:val="00D0024E"/>
    <w:rsid w:val="00D00808"/>
    <w:rsid w:val="00D00AFD"/>
    <w:rsid w:val="00D01254"/>
    <w:rsid w:val="00D0184B"/>
    <w:rsid w:val="00D01B7A"/>
    <w:rsid w:val="00D02DD2"/>
    <w:rsid w:val="00D03275"/>
    <w:rsid w:val="00D03514"/>
    <w:rsid w:val="00D038A2"/>
    <w:rsid w:val="00D04EAA"/>
    <w:rsid w:val="00D0601C"/>
    <w:rsid w:val="00D06117"/>
    <w:rsid w:val="00D067E4"/>
    <w:rsid w:val="00D06A0F"/>
    <w:rsid w:val="00D073F1"/>
    <w:rsid w:val="00D07710"/>
    <w:rsid w:val="00D078B3"/>
    <w:rsid w:val="00D07B16"/>
    <w:rsid w:val="00D07BFC"/>
    <w:rsid w:val="00D1009D"/>
    <w:rsid w:val="00D101E9"/>
    <w:rsid w:val="00D10C9F"/>
    <w:rsid w:val="00D11173"/>
    <w:rsid w:val="00D11DEC"/>
    <w:rsid w:val="00D123CA"/>
    <w:rsid w:val="00D12C21"/>
    <w:rsid w:val="00D1317C"/>
    <w:rsid w:val="00D13F73"/>
    <w:rsid w:val="00D13F8B"/>
    <w:rsid w:val="00D14DF1"/>
    <w:rsid w:val="00D14DF2"/>
    <w:rsid w:val="00D1535E"/>
    <w:rsid w:val="00D15C20"/>
    <w:rsid w:val="00D15E22"/>
    <w:rsid w:val="00D16DAA"/>
    <w:rsid w:val="00D17FD8"/>
    <w:rsid w:val="00D20958"/>
    <w:rsid w:val="00D2101F"/>
    <w:rsid w:val="00D222F5"/>
    <w:rsid w:val="00D22770"/>
    <w:rsid w:val="00D229C4"/>
    <w:rsid w:val="00D22AF2"/>
    <w:rsid w:val="00D22F20"/>
    <w:rsid w:val="00D2331B"/>
    <w:rsid w:val="00D237C8"/>
    <w:rsid w:val="00D2398D"/>
    <w:rsid w:val="00D239DF"/>
    <w:rsid w:val="00D24551"/>
    <w:rsid w:val="00D24747"/>
    <w:rsid w:val="00D24879"/>
    <w:rsid w:val="00D25BF6"/>
    <w:rsid w:val="00D26049"/>
    <w:rsid w:val="00D26B68"/>
    <w:rsid w:val="00D26DC2"/>
    <w:rsid w:val="00D30564"/>
    <w:rsid w:val="00D313FC"/>
    <w:rsid w:val="00D3189C"/>
    <w:rsid w:val="00D319A4"/>
    <w:rsid w:val="00D32588"/>
    <w:rsid w:val="00D32BF9"/>
    <w:rsid w:val="00D32CB7"/>
    <w:rsid w:val="00D32DED"/>
    <w:rsid w:val="00D3312A"/>
    <w:rsid w:val="00D3388D"/>
    <w:rsid w:val="00D33D0B"/>
    <w:rsid w:val="00D3428F"/>
    <w:rsid w:val="00D3520B"/>
    <w:rsid w:val="00D372F7"/>
    <w:rsid w:val="00D37EAC"/>
    <w:rsid w:val="00D41257"/>
    <w:rsid w:val="00D41C9A"/>
    <w:rsid w:val="00D41EA6"/>
    <w:rsid w:val="00D41FF9"/>
    <w:rsid w:val="00D4216C"/>
    <w:rsid w:val="00D42175"/>
    <w:rsid w:val="00D42493"/>
    <w:rsid w:val="00D4272C"/>
    <w:rsid w:val="00D43ED8"/>
    <w:rsid w:val="00D443F9"/>
    <w:rsid w:val="00D455D2"/>
    <w:rsid w:val="00D46657"/>
    <w:rsid w:val="00D46844"/>
    <w:rsid w:val="00D46CE8"/>
    <w:rsid w:val="00D46EBD"/>
    <w:rsid w:val="00D47715"/>
    <w:rsid w:val="00D47B5C"/>
    <w:rsid w:val="00D4B35C"/>
    <w:rsid w:val="00D5021D"/>
    <w:rsid w:val="00D50456"/>
    <w:rsid w:val="00D509FA"/>
    <w:rsid w:val="00D50A45"/>
    <w:rsid w:val="00D5105E"/>
    <w:rsid w:val="00D5173B"/>
    <w:rsid w:val="00D51B12"/>
    <w:rsid w:val="00D51BBF"/>
    <w:rsid w:val="00D5213D"/>
    <w:rsid w:val="00D5227B"/>
    <w:rsid w:val="00D525F1"/>
    <w:rsid w:val="00D52A35"/>
    <w:rsid w:val="00D52F0A"/>
    <w:rsid w:val="00D5317E"/>
    <w:rsid w:val="00D534A6"/>
    <w:rsid w:val="00D53BF8"/>
    <w:rsid w:val="00D53F53"/>
    <w:rsid w:val="00D54BCE"/>
    <w:rsid w:val="00D54CF9"/>
    <w:rsid w:val="00D54DDD"/>
    <w:rsid w:val="00D55F80"/>
    <w:rsid w:val="00D560BF"/>
    <w:rsid w:val="00D56404"/>
    <w:rsid w:val="00D56536"/>
    <w:rsid w:val="00D56957"/>
    <w:rsid w:val="00D56DCF"/>
    <w:rsid w:val="00D5735C"/>
    <w:rsid w:val="00D61DB0"/>
    <w:rsid w:val="00D6256D"/>
    <w:rsid w:val="00D62618"/>
    <w:rsid w:val="00D62644"/>
    <w:rsid w:val="00D62A4F"/>
    <w:rsid w:val="00D6370C"/>
    <w:rsid w:val="00D63F6C"/>
    <w:rsid w:val="00D641AC"/>
    <w:rsid w:val="00D65135"/>
    <w:rsid w:val="00D65304"/>
    <w:rsid w:val="00D66AB1"/>
    <w:rsid w:val="00D66C79"/>
    <w:rsid w:val="00D66E64"/>
    <w:rsid w:val="00D671BC"/>
    <w:rsid w:val="00D70902"/>
    <w:rsid w:val="00D70C32"/>
    <w:rsid w:val="00D70DEB"/>
    <w:rsid w:val="00D720EB"/>
    <w:rsid w:val="00D728D7"/>
    <w:rsid w:val="00D73A20"/>
    <w:rsid w:val="00D74783"/>
    <w:rsid w:val="00D74F8B"/>
    <w:rsid w:val="00D760C3"/>
    <w:rsid w:val="00D763B1"/>
    <w:rsid w:val="00D76755"/>
    <w:rsid w:val="00D7773D"/>
    <w:rsid w:val="00D77C45"/>
    <w:rsid w:val="00D80065"/>
    <w:rsid w:val="00D802C6"/>
    <w:rsid w:val="00D807D1"/>
    <w:rsid w:val="00D81606"/>
    <w:rsid w:val="00D81CE1"/>
    <w:rsid w:val="00D83215"/>
    <w:rsid w:val="00D83687"/>
    <w:rsid w:val="00D836C3"/>
    <w:rsid w:val="00D83E49"/>
    <w:rsid w:val="00D83E6D"/>
    <w:rsid w:val="00D857D0"/>
    <w:rsid w:val="00D864A7"/>
    <w:rsid w:val="00D864D5"/>
    <w:rsid w:val="00D86FBA"/>
    <w:rsid w:val="00D87437"/>
    <w:rsid w:val="00D878B6"/>
    <w:rsid w:val="00D87FEF"/>
    <w:rsid w:val="00D909F3"/>
    <w:rsid w:val="00D90AA8"/>
    <w:rsid w:val="00D9159E"/>
    <w:rsid w:val="00D915E9"/>
    <w:rsid w:val="00D92C91"/>
    <w:rsid w:val="00D92F11"/>
    <w:rsid w:val="00D93109"/>
    <w:rsid w:val="00D932F5"/>
    <w:rsid w:val="00D936B5"/>
    <w:rsid w:val="00D946AE"/>
    <w:rsid w:val="00D9556D"/>
    <w:rsid w:val="00D95680"/>
    <w:rsid w:val="00D95CD6"/>
    <w:rsid w:val="00D95DA7"/>
    <w:rsid w:val="00D970C1"/>
    <w:rsid w:val="00D97A0B"/>
    <w:rsid w:val="00D97CD0"/>
    <w:rsid w:val="00DA034D"/>
    <w:rsid w:val="00DA0822"/>
    <w:rsid w:val="00DA1300"/>
    <w:rsid w:val="00DA17D8"/>
    <w:rsid w:val="00DA1F4C"/>
    <w:rsid w:val="00DA21A4"/>
    <w:rsid w:val="00DA22B6"/>
    <w:rsid w:val="00DA26C9"/>
    <w:rsid w:val="00DA27AA"/>
    <w:rsid w:val="00DA2B66"/>
    <w:rsid w:val="00DA30B8"/>
    <w:rsid w:val="00DA34FD"/>
    <w:rsid w:val="00DA367F"/>
    <w:rsid w:val="00DA3BED"/>
    <w:rsid w:val="00DA433E"/>
    <w:rsid w:val="00DA4A13"/>
    <w:rsid w:val="00DA5615"/>
    <w:rsid w:val="00DA6287"/>
    <w:rsid w:val="00DA6F0E"/>
    <w:rsid w:val="00DA75FB"/>
    <w:rsid w:val="00DB0515"/>
    <w:rsid w:val="00DB2BAC"/>
    <w:rsid w:val="00DB2D49"/>
    <w:rsid w:val="00DB3B8C"/>
    <w:rsid w:val="00DB3DD5"/>
    <w:rsid w:val="00DB5363"/>
    <w:rsid w:val="00DB5529"/>
    <w:rsid w:val="00DB586F"/>
    <w:rsid w:val="00DB69CB"/>
    <w:rsid w:val="00DB6BD9"/>
    <w:rsid w:val="00DB734B"/>
    <w:rsid w:val="00DB7759"/>
    <w:rsid w:val="00DB77CF"/>
    <w:rsid w:val="00DB7937"/>
    <w:rsid w:val="00DB7BC9"/>
    <w:rsid w:val="00DC068E"/>
    <w:rsid w:val="00DC087A"/>
    <w:rsid w:val="00DC08B2"/>
    <w:rsid w:val="00DC0965"/>
    <w:rsid w:val="00DC12D0"/>
    <w:rsid w:val="00DC1C6F"/>
    <w:rsid w:val="00DC26BE"/>
    <w:rsid w:val="00DC2BF5"/>
    <w:rsid w:val="00DC38FE"/>
    <w:rsid w:val="00DC4200"/>
    <w:rsid w:val="00DC4331"/>
    <w:rsid w:val="00DC4B1A"/>
    <w:rsid w:val="00DC61AA"/>
    <w:rsid w:val="00DC6CC4"/>
    <w:rsid w:val="00DC6FFA"/>
    <w:rsid w:val="00DD0B5F"/>
    <w:rsid w:val="00DD0BEB"/>
    <w:rsid w:val="00DD1635"/>
    <w:rsid w:val="00DD16E1"/>
    <w:rsid w:val="00DD291D"/>
    <w:rsid w:val="00DD29BA"/>
    <w:rsid w:val="00DD30B3"/>
    <w:rsid w:val="00DD40A4"/>
    <w:rsid w:val="00DD42AB"/>
    <w:rsid w:val="00DD42B9"/>
    <w:rsid w:val="00DD499F"/>
    <w:rsid w:val="00DD686B"/>
    <w:rsid w:val="00DD76BE"/>
    <w:rsid w:val="00DD792E"/>
    <w:rsid w:val="00DD7F03"/>
    <w:rsid w:val="00DE21F9"/>
    <w:rsid w:val="00DE2C09"/>
    <w:rsid w:val="00DE2D02"/>
    <w:rsid w:val="00DE301E"/>
    <w:rsid w:val="00DE40A2"/>
    <w:rsid w:val="00DE5529"/>
    <w:rsid w:val="00DE5FBC"/>
    <w:rsid w:val="00DE68E0"/>
    <w:rsid w:val="00DE69DF"/>
    <w:rsid w:val="00DE6E2A"/>
    <w:rsid w:val="00DE6F3A"/>
    <w:rsid w:val="00DE7E60"/>
    <w:rsid w:val="00DF02EE"/>
    <w:rsid w:val="00DF08D1"/>
    <w:rsid w:val="00DF09FD"/>
    <w:rsid w:val="00DF115B"/>
    <w:rsid w:val="00DF12F7"/>
    <w:rsid w:val="00DF212B"/>
    <w:rsid w:val="00DF3117"/>
    <w:rsid w:val="00DF3DD2"/>
    <w:rsid w:val="00DF43E8"/>
    <w:rsid w:val="00DF4B43"/>
    <w:rsid w:val="00DF6A65"/>
    <w:rsid w:val="00DF700B"/>
    <w:rsid w:val="00DF783D"/>
    <w:rsid w:val="00E00DC5"/>
    <w:rsid w:val="00E00E16"/>
    <w:rsid w:val="00E01CB7"/>
    <w:rsid w:val="00E03188"/>
    <w:rsid w:val="00E0398D"/>
    <w:rsid w:val="00E039AB"/>
    <w:rsid w:val="00E05157"/>
    <w:rsid w:val="00E057E7"/>
    <w:rsid w:val="00E061C8"/>
    <w:rsid w:val="00E06C45"/>
    <w:rsid w:val="00E07030"/>
    <w:rsid w:val="00E076C7"/>
    <w:rsid w:val="00E07DCB"/>
    <w:rsid w:val="00E07DEB"/>
    <w:rsid w:val="00E1006C"/>
    <w:rsid w:val="00E100C1"/>
    <w:rsid w:val="00E11714"/>
    <w:rsid w:val="00E1345D"/>
    <w:rsid w:val="00E1473F"/>
    <w:rsid w:val="00E147DE"/>
    <w:rsid w:val="00E14FBD"/>
    <w:rsid w:val="00E15E17"/>
    <w:rsid w:val="00E1656F"/>
    <w:rsid w:val="00E16960"/>
    <w:rsid w:val="00E16CA9"/>
    <w:rsid w:val="00E16F7B"/>
    <w:rsid w:val="00E173D6"/>
    <w:rsid w:val="00E17E45"/>
    <w:rsid w:val="00E20359"/>
    <w:rsid w:val="00E20FE5"/>
    <w:rsid w:val="00E21078"/>
    <w:rsid w:val="00E21125"/>
    <w:rsid w:val="00E214E6"/>
    <w:rsid w:val="00E22267"/>
    <w:rsid w:val="00E24542"/>
    <w:rsid w:val="00E24951"/>
    <w:rsid w:val="00E24DE9"/>
    <w:rsid w:val="00E24F5C"/>
    <w:rsid w:val="00E2524E"/>
    <w:rsid w:val="00E255B6"/>
    <w:rsid w:val="00E255B9"/>
    <w:rsid w:val="00E2682B"/>
    <w:rsid w:val="00E26CBB"/>
    <w:rsid w:val="00E26FAC"/>
    <w:rsid w:val="00E27934"/>
    <w:rsid w:val="00E3072C"/>
    <w:rsid w:val="00E3127A"/>
    <w:rsid w:val="00E323B2"/>
    <w:rsid w:val="00E3246F"/>
    <w:rsid w:val="00E32587"/>
    <w:rsid w:val="00E326C8"/>
    <w:rsid w:val="00E339D0"/>
    <w:rsid w:val="00E34102"/>
    <w:rsid w:val="00E34CBE"/>
    <w:rsid w:val="00E35BF3"/>
    <w:rsid w:val="00E367B1"/>
    <w:rsid w:val="00E408F0"/>
    <w:rsid w:val="00E41A7D"/>
    <w:rsid w:val="00E4281C"/>
    <w:rsid w:val="00E42BF4"/>
    <w:rsid w:val="00E44D4B"/>
    <w:rsid w:val="00E456FC"/>
    <w:rsid w:val="00E46361"/>
    <w:rsid w:val="00E46D92"/>
    <w:rsid w:val="00E471E9"/>
    <w:rsid w:val="00E47F07"/>
    <w:rsid w:val="00E503DA"/>
    <w:rsid w:val="00E504C7"/>
    <w:rsid w:val="00E50F75"/>
    <w:rsid w:val="00E5189B"/>
    <w:rsid w:val="00E529D6"/>
    <w:rsid w:val="00E52A48"/>
    <w:rsid w:val="00E52F15"/>
    <w:rsid w:val="00E53223"/>
    <w:rsid w:val="00E5447F"/>
    <w:rsid w:val="00E5474D"/>
    <w:rsid w:val="00E55C62"/>
    <w:rsid w:val="00E55EE3"/>
    <w:rsid w:val="00E5754E"/>
    <w:rsid w:val="00E60613"/>
    <w:rsid w:val="00E60D11"/>
    <w:rsid w:val="00E61A10"/>
    <w:rsid w:val="00E62FEF"/>
    <w:rsid w:val="00E635EF"/>
    <w:rsid w:val="00E63F2A"/>
    <w:rsid w:val="00E65673"/>
    <w:rsid w:val="00E66147"/>
    <w:rsid w:val="00E6663C"/>
    <w:rsid w:val="00E6669D"/>
    <w:rsid w:val="00E704A8"/>
    <w:rsid w:val="00E7109E"/>
    <w:rsid w:val="00E71B00"/>
    <w:rsid w:val="00E71F10"/>
    <w:rsid w:val="00E72294"/>
    <w:rsid w:val="00E727C2"/>
    <w:rsid w:val="00E72C33"/>
    <w:rsid w:val="00E73FB4"/>
    <w:rsid w:val="00E7409A"/>
    <w:rsid w:val="00E75D4E"/>
    <w:rsid w:val="00E76218"/>
    <w:rsid w:val="00E7650D"/>
    <w:rsid w:val="00E77BE3"/>
    <w:rsid w:val="00E77F95"/>
    <w:rsid w:val="00E80791"/>
    <w:rsid w:val="00E8123A"/>
    <w:rsid w:val="00E827A9"/>
    <w:rsid w:val="00E82985"/>
    <w:rsid w:val="00E837E2"/>
    <w:rsid w:val="00E83C17"/>
    <w:rsid w:val="00E83ED4"/>
    <w:rsid w:val="00E8537B"/>
    <w:rsid w:val="00E85786"/>
    <w:rsid w:val="00E862E6"/>
    <w:rsid w:val="00E8708C"/>
    <w:rsid w:val="00E874D3"/>
    <w:rsid w:val="00E876FD"/>
    <w:rsid w:val="00E9024C"/>
    <w:rsid w:val="00E91121"/>
    <w:rsid w:val="00E91521"/>
    <w:rsid w:val="00E9177D"/>
    <w:rsid w:val="00E927E0"/>
    <w:rsid w:val="00E92AE2"/>
    <w:rsid w:val="00E92F2F"/>
    <w:rsid w:val="00E931A9"/>
    <w:rsid w:val="00E93738"/>
    <w:rsid w:val="00E93D70"/>
    <w:rsid w:val="00E9413E"/>
    <w:rsid w:val="00E941E7"/>
    <w:rsid w:val="00E9425B"/>
    <w:rsid w:val="00E94A7E"/>
    <w:rsid w:val="00E94DDD"/>
    <w:rsid w:val="00E96D2E"/>
    <w:rsid w:val="00E97392"/>
    <w:rsid w:val="00E97540"/>
    <w:rsid w:val="00E97F67"/>
    <w:rsid w:val="00EA0AAF"/>
    <w:rsid w:val="00EA0ACA"/>
    <w:rsid w:val="00EA1E22"/>
    <w:rsid w:val="00EA24B9"/>
    <w:rsid w:val="00EA33A3"/>
    <w:rsid w:val="00EA4685"/>
    <w:rsid w:val="00EA4BC8"/>
    <w:rsid w:val="00EA5100"/>
    <w:rsid w:val="00EA52A9"/>
    <w:rsid w:val="00EA5C28"/>
    <w:rsid w:val="00EA60EA"/>
    <w:rsid w:val="00EA7DE6"/>
    <w:rsid w:val="00EB03CA"/>
    <w:rsid w:val="00EB04B6"/>
    <w:rsid w:val="00EB0BE4"/>
    <w:rsid w:val="00EB11A2"/>
    <w:rsid w:val="00EB16FC"/>
    <w:rsid w:val="00EB1AC9"/>
    <w:rsid w:val="00EB2CB8"/>
    <w:rsid w:val="00EB3088"/>
    <w:rsid w:val="00EB3AAD"/>
    <w:rsid w:val="00EB4139"/>
    <w:rsid w:val="00EB4824"/>
    <w:rsid w:val="00EB5580"/>
    <w:rsid w:val="00EC3633"/>
    <w:rsid w:val="00EC51FC"/>
    <w:rsid w:val="00EC5DD4"/>
    <w:rsid w:val="00EC6B59"/>
    <w:rsid w:val="00EC6FDA"/>
    <w:rsid w:val="00EC732B"/>
    <w:rsid w:val="00ED058A"/>
    <w:rsid w:val="00ED1275"/>
    <w:rsid w:val="00ED1323"/>
    <w:rsid w:val="00ED1368"/>
    <w:rsid w:val="00ED25E8"/>
    <w:rsid w:val="00ED26F1"/>
    <w:rsid w:val="00ED2E10"/>
    <w:rsid w:val="00ED323E"/>
    <w:rsid w:val="00ED32B3"/>
    <w:rsid w:val="00ED4034"/>
    <w:rsid w:val="00ED4CAF"/>
    <w:rsid w:val="00ED4DB4"/>
    <w:rsid w:val="00ED51A2"/>
    <w:rsid w:val="00ED5AD4"/>
    <w:rsid w:val="00ED5F32"/>
    <w:rsid w:val="00ED5F6A"/>
    <w:rsid w:val="00ED69DF"/>
    <w:rsid w:val="00ED6BDA"/>
    <w:rsid w:val="00ED72CC"/>
    <w:rsid w:val="00ED72D5"/>
    <w:rsid w:val="00ED76DB"/>
    <w:rsid w:val="00ED7D6C"/>
    <w:rsid w:val="00EE02FD"/>
    <w:rsid w:val="00EE0561"/>
    <w:rsid w:val="00EE0F22"/>
    <w:rsid w:val="00EE103A"/>
    <w:rsid w:val="00EE1274"/>
    <w:rsid w:val="00EE1C7A"/>
    <w:rsid w:val="00EE296D"/>
    <w:rsid w:val="00EE4C9A"/>
    <w:rsid w:val="00EE5307"/>
    <w:rsid w:val="00EE567C"/>
    <w:rsid w:val="00EE59E0"/>
    <w:rsid w:val="00EE737F"/>
    <w:rsid w:val="00EE7686"/>
    <w:rsid w:val="00EE7B94"/>
    <w:rsid w:val="00EF0058"/>
    <w:rsid w:val="00EF0B23"/>
    <w:rsid w:val="00EF0F22"/>
    <w:rsid w:val="00EF1349"/>
    <w:rsid w:val="00EF1804"/>
    <w:rsid w:val="00EF1E43"/>
    <w:rsid w:val="00EF258B"/>
    <w:rsid w:val="00EF2594"/>
    <w:rsid w:val="00EF2883"/>
    <w:rsid w:val="00EF372A"/>
    <w:rsid w:val="00EF3955"/>
    <w:rsid w:val="00EF3E09"/>
    <w:rsid w:val="00EF3F55"/>
    <w:rsid w:val="00EF415C"/>
    <w:rsid w:val="00EF425B"/>
    <w:rsid w:val="00EF43A3"/>
    <w:rsid w:val="00EF4B11"/>
    <w:rsid w:val="00EF4EB2"/>
    <w:rsid w:val="00EF534C"/>
    <w:rsid w:val="00EF64C3"/>
    <w:rsid w:val="00EF70DE"/>
    <w:rsid w:val="00EF7BFF"/>
    <w:rsid w:val="00EF7FF1"/>
    <w:rsid w:val="00F003E6"/>
    <w:rsid w:val="00F00955"/>
    <w:rsid w:val="00F029A6"/>
    <w:rsid w:val="00F02C44"/>
    <w:rsid w:val="00F03D18"/>
    <w:rsid w:val="00F04A2F"/>
    <w:rsid w:val="00F05269"/>
    <w:rsid w:val="00F052A1"/>
    <w:rsid w:val="00F05510"/>
    <w:rsid w:val="00F057CC"/>
    <w:rsid w:val="00F06556"/>
    <w:rsid w:val="00F0657D"/>
    <w:rsid w:val="00F0692E"/>
    <w:rsid w:val="00F06D31"/>
    <w:rsid w:val="00F07312"/>
    <w:rsid w:val="00F074B6"/>
    <w:rsid w:val="00F0755A"/>
    <w:rsid w:val="00F07B61"/>
    <w:rsid w:val="00F07D62"/>
    <w:rsid w:val="00F07DEC"/>
    <w:rsid w:val="00F10383"/>
    <w:rsid w:val="00F107F5"/>
    <w:rsid w:val="00F11352"/>
    <w:rsid w:val="00F11A79"/>
    <w:rsid w:val="00F12984"/>
    <w:rsid w:val="00F14A71"/>
    <w:rsid w:val="00F15697"/>
    <w:rsid w:val="00F1569B"/>
    <w:rsid w:val="00F15EE4"/>
    <w:rsid w:val="00F16116"/>
    <w:rsid w:val="00F16C7E"/>
    <w:rsid w:val="00F16DC2"/>
    <w:rsid w:val="00F1770D"/>
    <w:rsid w:val="00F20143"/>
    <w:rsid w:val="00F202FA"/>
    <w:rsid w:val="00F21295"/>
    <w:rsid w:val="00F2165E"/>
    <w:rsid w:val="00F223BA"/>
    <w:rsid w:val="00F22ADB"/>
    <w:rsid w:val="00F22E7D"/>
    <w:rsid w:val="00F2381C"/>
    <w:rsid w:val="00F2485E"/>
    <w:rsid w:val="00F265C3"/>
    <w:rsid w:val="00F26AB9"/>
    <w:rsid w:val="00F26BC5"/>
    <w:rsid w:val="00F26C16"/>
    <w:rsid w:val="00F26E0A"/>
    <w:rsid w:val="00F276FA"/>
    <w:rsid w:val="00F27C0C"/>
    <w:rsid w:val="00F30139"/>
    <w:rsid w:val="00F30B8F"/>
    <w:rsid w:val="00F31407"/>
    <w:rsid w:val="00F3145C"/>
    <w:rsid w:val="00F3158B"/>
    <w:rsid w:val="00F31C0B"/>
    <w:rsid w:val="00F31ED2"/>
    <w:rsid w:val="00F34A60"/>
    <w:rsid w:val="00F34E68"/>
    <w:rsid w:val="00F364E0"/>
    <w:rsid w:val="00F3748A"/>
    <w:rsid w:val="00F37D2C"/>
    <w:rsid w:val="00F37F7E"/>
    <w:rsid w:val="00F403C1"/>
    <w:rsid w:val="00F41864"/>
    <w:rsid w:val="00F42420"/>
    <w:rsid w:val="00F42FDD"/>
    <w:rsid w:val="00F430F5"/>
    <w:rsid w:val="00F4351B"/>
    <w:rsid w:val="00F43B01"/>
    <w:rsid w:val="00F43C46"/>
    <w:rsid w:val="00F43E2D"/>
    <w:rsid w:val="00F448D3"/>
    <w:rsid w:val="00F45796"/>
    <w:rsid w:val="00F45A35"/>
    <w:rsid w:val="00F463DD"/>
    <w:rsid w:val="00F46A44"/>
    <w:rsid w:val="00F46FD7"/>
    <w:rsid w:val="00F46FFF"/>
    <w:rsid w:val="00F47143"/>
    <w:rsid w:val="00F4747A"/>
    <w:rsid w:val="00F476BA"/>
    <w:rsid w:val="00F5333A"/>
    <w:rsid w:val="00F54343"/>
    <w:rsid w:val="00F56178"/>
    <w:rsid w:val="00F56665"/>
    <w:rsid w:val="00F57553"/>
    <w:rsid w:val="00F61175"/>
    <w:rsid w:val="00F6163E"/>
    <w:rsid w:val="00F61F44"/>
    <w:rsid w:val="00F631F1"/>
    <w:rsid w:val="00F65655"/>
    <w:rsid w:val="00F657B5"/>
    <w:rsid w:val="00F659A9"/>
    <w:rsid w:val="00F66314"/>
    <w:rsid w:val="00F6646F"/>
    <w:rsid w:val="00F66AA6"/>
    <w:rsid w:val="00F66F0E"/>
    <w:rsid w:val="00F70542"/>
    <w:rsid w:val="00F70710"/>
    <w:rsid w:val="00F71E3D"/>
    <w:rsid w:val="00F71F7B"/>
    <w:rsid w:val="00F7219D"/>
    <w:rsid w:val="00F72DED"/>
    <w:rsid w:val="00F72DEE"/>
    <w:rsid w:val="00F735DA"/>
    <w:rsid w:val="00F73743"/>
    <w:rsid w:val="00F7408F"/>
    <w:rsid w:val="00F75062"/>
    <w:rsid w:val="00F756A9"/>
    <w:rsid w:val="00F75B8D"/>
    <w:rsid w:val="00F75C80"/>
    <w:rsid w:val="00F75C89"/>
    <w:rsid w:val="00F7604B"/>
    <w:rsid w:val="00F7620C"/>
    <w:rsid w:val="00F763E4"/>
    <w:rsid w:val="00F7643F"/>
    <w:rsid w:val="00F76EAE"/>
    <w:rsid w:val="00F77F7B"/>
    <w:rsid w:val="00F800EE"/>
    <w:rsid w:val="00F80A64"/>
    <w:rsid w:val="00F80D66"/>
    <w:rsid w:val="00F82736"/>
    <w:rsid w:val="00F82803"/>
    <w:rsid w:val="00F82970"/>
    <w:rsid w:val="00F82BBB"/>
    <w:rsid w:val="00F833DB"/>
    <w:rsid w:val="00F83A70"/>
    <w:rsid w:val="00F83CDF"/>
    <w:rsid w:val="00F857BF"/>
    <w:rsid w:val="00F85973"/>
    <w:rsid w:val="00F85F1F"/>
    <w:rsid w:val="00F86109"/>
    <w:rsid w:val="00F87923"/>
    <w:rsid w:val="00F9042D"/>
    <w:rsid w:val="00F9077F"/>
    <w:rsid w:val="00F908DE"/>
    <w:rsid w:val="00F90996"/>
    <w:rsid w:val="00F92095"/>
    <w:rsid w:val="00F92CEF"/>
    <w:rsid w:val="00F93BEF"/>
    <w:rsid w:val="00F93EC3"/>
    <w:rsid w:val="00F94A77"/>
    <w:rsid w:val="00F9747F"/>
    <w:rsid w:val="00FA03E0"/>
    <w:rsid w:val="00FA0465"/>
    <w:rsid w:val="00FA05E4"/>
    <w:rsid w:val="00FA0692"/>
    <w:rsid w:val="00FA0A75"/>
    <w:rsid w:val="00FA10B9"/>
    <w:rsid w:val="00FA1E3D"/>
    <w:rsid w:val="00FA21DF"/>
    <w:rsid w:val="00FA2858"/>
    <w:rsid w:val="00FA2868"/>
    <w:rsid w:val="00FA2A66"/>
    <w:rsid w:val="00FA2C28"/>
    <w:rsid w:val="00FA30AF"/>
    <w:rsid w:val="00FA3929"/>
    <w:rsid w:val="00FA3A43"/>
    <w:rsid w:val="00FA3AEB"/>
    <w:rsid w:val="00FA3E46"/>
    <w:rsid w:val="00FA49F5"/>
    <w:rsid w:val="00FA4BA4"/>
    <w:rsid w:val="00FA6CD7"/>
    <w:rsid w:val="00FA6CFC"/>
    <w:rsid w:val="00FA7715"/>
    <w:rsid w:val="00FA7C81"/>
    <w:rsid w:val="00FB00A1"/>
    <w:rsid w:val="00FB0205"/>
    <w:rsid w:val="00FB26CB"/>
    <w:rsid w:val="00FB39A0"/>
    <w:rsid w:val="00FB3C78"/>
    <w:rsid w:val="00FB3F5D"/>
    <w:rsid w:val="00FB40FE"/>
    <w:rsid w:val="00FB440A"/>
    <w:rsid w:val="00FB641E"/>
    <w:rsid w:val="00FB6859"/>
    <w:rsid w:val="00FB6CB2"/>
    <w:rsid w:val="00FB6E84"/>
    <w:rsid w:val="00FB7324"/>
    <w:rsid w:val="00FB7F52"/>
    <w:rsid w:val="00FC0173"/>
    <w:rsid w:val="00FC1043"/>
    <w:rsid w:val="00FC10B5"/>
    <w:rsid w:val="00FC1407"/>
    <w:rsid w:val="00FC14C0"/>
    <w:rsid w:val="00FC3B28"/>
    <w:rsid w:val="00FC4039"/>
    <w:rsid w:val="00FC447F"/>
    <w:rsid w:val="00FC4A44"/>
    <w:rsid w:val="00FC56B2"/>
    <w:rsid w:val="00FC59DB"/>
    <w:rsid w:val="00FC6566"/>
    <w:rsid w:val="00FC7581"/>
    <w:rsid w:val="00FC7D4D"/>
    <w:rsid w:val="00FC7E3E"/>
    <w:rsid w:val="00FCAAE0"/>
    <w:rsid w:val="00FD0163"/>
    <w:rsid w:val="00FD0A8F"/>
    <w:rsid w:val="00FD1BBB"/>
    <w:rsid w:val="00FD20FB"/>
    <w:rsid w:val="00FD2FAF"/>
    <w:rsid w:val="00FD3AC2"/>
    <w:rsid w:val="00FD3FAA"/>
    <w:rsid w:val="00FD44EA"/>
    <w:rsid w:val="00FD482A"/>
    <w:rsid w:val="00FD4F31"/>
    <w:rsid w:val="00FD50B0"/>
    <w:rsid w:val="00FD6368"/>
    <w:rsid w:val="00FD6E35"/>
    <w:rsid w:val="00FE07E0"/>
    <w:rsid w:val="00FE0878"/>
    <w:rsid w:val="00FE1B6A"/>
    <w:rsid w:val="00FE1EB1"/>
    <w:rsid w:val="00FE2257"/>
    <w:rsid w:val="00FE24EB"/>
    <w:rsid w:val="00FE358B"/>
    <w:rsid w:val="00FE4616"/>
    <w:rsid w:val="00FE5B50"/>
    <w:rsid w:val="00FE643F"/>
    <w:rsid w:val="00FE65A6"/>
    <w:rsid w:val="00FE756D"/>
    <w:rsid w:val="00FF0BCD"/>
    <w:rsid w:val="00FF0F9B"/>
    <w:rsid w:val="00FF1016"/>
    <w:rsid w:val="00FF272E"/>
    <w:rsid w:val="00FF28C5"/>
    <w:rsid w:val="00FF2B7C"/>
    <w:rsid w:val="00FF34A8"/>
    <w:rsid w:val="00FF4359"/>
    <w:rsid w:val="00FF4DFF"/>
    <w:rsid w:val="00FF617D"/>
    <w:rsid w:val="00FF62A9"/>
    <w:rsid w:val="00FF6A78"/>
    <w:rsid w:val="00FF6C1F"/>
    <w:rsid w:val="00FF6D3F"/>
    <w:rsid w:val="010172CD"/>
    <w:rsid w:val="01023C7A"/>
    <w:rsid w:val="010A6F9A"/>
    <w:rsid w:val="010AC5AF"/>
    <w:rsid w:val="01120720"/>
    <w:rsid w:val="011848A4"/>
    <w:rsid w:val="011CE0C3"/>
    <w:rsid w:val="011E66AD"/>
    <w:rsid w:val="01218CFF"/>
    <w:rsid w:val="0124A284"/>
    <w:rsid w:val="01288552"/>
    <w:rsid w:val="012B8E1E"/>
    <w:rsid w:val="012C6E6F"/>
    <w:rsid w:val="012FBDA3"/>
    <w:rsid w:val="01349E2E"/>
    <w:rsid w:val="013948D9"/>
    <w:rsid w:val="013BB833"/>
    <w:rsid w:val="013CAECE"/>
    <w:rsid w:val="013FEE3B"/>
    <w:rsid w:val="0150D4FE"/>
    <w:rsid w:val="015C27F0"/>
    <w:rsid w:val="015F647C"/>
    <w:rsid w:val="0163AAD6"/>
    <w:rsid w:val="0169417E"/>
    <w:rsid w:val="016B738A"/>
    <w:rsid w:val="016BD200"/>
    <w:rsid w:val="01727A6D"/>
    <w:rsid w:val="017C522C"/>
    <w:rsid w:val="017CCA23"/>
    <w:rsid w:val="01947A0E"/>
    <w:rsid w:val="01951F78"/>
    <w:rsid w:val="019A20BD"/>
    <w:rsid w:val="019D5393"/>
    <w:rsid w:val="01A357EB"/>
    <w:rsid w:val="01ADCC30"/>
    <w:rsid w:val="01B2A204"/>
    <w:rsid w:val="01B52469"/>
    <w:rsid w:val="01B88182"/>
    <w:rsid w:val="01B9F1AE"/>
    <w:rsid w:val="01BA928A"/>
    <w:rsid w:val="01C00D58"/>
    <w:rsid w:val="01C1DB1C"/>
    <w:rsid w:val="01C895CE"/>
    <w:rsid w:val="01C8A046"/>
    <w:rsid w:val="01D15315"/>
    <w:rsid w:val="01D27825"/>
    <w:rsid w:val="01D32EFE"/>
    <w:rsid w:val="01D6AB95"/>
    <w:rsid w:val="01D7ECBA"/>
    <w:rsid w:val="01DE9833"/>
    <w:rsid w:val="01DF828B"/>
    <w:rsid w:val="01E9EE96"/>
    <w:rsid w:val="01F803D5"/>
    <w:rsid w:val="01FE053D"/>
    <w:rsid w:val="01FF6B7C"/>
    <w:rsid w:val="0204C98F"/>
    <w:rsid w:val="020FAA7E"/>
    <w:rsid w:val="0219D5CD"/>
    <w:rsid w:val="021E521E"/>
    <w:rsid w:val="0221C59D"/>
    <w:rsid w:val="022B95A8"/>
    <w:rsid w:val="022DB3A0"/>
    <w:rsid w:val="023597AF"/>
    <w:rsid w:val="0237F906"/>
    <w:rsid w:val="023ECE51"/>
    <w:rsid w:val="024486B5"/>
    <w:rsid w:val="0246B7A7"/>
    <w:rsid w:val="0248A24C"/>
    <w:rsid w:val="0248EA80"/>
    <w:rsid w:val="025FE0AC"/>
    <w:rsid w:val="02661AF9"/>
    <w:rsid w:val="026DD408"/>
    <w:rsid w:val="02802264"/>
    <w:rsid w:val="0289A114"/>
    <w:rsid w:val="0298F07A"/>
    <w:rsid w:val="029B21E7"/>
    <w:rsid w:val="029D432E"/>
    <w:rsid w:val="02A8C278"/>
    <w:rsid w:val="02A9BB4C"/>
    <w:rsid w:val="02AF81B9"/>
    <w:rsid w:val="02B313D9"/>
    <w:rsid w:val="02B369FE"/>
    <w:rsid w:val="02B39E80"/>
    <w:rsid w:val="02C0E2CF"/>
    <w:rsid w:val="02C13CB1"/>
    <w:rsid w:val="02C3643E"/>
    <w:rsid w:val="02C86B1A"/>
    <w:rsid w:val="02CBA1EB"/>
    <w:rsid w:val="02D22FDF"/>
    <w:rsid w:val="02EAD1B2"/>
    <w:rsid w:val="02ECDCDE"/>
    <w:rsid w:val="02ED06D2"/>
    <w:rsid w:val="02EDEA89"/>
    <w:rsid w:val="02F08EFB"/>
    <w:rsid w:val="0301622E"/>
    <w:rsid w:val="030D960C"/>
    <w:rsid w:val="030EA938"/>
    <w:rsid w:val="0310FD81"/>
    <w:rsid w:val="03128A2F"/>
    <w:rsid w:val="0317FD46"/>
    <w:rsid w:val="0324A65C"/>
    <w:rsid w:val="03251A1E"/>
    <w:rsid w:val="032D082D"/>
    <w:rsid w:val="03362446"/>
    <w:rsid w:val="03385081"/>
    <w:rsid w:val="033C201E"/>
    <w:rsid w:val="03416651"/>
    <w:rsid w:val="034C58F5"/>
    <w:rsid w:val="034D4345"/>
    <w:rsid w:val="034FB087"/>
    <w:rsid w:val="0352B4FC"/>
    <w:rsid w:val="0358BC85"/>
    <w:rsid w:val="035ABB93"/>
    <w:rsid w:val="03716A7E"/>
    <w:rsid w:val="03748B81"/>
    <w:rsid w:val="03778A5D"/>
    <w:rsid w:val="037C5C2F"/>
    <w:rsid w:val="03802581"/>
    <w:rsid w:val="0384E613"/>
    <w:rsid w:val="038CA0C8"/>
    <w:rsid w:val="038DFA24"/>
    <w:rsid w:val="038F78E4"/>
    <w:rsid w:val="03919B8A"/>
    <w:rsid w:val="0392F0A0"/>
    <w:rsid w:val="03936C12"/>
    <w:rsid w:val="0396E10F"/>
    <w:rsid w:val="039F58C6"/>
    <w:rsid w:val="03A3C84B"/>
    <w:rsid w:val="03A79553"/>
    <w:rsid w:val="03B7AB66"/>
    <w:rsid w:val="03BB3AC9"/>
    <w:rsid w:val="03C43C73"/>
    <w:rsid w:val="03C5253B"/>
    <w:rsid w:val="03C963AC"/>
    <w:rsid w:val="03CB89CD"/>
    <w:rsid w:val="03CCCDF5"/>
    <w:rsid w:val="03D800BE"/>
    <w:rsid w:val="03E3C272"/>
    <w:rsid w:val="03E62657"/>
    <w:rsid w:val="03EF5011"/>
    <w:rsid w:val="03F2E46B"/>
    <w:rsid w:val="03F95B13"/>
    <w:rsid w:val="04035B91"/>
    <w:rsid w:val="0415DC47"/>
    <w:rsid w:val="04227D27"/>
    <w:rsid w:val="042A6388"/>
    <w:rsid w:val="042B05A3"/>
    <w:rsid w:val="042D4D4B"/>
    <w:rsid w:val="0430AF08"/>
    <w:rsid w:val="043673FF"/>
    <w:rsid w:val="043675E2"/>
    <w:rsid w:val="0438AECB"/>
    <w:rsid w:val="043CF895"/>
    <w:rsid w:val="043F9B21"/>
    <w:rsid w:val="04403EF8"/>
    <w:rsid w:val="04406A77"/>
    <w:rsid w:val="044D52EA"/>
    <w:rsid w:val="0452D6F7"/>
    <w:rsid w:val="045565C7"/>
    <w:rsid w:val="0455A74B"/>
    <w:rsid w:val="0457DFBD"/>
    <w:rsid w:val="0457E24C"/>
    <w:rsid w:val="0459272D"/>
    <w:rsid w:val="04597A99"/>
    <w:rsid w:val="0459B221"/>
    <w:rsid w:val="04618D65"/>
    <w:rsid w:val="0464615A"/>
    <w:rsid w:val="04683E11"/>
    <w:rsid w:val="0468C0F3"/>
    <w:rsid w:val="046E0C99"/>
    <w:rsid w:val="046F216E"/>
    <w:rsid w:val="04783414"/>
    <w:rsid w:val="0478CBDF"/>
    <w:rsid w:val="047AC812"/>
    <w:rsid w:val="047C5686"/>
    <w:rsid w:val="047E3CC4"/>
    <w:rsid w:val="04822968"/>
    <w:rsid w:val="04827DC6"/>
    <w:rsid w:val="04850B23"/>
    <w:rsid w:val="0486ADB2"/>
    <w:rsid w:val="0489B867"/>
    <w:rsid w:val="048A3B69"/>
    <w:rsid w:val="048FE09C"/>
    <w:rsid w:val="0491E058"/>
    <w:rsid w:val="049AF6E1"/>
    <w:rsid w:val="049B9DA3"/>
    <w:rsid w:val="049EA9DC"/>
    <w:rsid w:val="049F8A5B"/>
    <w:rsid w:val="04A31D15"/>
    <w:rsid w:val="04A98369"/>
    <w:rsid w:val="04ABAF5C"/>
    <w:rsid w:val="04B64A8A"/>
    <w:rsid w:val="04B9020F"/>
    <w:rsid w:val="04BB4937"/>
    <w:rsid w:val="04BD77A7"/>
    <w:rsid w:val="04C0477C"/>
    <w:rsid w:val="04D2E9C3"/>
    <w:rsid w:val="04D47A86"/>
    <w:rsid w:val="04D8D5BA"/>
    <w:rsid w:val="04DF0113"/>
    <w:rsid w:val="04E4855F"/>
    <w:rsid w:val="04E67558"/>
    <w:rsid w:val="04F40D19"/>
    <w:rsid w:val="04F4F245"/>
    <w:rsid w:val="04F695DE"/>
    <w:rsid w:val="04FA6B46"/>
    <w:rsid w:val="04FC1A5A"/>
    <w:rsid w:val="050088A8"/>
    <w:rsid w:val="050E050A"/>
    <w:rsid w:val="05122505"/>
    <w:rsid w:val="051672FB"/>
    <w:rsid w:val="051A907E"/>
    <w:rsid w:val="0523D5FF"/>
    <w:rsid w:val="05245DF6"/>
    <w:rsid w:val="052711D9"/>
    <w:rsid w:val="052EF6CA"/>
    <w:rsid w:val="052F6954"/>
    <w:rsid w:val="0536B176"/>
    <w:rsid w:val="053D4895"/>
    <w:rsid w:val="05436687"/>
    <w:rsid w:val="05484C7D"/>
    <w:rsid w:val="054F4625"/>
    <w:rsid w:val="0550F1FF"/>
    <w:rsid w:val="0559D436"/>
    <w:rsid w:val="056051D4"/>
    <w:rsid w:val="0563553E"/>
    <w:rsid w:val="05651DDF"/>
    <w:rsid w:val="056CCECB"/>
    <w:rsid w:val="056ECB78"/>
    <w:rsid w:val="05717432"/>
    <w:rsid w:val="05743910"/>
    <w:rsid w:val="057446E3"/>
    <w:rsid w:val="05783376"/>
    <w:rsid w:val="05796AEE"/>
    <w:rsid w:val="057D1501"/>
    <w:rsid w:val="057F94A6"/>
    <w:rsid w:val="058AED39"/>
    <w:rsid w:val="0593EFEA"/>
    <w:rsid w:val="0594FB33"/>
    <w:rsid w:val="059DA41C"/>
    <w:rsid w:val="05A8D188"/>
    <w:rsid w:val="05AA6AD7"/>
    <w:rsid w:val="05AFB84C"/>
    <w:rsid w:val="05B3E8DB"/>
    <w:rsid w:val="05B561E0"/>
    <w:rsid w:val="05BB906F"/>
    <w:rsid w:val="05C3B501"/>
    <w:rsid w:val="05C4F941"/>
    <w:rsid w:val="05C642E9"/>
    <w:rsid w:val="05C73316"/>
    <w:rsid w:val="05C91DC3"/>
    <w:rsid w:val="05D296E5"/>
    <w:rsid w:val="05D5CBE5"/>
    <w:rsid w:val="05D71E42"/>
    <w:rsid w:val="05DC728B"/>
    <w:rsid w:val="05DD58F6"/>
    <w:rsid w:val="05E20803"/>
    <w:rsid w:val="05E39B9A"/>
    <w:rsid w:val="05E72405"/>
    <w:rsid w:val="05E847BE"/>
    <w:rsid w:val="05F05D94"/>
    <w:rsid w:val="05FA94B2"/>
    <w:rsid w:val="05FAEF04"/>
    <w:rsid w:val="05FD7813"/>
    <w:rsid w:val="06074F7A"/>
    <w:rsid w:val="060D87C5"/>
    <w:rsid w:val="06132CBD"/>
    <w:rsid w:val="061492C7"/>
    <w:rsid w:val="0615E31C"/>
    <w:rsid w:val="061F9A59"/>
    <w:rsid w:val="06228477"/>
    <w:rsid w:val="063469DA"/>
    <w:rsid w:val="063ADF24"/>
    <w:rsid w:val="06417199"/>
    <w:rsid w:val="0644D6F7"/>
    <w:rsid w:val="06496BAC"/>
    <w:rsid w:val="064B71C7"/>
    <w:rsid w:val="064BF31E"/>
    <w:rsid w:val="064E4859"/>
    <w:rsid w:val="06537BC5"/>
    <w:rsid w:val="066473D7"/>
    <w:rsid w:val="066F83C3"/>
    <w:rsid w:val="067DE7CE"/>
    <w:rsid w:val="068245B9"/>
    <w:rsid w:val="0683E9F0"/>
    <w:rsid w:val="0684DEE4"/>
    <w:rsid w:val="068773DA"/>
    <w:rsid w:val="06908B55"/>
    <w:rsid w:val="06922A35"/>
    <w:rsid w:val="06940EFF"/>
    <w:rsid w:val="0695A32E"/>
    <w:rsid w:val="06970B8A"/>
    <w:rsid w:val="0699AE17"/>
    <w:rsid w:val="06A37013"/>
    <w:rsid w:val="06A49718"/>
    <w:rsid w:val="06A9F9ED"/>
    <w:rsid w:val="06B46293"/>
    <w:rsid w:val="06B57516"/>
    <w:rsid w:val="06B73587"/>
    <w:rsid w:val="06BEC901"/>
    <w:rsid w:val="06C0529E"/>
    <w:rsid w:val="06D01C05"/>
    <w:rsid w:val="06D51D53"/>
    <w:rsid w:val="06D6C5E8"/>
    <w:rsid w:val="06D9A83F"/>
    <w:rsid w:val="06DD1DFA"/>
    <w:rsid w:val="06EA603B"/>
    <w:rsid w:val="06EA839A"/>
    <w:rsid w:val="06FB8F10"/>
    <w:rsid w:val="06FEBDDE"/>
    <w:rsid w:val="0700EE40"/>
    <w:rsid w:val="0702DB7E"/>
    <w:rsid w:val="07082124"/>
    <w:rsid w:val="070AA3ED"/>
    <w:rsid w:val="070D2C34"/>
    <w:rsid w:val="070D9EC8"/>
    <w:rsid w:val="07117FC6"/>
    <w:rsid w:val="07161B2C"/>
    <w:rsid w:val="0719BD9F"/>
    <w:rsid w:val="071AF961"/>
    <w:rsid w:val="0723FF75"/>
    <w:rsid w:val="072513C1"/>
    <w:rsid w:val="072ECC77"/>
    <w:rsid w:val="072EFF30"/>
    <w:rsid w:val="07381460"/>
    <w:rsid w:val="073A2F91"/>
    <w:rsid w:val="073DA17F"/>
    <w:rsid w:val="0740F6F3"/>
    <w:rsid w:val="07437B19"/>
    <w:rsid w:val="075ECFF5"/>
    <w:rsid w:val="0772139E"/>
    <w:rsid w:val="0776A1DD"/>
    <w:rsid w:val="0777ADF5"/>
    <w:rsid w:val="0777FB5C"/>
    <w:rsid w:val="077BF268"/>
    <w:rsid w:val="07830F71"/>
    <w:rsid w:val="0787A527"/>
    <w:rsid w:val="078A1E39"/>
    <w:rsid w:val="078BE62C"/>
    <w:rsid w:val="078FFDD7"/>
    <w:rsid w:val="0798BA90"/>
    <w:rsid w:val="079AC44D"/>
    <w:rsid w:val="079BBBB9"/>
    <w:rsid w:val="07A4A12F"/>
    <w:rsid w:val="07B0E587"/>
    <w:rsid w:val="07B39A24"/>
    <w:rsid w:val="07B49C37"/>
    <w:rsid w:val="07B50E75"/>
    <w:rsid w:val="07B5DCF6"/>
    <w:rsid w:val="07C35916"/>
    <w:rsid w:val="07C4A328"/>
    <w:rsid w:val="07C574AE"/>
    <w:rsid w:val="07CD54B0"/>
    <w:rsid w:val="07D408F0"/>
    <w:rsid w:val="07D6AF85"/>
    <w:rsid w:val="07E432C2"/>
    <w:rsid w:val="07E5CC07"/>
    <w:rsid w:val="07E5F49F"/>
    <w:rsid w:val="07E789D6"/>
    <w:rsid w:val="07E84F44"/>
    <w:rsid w:val="07EB9D77"/>
    <w:rsid w:val="07F2A224"/>
    <w:rsid w:val="07F3A633"/>
    <w:rsid w:val="07F609A1"/>
    <w:rsid w:val="07F75083"/>
    <w:rsid w:val="07FBD8FB"/>
    <w:rsid w:val="07FC2B24"/>
    <w:rsid w:val="0800E380"/>
    <w:rsid w:val="0805FC40"/>
    <w:rsid w:val="0807B7A1"/>
    <w:rsid w:val="080894DD"/>
    <w:rsid w:val="080B3600"/>
    <w:rsid w:val="08117E1F"/>
    <w:rsid w:val="0817FE50"/>
    <w:rsid w:val="0821C9F8"/>
    <w:rsid w:val="0821D3F5"/>
    <w:rsid w:val="08246324"/>
    <w:rsid w:val="08262C32"/>
    <w:rsid w:val="082F1F98"/>
    <w:rsid w:val="08314B8D"/>
    <w:rsid w:val="0831FAEF"/>
    <w:rsid w:val="08353D23"/>
    <w:rsid w:val="0835513E"/>
    <w:rsid w:val="0835A5F5"/>
    <w:rsid w:val="08381A62"/>
    <w:rsid w:val="083E3091"/>
    <w:rsid w:val="083F07DD"/>
    <w:rsid w:val="084B4CF8"/>
    <w:rsid w:val="0858E148"/>
    <w:rsid w:val="085DB167"/>
    <w:rsid w:val="085EC07E"/>
    <w:rsid w:val="0861D6DD"/>
    <w:rsid w:val="0866B7CB"/>
    <w:rsid w:val="0868F9E0"/>
    <w:rsid w:val="086C20B2"/>
    <w:rsid w:val="08721560"/>
    <w:rsid w:val="087AA951"/>
    <w:rsid w:val="0886DB23"/>
    <w:rsid w:val="088CA3C8"/>
    <w:rsid w:val="088D6E4C"/>
    <w:rsid w:val="089399C4"/>
    <w:rsid w:val="0896283E"/>
    <w:rsid w:val="089D6FD1"/>
    <w:rsid w:val="08A31092"/>
    <w:rsid w:val="08A56CCF"/>
    <w:rsid w:val="08A5B99F"/>
    <w:rsid w:val="08B5E6FE"/>
    <w:rsid w:val="08B653E2"/>
    <w:rsid w:val="08BA958F"/>
    <w:rsid w:val="08BB6ABC"/>
    <w:rsid w:val="08C76483"/>
    <w:rsid w:val="08D21C58"/>
    <w:rsid w:val="08D23D74"/>
    <w:rsid w:val="08D66550"/>
    <w:rsid w:val="08D76EAE"/>
    <w:rsid w:val="08E0895D"/>
    <w:rsid w:val="08E95F03"/>
    <w:rsid w:val="08EBCDF7"/>
    <w:rsid w:val="08EC7B9C"/>
    <w:rsid w:val="08F82602"/>
    <w:rsid w:val="08F9B211"/>
    <w:rsid w:val="08FB7595"/>
    <w:rsid w:val="08FCEE45"/>
    <w:rsid w:val="08FE8A03"/>
    <w:rsid w:val="090026D3"/>
    <w:rsid w:val="090242F6"/>
    <w:rsid w:val="09030FB0"/>
    <w:rsid w:val="09072C26"/>
    <w:rsid w:val="090D4E5F"/>
    <w:rsid w:val="090E169B"/>
    <w:rsid w:val="090E1F81"/>
    <w:rsid w:val="09150C25"/>
    <w:rsid w:val="091B0310"/>
    <w:rsid w:val="091C1FBD"/>
    <w:rsid w:val="092137F1"/>
    <w:rsid w:val="092AF969"/>
    <w:rsid w:val="093BCDA2"/>
    <w:rsid w:val="093C9B33"/>
    <w:rsid w:val="094FBEAD"/>
    <w:rsid w:val="0951BA34"/>
    <w:rsid w:val="09546E41"/>
    <w:rsid w:val="09547185"/>
    <w:rsid w:val="095DD19C"/>
    <w:rsid w:val="096B8C44"/>
    <w:rsid w:val="09861134"/>
    <w:rsid w:val="09881BDB"/>
    <w:rsid w:val="09886FE7"/>
    <w:rsid w:val="098B2B6A"/>
    <w:rsid w:val="098FD32B"/>
    <w:rsid w:val="0993D938"/>
    <w:rsid w:val="09994899"/>
    <w:rsid w:val="0999DF34"/>
    <w:rsid w:val="099CAB4C"/>
    <w:rsid w:val="099DB2F5"/>
    <w:rsid w:val="099EF3F1"/>
    <w:rsid w:val="099F0E38"/>
    <w:rsid w:val="09A1CCA1"/>
    <w:rsid w:val="09AA6868"/>
    <w:rsid w:val="09B31057"/>
    <w:rsid w:val="09B38288"/>
    <w:rsid w:val="09B68BAD"/>
    <w:rsid w:val="09B72D60"/>
    <w:rsid w:val="09B8848D"/>
    <w:rsid w:val="09BAB99D"/>
    <w:rsid w:val="09BE5748"/>
    <w:rsid w:val="09C27D68"/>
    <w:rsid w:val="09CDCB50"/>
    <w:rsid w:val="09CF62A6"/>
    <w:rsid w:val="09DD7B43"/>
    <w:rsid w:val="09EBFD72"/>
    <w:rsid w:val="09EC57EF"/>
    <w:rsid w:val="09ECA153"/>
    <w:rsid w:val="09F8C8AF"/>
    <w:rsid w:val="09FC22C6"/>
    <w:rsid w:val="09FD47CE"/>
    <w:rsid w:val="0A057D12"/>
    <w:rsid w:val="0A0E24A6"/>
    <w:rsid w:val="0A0EC603"/>
    <w:rsid w:val="0A0FD554"/>
    <w:rsid w:val="0A11DD8A"/>
    <w:rsid w:val="0A144CD4"/>
    <w:rsid w:val="0A1D5829"/>
    <w:rsid w:val="0A20B864"/>
    <w:rsid w:val="0A2FCB54"/>
    <w:rsid w:val="0A316410"/>
    <w:rsid w:val="0A38ECF6"/>
    <w:rsid w:val="0A41CD8B"/>
    <w:rsid w:val="0A42AFD4"/>
    <w:rsid w:val="0A4382C7"/>
    <w:rsid w:val="0A4C4750"/>
    <w:rsid w:val="0A4C4CB9"/>
    <w:rsid w:val="0A50305C"/>
    <w:rsid w:val="0A53558E"/>
    <w:rsid w:val="0A597ACF"/>
    <w:rsid w:val="0A5D2574"/>
    <w:rsid w:val="0A5F6D62"/>
    <w:rsid w:val="0A65F4B2"/>
    <w:rsid w:val="0A66E07B"/>
    <w:rsid w:val="0A6FE621"/>
    <w:rsid w:val="0A733F0F"/>
    <w:rsid w:val="0A794C52"/>
    <w:rsid w:val="0A79E7A4"/>
    <w:rsid w:val="0A818185"/>
    <w:rsid w:val="0A88376B"/>
    <w:rsid w:val="0A8B47DB"/>
    <w:rsid w:val="0AA40140"/>
    <w:rsid w:val="0AA41D35"/>
    <w:rsid w:val="0AA8BAB6"/>
    <w:rsid w:val="0AAAA7DD"/>
    <w:rsid w:val="0AAEAC3D"/>
    <w:rsid w:val="0AAEE196"/>
    <w:rsid w:val="0AB789ED"/>
    <w:rsid w:val="0ABA790F"/>
    <w:rsid w:val="0AC2B173"/>
    <w:rsid w:val="0AC69ABF"/>
    <w:rsid w:val="0ACBA353"/>
    <w:rsid w:val="0ACC9DDE"/>
    <w:rsid w:val="0ACECD1C"/>
    <w:rsid w:val="0AD75916"/>
    <w:rsid w:val="0AE1293C"/>
    <w:rsid w:val="0AE22E78"/>
    <w:rsid w:val="0AE7F833"/>
    <w:rsid w:val="0AEC148D"/>
    <w:rsid w:val="0AF0E572"/>
    <w:rsid w:val="0AF65784"/>
    <w:rsid w:val="0AF9FF6F"/>
    <w:rsid w:val="0B01B253"/>
    <w:rsid w:val="0B026504"/>
    <w:rsid w:val="0B068567"/>
    <w:rsid w:val="0B0796DD"/>
    <w:rsid w:val="0B09584D"/>
    <w:rsid w:val="0B0B8A8A"/>
    <w:rsid w:val="0B0C698D"/>
    <w:rsid w:val="0B10FF1A"/>
    <w:rsid w:val="0B1AA5CB"/>
    <w:rsid w:val="0B1FA441"/>
    <w:rsid w:val="0B1FAB7D"/>
    <w:rsid w:val="0B2BA38C"/>
    <w:rsid w:val="0B413319"/>
    <w:rsid w:val="0B4DC35D"/>
    <w:rsid w:val="0B4F9F12"/>
    <w:rsid w:val="0B5158F1"/>
    <w:rsid w:val="0B6051E2"/>
    <w:rsid w:val="0B60FCB6"/>
    <w:rsid w:val="0B672293"/>
    <w:rsid w:val="0B6C0DE1"/>
    <w:rsid w:val="0B735932"/>
    <w:rsid w:val="0B7A6E89"/>
    <w:rsid w:val="0B80635D"/>
    <w:rsid w:val="0B85FD02"/>
    <w:rsid w:val="0B8E31A9"/>
    <w:rsid w:val="0B92F6E7"/>
    <w:rsid w:val="0B964466"/>
    <w:rsid w:val="0B98F928"/>
    <w:rsid w:val="0BA6D830"/>
    <w:rsid w:val="0BA9E0C7"/>
    <w:rsid w:val="0BAEB40A"/>
    <w:rsid w:val="0BB28551"/>
    <w:rsid w:val="0BBA7ECC"/>
    <w:rsid w:val="0BBC64D0"/>
    <w:rsid w:val="0BBFE4A3"/>
    <w:rsid w:val="0BC68C0D"/>
    <w:rsid w:val="0BCC013E"/>
    <w:rsid w:val="0BCDFE61"/>
    <w:rsid w:val="0BD00D6C"/>
    <w:rsid w:val="0BD75732"/>
    <w:rsid w:val="0BE08794"/>
    <w:rsid w:val="0BE1D575"/>
    <w:rsid w:val="0BE65DA3"/>
    <w:rsid w:val="0BEA5EAC"/>
    <w:rsid w:val="0BEBDC70"/>
    <w:rsid w:val="0BF0E510"/>
    <w:rsid w:val="0BF78588"/>
    <w:rsid w:val="0BFF24B3"/>
    <w:rsid w:val="0C143D86"/>
    <w:rsid w:val="0C1683FF"/>
    <w:rsid w:val="0C1CEA12"/>
    <w:rsid w:val="0C212E2E"/>
    <w:rsid w:val="0C218E6A"/>
    <w:rsid w:val="0C2519E5"/>
    <w:rsid w:val="0C26F4B9"/>
    <w:rsid w:val="0C30C14A"/>
    <w:rsid w:val="0C30FADB"/>
    <w:rsid w:val="0C355526"/>
    <w:rsid w:val="0C397F07"/>
    <w:rsid w:val="0C3DC22E"/>
    <w:rsid w:val="0C4BAF49"/>
    <w:rsid w:val="0C52E424"/>
    <w:rsid w:val="0C6088DA"/>
    <w:rsid w:val="0C679189"/>
    <w:rsid w:val="0C6850E8"/>
    <w:rsid w:val="0C6EEEEE"/>
    <w:rsid w:val="0C705BCB"/>
    <w:rsid w:val="0C7AD75D"/>
    <w:rsid w:val="0C7B59E3"/>
    <w:rsid w:val="0C7CA110"/>
    <w:rsid w:val="0C8D7B01"/>
    <w:rsid w:val="0CA2E0DA"/>
    <w:rsid w:val="0CA383A8"/>
    <w:rsid w:val="0CA52DFF"/>
    <w:rsid w:val="0CA905E2"/>
    <w:rsid w:val="0CAAEA33"/>
    <w:rsid w:val="0CAB46FF"/>
    <w:rsid w:val="0CB90CED"/>
    <w:rsid w:val="0CC406AB"/>
    <w:rsid w:val="0CCAAEA4"/>
    <w:rsid w:val="0CCAF586"/>
    <w:rsid w:val="0CCBFDE1"/>
    <w:rsid w:val="0CCF2166"/>
    <w:rsid w:val="0CD5DA0F"/>
    <w:rsid w:val="0CD60CEB"/>
    <w:rsid w:val="0CDE84B0"/>
    <w:rsid w:val="0CE79BB1"/>
    <w:rsid w:val="0CEC1B30"/>
    <w:rsid w:val="0CF04DDF"/>
    <w:rsid w:val="0CF3EB95"/>
    <w:rsid w:val="0CF3ED7A"/>
    <w:rsid w:val="0CF78B24"/>
    <w:rsid w:val="0CFB5BE5"/>
    <w:rsid w:val="0D0601A7"/>
    <w:rsid w:val="0D069C27"/>
    <w:rsid w:val="0D07EBB3"/>
    <w:rsid w:val="0D1202FA"/>
    <w:rsid w:val="0D1AD18A"/>
    <w:rsid w:val="0D1B6656"/>
    <w:rsid w:val="0D1E378F"/>
    <w:rsid w:val="0D20549D"/>
    <w:rsid w:val="0D210E44"/>
    <w:rsid w:val="0D212D80"/>
    <w:rsid w:val="0D298962"/>
    <w:rsid w:val="0D2B2BFB"/>
    <w:rsid w:val="0D368FBF"/>
    <w:rsid w:val="0D4A7999"/>
    <w:rsid w:val="0D4BE141"/>
    <w:rsid w:val="0D57857B"/>
    <w:rsid w:val="0D5C51B0"/>
    <w:rsid w:val="0D5F4B40"/>
    <w:rsid w:val="0D6191F8"/>
    <w:rsid w:val="0D63AF52"/>
    <w:rsid w:val="0D74D960"/>
    <w:rsid w:val="0D7C7E91"/>
    <w:rsid w:val="0D80548F"/>
    <w:rsid w:val="0D8446B7"/>
    <w:rsid w:val="0D87E43F"/>
    <w:rsid w:val="0D88312E"/>
    <w:rsid w:val="0D8B5711"/>
    <w:rsid w:val="0D9F59DB"/>
    <w:rsid w:val="0D9FFBF6"/>
    <w:rsid w:val="0DA58FDD"/>
    <w:rsid w:val="0DAB8654"/>
    <w:rsid w:val="0DAB871A"/>
    <w:rsid w:val="0DAC7C3E"/>
    <w:rsid w:val="0DBB887B"/>
    <w:rsid w:val="0DD3168B"/>
    <w:rsid w:val="0DDD9A58"/>
    <w:rsid w:val="0DE253BA"/>
    <w:rsid w:val="0DE3DF57"/>
    <w:rsid w:val="0DE4C49F"/>
    <w:rsid w:val="0DEC306E"/>
    <w:rsid w:val="0DEC6438"/>
    <w:rsid w:val="0DEE7433"/>
    <w:rsid w:val="0DFCCDDC"/>
    <w:rsid w:val="0E099D29"/>
    <w:rsid w:val="0E0B1BDF"/>
    <w:rsid w:val="0E0BCE5C"/>
    <w:rsid w:val="0E13A64A"/>
    <w:rsid w:val="0E15D291"/>
    <w:rsid w:val="0E1CCC1B"/>
    <w:rsid w:val="0E1E1529"/>
    <w:rsid w:val="0E1F463F"/>
    <w:rsid w:val="0E22B561"/>
    <w:rsid w:val="0E294B62"/>
    <w:rsid w:val="0E2AAE35"/>
    <w:rsid w:val="0E2AB28C"/>
    <w:rsid w:val="0E2F346C"/>
    <w:rsid w:val="0E2FCF18"/>
    <w:rsid w:val="0E378B7A"/>
    <w:rsid w:val="0E3E48CC"/>
    <w:rsid w:val="0E401771"/>
    <w:rsid w:val="0E486892"/>
    <w:rsid w:val="0E5BA9C2"/>
    <w:rsid w:val="0E5C7FE1"/>
    <w:rsid w:val="0E66A436"/>
    <w:rsid w:val="0E6707B4"/>
    <w:rsid w:val="0E6DE39B"/>
    <w:rsid w:val="0E753DC4"/>
    <w:rsid w:val="0E7975F4"/>
    <w:rsid w:val="0E7C2C40"/>
    <w:rsid w:val="0E8419CD"/>
    <w:rsid w:val="0E86E02C"/>
    <w:rsid w:val="0E8AA967"/>
    <w:rsid w:val="0E8C7DF1"/>
    <w:rsid w:val="0E8F61EA"/>
    <w:rsid w:val="0E8FF0C9"/>
    <w:rsid w:val="0E9353CE"/>
    <w:rsid w:val="0E9B02CA"/>
    <w:rsid w:val="0EA307EE"/>
    <w:rsid w:val="0EA3F9B5"/>
    <w:rsid w:val="0EBBFAF8"/>
    <w:rsid w:val="0EBE7190"/>
    <w:rsid w:val="0EC3BD87"/>
    <w:rsid w:val="0EC4D4C8"/>
    <w:rsid w:val="0ECF93E9"/>
    <w:rsid w:val="0ED1C222"/>
    <w:rsid w:val="0ED32F52"/>
    <w:rsid w:val="0EDC586C"/>
    <w:rsid w:val="0EDC69F3"/>
    <w:rsid w:val="0EDD74C7"/>
    <w:rsid w:val="0EDDBAC4"/>
    <w:rsid w:val="0EE91C42"/>
    <w:rsid w:val="0EEE7559"/>
    <w:rsid w:val="0EFEC11D"/>
    <w:rsid w:val="0F03B340"/>
    <w:rsid w:val="0F0B684F"/>
    <w:rsid w:val="0F0CCD68"/>
    <w:rsid w:val="0F166FB2"/>
    <w:rsid w:val="0F173BE6"/>
    <w:rsid w:val="0F1A525D"/>
    <w:rsid w:val="0F1B7037"/>
    <w:rsid w:val="0F22F80A"/>
    <w:rsid w:val="0F2FBDEB"/>
    <w:rsid w:val="0F306CB1"/>
    <w:rsid w:val="0F3BEF7F"/>
    <w:rsid w:val="0F3DC1A4"/>
    <w:rsid w:val="0F45FA29"/>
    <w:rsid w:val="0F48D15F"/>
    <w:rsid w:val="0F4D0926"/>
    <w:rsid w:val="0F4D3613"/>
    <w:rsid w:val="0F50B24D"/>
    <w:rsid w:val="0F542C63"/>
    <w:rsid w:val="0F569C03"/>
    <w:rsid w:val="0F596846"/>
    <w:rsid w:val="0F627CB1"/>
    <w:rsid w:val="0F67F234"/>
    <w:rsid w:val="0F6B35DF"/>
    <w:rsid w:val="0F6E726B"/>
    <w:rsid w:val="0F70278E"/>
    <w:rsid w:val="0F7060CE"/>
    <w:rsid w:val="0F7371FE"/>
    <w:rsid w:val="0F7EBA9D"/>
    <w:rsid w:val="0F7F406C"/>
    <w:rsid w:val="0F7F9635"/>
    <w:rsid w:val="0F82B9BC"/>
    <w:rsid w:val="0F891945"/>
    <w:rsid w:val="0F8D983F"/>
    <w:rsid w:val="0F8E1C1C"/>
    <w:rsid w:val="0F91EE1D"/>
    <w:rsid w:val="0F934A01"/>
    <w:rsid w:val="0F99D939"/>
    <w:rsid w:val="0F9B0AC8"/>
    <w:rsid w:val="0F9CEBB0"/>
    <w:rsid w:val="0F9FB92E"/>
    <w:rsid w:val="0FA2E323"/>
    <w:rsid w:val="0FA337EA"/>
    <w:rsid w:val="0FA7050C"/>
    <w:rsid w:val="0FB5A427"/>
    <w:rsid w:val="0FBA1E52"/>
    <w:rsid w:val="0FCC51BE"/>
    <w:rsid w:val="0FD1CE44"/>
    <w:rsid w:val="0FD97CB9"/>
    <w:rsid w:val="0FDAA7B9"/>
    <w:rsid w:val="0FE0F350"/>
    <w:rsid w:val="0FE56C61"/>
    <w:rsid w:val="0FE9098E"/>
    <w:rsid w:val="0FE93FCE"/>
    <w:rsid w:val="0FF6DD49"/>
    <w:rsid w:val="0FF6F607"/>
    <w:rsid w:val="0FF8CB3D"/>
    <w:rsid w:val="0FF9F044"/>
    <w:rsid w:val="0FFB0BCF"/>
    <w:rsid w:val="0FFFC318"/>
    <w:rsid w:val="0FFFE685"/>
    <w:rsid w:val="100125C6"/>
    <w:rsid w:val="1004293F"/>
    <w:rsid w:val="101333E6"/>
    <w:rsid w:val="10172A3C"/>
    <w:rsid w:val="1019E8FF"/>
    <w:rsid w:val="101F5F3E"/>
    <w:rsid w:val="10248868"/>
    <w:rsid w:val="103052F8"/>
    <w:rsid w:val="10307C10"/>
    <w:rsid w:val="103520CF"/>
    <w:rsid w:val="1044CD61"/>
    <w:rsid w:val="105074B8"/>
    <w:rsid w:val="10513E9B"/>
    <w:rsid w:val="10524C7C"/>
    <w:rsid w:val="1055241D"/>
    <w:rsid w:val="105A3BAB"/>
    <w:rsid w:val="105C3B15"/>
    <w:rsid w:val="106650A6"/>
    <w:rsid w:val="106CE999"/>
    <w:rsid w:val="10755BA9"/>
    <w:rsid w:val="108485E7"/>
    <w:rsid w:val="1089B7A1"/>
    <w:rsid w:val="10952714"/>
    <w:rsid w:val="109539EB"/>
    <w:rsid w:val="10976552"/>
    <w:rsid w:val="109AD843"/>
    <w:rsid w:val="109C4B07"/>
    <w:rsid w:val="109FED1C"/>
    <w:rsid w:val="10A8C2DC"/>
    <w:rsid w:val="10AAC17D"/>
    <w:rsid w:val="10AB1B0A"/>
    <w:rsid w:val="10AB684D"/>
    <w:rsid w:val="10BF107F"/>
    <w:rsid w:val="10C0A648"/>
    <w:rsid w:val="10C13B9B"/>
    <w:rsid w:val="10C24B99"/>
    <w:rsid w:val="10C84D33"/>
    <w:rsid w:val="10D0A7AA"/>
    <w:rsid w:val="10D12921"/>
    <w:rsid w:val="10D49709"/>
    <w:rsid w:val="10D4BCD3"/>
    <w:rsid w:val="10DB8626"/>
    <w:rsid w:val="10E09CD5"/>
    <w:rsid w:val="10E6BE46"/>
    <w:rsid w:val="10EDB829"/>
    <w:rsid w:val="10EF8423"/>
    <w:rsid w:val="10F54064"/>
    <w:rsid w:val="10FC256B"/>
    <w:rsid w:val="10FCB173"/>
    <w:rsid w:val="110154EE"/>
    <w:rsid w:val="110300AE"/>
    <w:rsid w:val="1108EC4B"/>
    <w:rsid w:val="110EBCA2"/>
    <w:rsid w:val="1110FBD7"/>
    <w:rsid w:val="11132DF9"/>
    <w:rsid w:val="11150A32"/>
    <w:rsid w:val="1118BE40"/>
    <w:rsid w:val="111A4028"/>
    <w:rsid w:val="111CF553"/>
    <w:rsid w:val="11357E19"/>
    <w:rsid w:val="113C2DDB"/>
    <w:rsid w:val="1143AD6F"/>
    <w:rsid w:val="11481B55"/>
    <w:rsid w:val="114C5A48"/>
    <w:rsid w:val="11519C92"/>
    <w:rsid w:val="11521806"/>
    <w:rsid w:val="1152CF37"/>
    <w:rsid w:val="116C1C32"/>
    <w:rsid w:val="1170323C"/>
    <w:rsid w:val="117BB91B"/>
    <w:rsid w:val="11864EA0"/>
    <w:rsid w:val="118C23B8"/>
    <w:rsid w:val="119012BA"/>
    <w:rsid w:val="1197EC76"/>
    <w:rsid w:val="1199C847"/>
    <w:rsid w:val="119B078A"/>
    <w:rsid w:val="119C332E"/>
    <w:rsid w:val="119EFF5A"/>
    <w:rsid w:val="11A3D258"/>
    <w:rsid w:val="11A90D25"/>
    <w:rsid w:val="11B291E5"/>
    <w:rsid w:val="11B30BCB"/>
    <w:rsid w:val="11B517E7"/>
    <w:rsid w:val="11B55C04"/>
    <w:rsid w:val="11B9DCFB"/>
    <w:rsid w:val="11BDAB7A"/>
    <w:rsid w:val="11BFE520"/>
    <w:rsid w:val="11C7918B"/>
    <w:rsid w:val="11C84BDE"/>
    <w:rsid w:val="11CCD73E"/>
    <w:rsid w:val="11D203BE"/>
    <w:rsid w:val="11D5A90A"/>
    <w:rsid w:val="11E8C05E"/>
    <w:rsid w:val="11EB4914"/>
    <w:rsid w:val="11F6B1AF"/>
    <w:rsid w:val="11F96B8A"/>
    <w:rsid w:val="11FCB8DA"/>
    <w:rsid w:val="11FE9D1E"/>
    <w:rsid w:val="1200A5A5"/>
    <w:rsid w:val="12069E29"/>
    <w:rsid w:val="1213721F"/>
    <w:rsid w:val="1219DE0A"/>
    <w:rsid w:val="121DEABC"/>
    <w:rsid w:val="121F524F"/>
    <w:rsid w:val="1228F655"/>
    <w:rsid w:val="122BFC60"/>
    <w:rsid w:val="12355F02"/>
    <w:rsid w:val="12415836"/>
    <w:rsid w:val="1243060A"/>
    <w:rsid w:val="1243A0E7"/>
    <w:rsid w:val="1244933D"/>
    <w:rsid w:val="1245772C"/>
    <w:rsid w:val="1246D167"/>
    <w:rsid w:val="124E72A8"/>
    <w:rsid w:val="12507149"/>
    <w:rsid w:val="12569629"/>
    <w:rsid w:val="12581FD8"/>
    <w:rsid w:val="125BAAFD"/>
    <w:rsid w:val="125D3180"/>
    <w:rsid w:val="1264532A"/>
    <w:rsid w:val="12699B9B"/>
    <w:rsid w:val="126DF56E"/>
    <w:rsid w:val="126F07CB"/>
    <w:rsid w:val="126FAC6A"/>
    <w:rsid w:val="1275C5F4"/>
    <w:rsid w:val="12775687"/>
    <w:rsid w:val="12777ED4"/>
    <w:rsid w:val="127EE45F"/>
    <w:rsid w:val="128D77B7"/>
    <w:rsid w:val="128FD982"/>
    <w:rsid w:val="12905AF1"/>
    <w:rsid w:val="12922609"/>
    <w:rsid w:val="12A8E115"/>
    <w:rsid w:val="12AB6EAB"/>
    <w:rsid w:val="12BA17CF"/>
    <w:rsid w:val="12C1E556"/>
    <w:rsid w:val="12C4A56D"/>
    <w:rsid w:val="12CF7A3B"/>
    <w:rsid w:val="12D09EC5"/>
    <w:rsid w:val="12D947B5"/>
    <w:rsid w:val="12E76A08"/>
    <w:rsid w:val="12EB127D"/>
    <w:rsid w:val="12EBE3F5"/>
    <w:rsid w:val="12EBFCDB"/>
    <w:rsid w:val="12EEBB2D"/>
    <w:rsid w:val="12F3E2D3"/>
    <w:rsid w:val="12F6DA31"/>
    <w:rsid w:val="12F80CCD"/>
    <w:rsid w:val="12F83C88"/>
    <w:rsid w:val="130249F0"/>
    <w:rsid w:val="1303DF39"/>
    <w:rsid w:val="13087A1F"/>
    <w:rsid w:val="1317CBF0"/>
    <w:rsid w:val="1318AF60"/>
    <w:rsid w:val="1320884D"/>
    <w:rsid w:val="1320BA5E"/>
    <w:rsid w:val="13236A99"/>
    <w:rsid w:val="132BB125"/>
    <w:rsid w:val="1331C926"/>
    <w:rsid w:val="133D5ED1"/>
    <w:rsid w:val="134F8DEA"/>
    <w:rsid w:val="13557FCD"/>
    <w:rsid w:val="135675C0"/>
    <w:rsid w:val="135D6801"/>
    <w:rsid w:val="135D8C2F"/>
    <w:rsid w:val="13665A89"/>
    <w:rsid w:val="1377EB3F"/>
    <w:rsid w:val="138224C8"/>
    <w:rsid w:val="1385066B"/>
    <w:rsid w:val="13860310"/>
    <w:rsid w:val="1390C415"/>
    <w:rsid w:val="1391EBEB"/>
    <w:rsid w:val="1395ED42"/>
    <w:rsid w:val="1397B9C7"/>
    <w:rsid w:val="139D5EE5"/>
    <w:rsid w:val="139DFA03"/>
    <w:rsid w:val="13A0122C"/>
    <w:rsid w:val="13A1945B"/>
    <w:rsid w:val="13A2E1CF"/>
    <w:rsid w:val="13A5CA2C"/>
    <w:rsid w:val="13AA3016"/>
    <w:rsid w:val="13ACF181"/>
    <w:rsid w:val="13B4F04F"/>
    <w:rsid w:val="13B7E278"/>
    <w:rsid w:val="13BCFBD1"/>
    <w:rsid w:val="13BE6D9B"/>
    <w:rsid w:val="13C3C940"/>
    <w:rsid w:val="13C44598"/>
    <w:rsid w:val="13C4B262"/>
    <w:rsid w:val="13C65822"/>
    <w:rsid w:val="13CEBB3E"/>
    <w:rsid w:val="13D17685"/>
    <w:rsid w:val="13D48BCB"/>
    <w:rsid w:val="13E208A4"/>
    <w:rsid w:val="13E24204"/>
    <w:rsid w:val="13E2C1EB"/>
    <w:rsid w:val="13E4DD20"/>
    <w:rsid w:val="13E9FBD9"/>
    <w:rsid w:val="13EA8BD8"/>
    <w:rsid w:val="13EB7218"/>
    <w:rsid w:val="13EDC808"/>
    <w:rsid w:val="13F0CE66"/>
    <w:rsid w:val="13F48BAE"/>
    <w:rsid w:val="13F564B0"/>
    <w:rsid w:val="13F94E8F"/>
    <w:rsid w:val="13F9CC49"/>
    <w:rsid w:val="13FF291C"/>
    <w:rsid w:val="13FFF7F0"/>
    <w:rsid w:val="14016866"/>
    <w:rsid w:val="140DF145"/>
    <w:rsid w:val="14101163"/>
    <w:rsid w:val="141309E2"/>
    <w:rsid w:val="141405B1"/>
    <w:rsid w:val="141D7E8B"/>
    <w:rsid w:val="141F6E63"/>
    <w:rsid w:val="14271EE8"/>
    <w:rsid w:val="1427D005"/>
    <w:rsid w:val="14318074"/>
    <w:rsid w:val="1448845A"/>
    <w:rsid w:val="144FF096"/>
    <w:rsid w:val="1452B5F5"/>
    <w:rsid w:val="1475C2AB"/>
    <w:rsid w:val="1478DA1D"/>
    <w:rsid w:val="147E75C1"/>
    <w:rsid w:val="1484FEC9"/>
    <w:rsid w:val="148810C5"/>
    <w:rsid w:val="14885F81"/>
    <w:rsid w:val="1489A5D4"/>
    <w:rsid w:val="148AFE86"/>
    <w:rsid w:val="148D1556"/>
    <w:rsid w:val="1490099C"/>
    <w:rsid w:val="14942E42"/>
    <w:rsid w:val="14965B8E"/>
    <w:rsid w:val="1496CE91"/>
    <w:rsid w:val="14971BE9"/>
    <w:rsid w:val="149B872E"/>
    <w:rsid w:val="14A81310"/>
    <w:rsid w:val="14ABC6C9"/>
    <w:rsid w:val="14ABCDA6"/>
    <w:rsid w:val="14B0B9F2"/>
    <w:rsid w:val="14B0C1BF"/>
    <w:rsid w:val="14B8F0B1"/>
    <w:rsid w:val="14BFE702"/>
    <w:rsid w:val="14C4184B"/>
    <w:rsid w:val="14C5D915"/>
    <w:rsid w:val="14C9DFE1"/>
    <w:rsid w:val="14D114B5"/>
    <w:rsid w:val="14D18097"/>
    <w:rsid w:val="14D22980"/>
    <w:rsid w:val="14D47299"/>
    <w:rsid w:val="14D8A067"/>
    <w:rsid w:val="14D8DD75"/>
    <w:rsid w:val="14E165FF"/>
    <w:rsid w:val="14E1CB23"/>
    <w:rsid w:val="14E1D144"/>
    <w:rsid w:val="14E3B96D"/>
    <w:rsid w:val="14EA4270"/>
    <w:rsid w:val="14EBA443"/>
    <w:rsid w:val="14F4F94D"/>
    <w:rsid w:val="14F718D0"/>
    <w:rsid w:val="14F81353"/>
    <w:rsid w:val="1504E72B"/>
    <w:rsid w:val="150B9B45"/>
    <w:rsid w:val="150C9542"/>
    <w:rsid w:val="150FEB98"/>
    <w:rsid w:val="15227995"/>
    <w:rsid w:val="152B4887"/>
    <w:rsid w:val="152BA892"/>
    <w:rsid w:val="152CAC9C"/>
    <w:rsid w:val="1531092B"/>
    <w:rsid w:val="15344A45"/>
    <w:rsid w:val="1539FE02"/>
    <w:rsid w:val="153CEC73"/>
    <w:rsid w:val="1546C304"/>
    <w:rsid w:val="154C45DF"/>
    <w:rsid w:val="154F1514"/>
    <w:rsid w:val="1559AB31"/>
    <w:rsid w:val="1563CC46"/>
    <w:rsid w:val="156CA3DD"/>
    <w:rsid w:val="15716F61"/>
    <w:rsid w:val="1573656B"/>
    <w:rsid w:val="1578A093"/>
    <w:rsid w:val="15803AB2"/>
    <w:rsid w:val="159229D3"/>
    <w:rsid w:val="15955D94"/>
    <w:rsid w:val="1597CA93"/>
    <w:rsid w:val="159D240D"/>
    <w:rsid w:val="15A3EA65"/>
    <w:rsid w:val="15A7E131"/>
    <w:rsid w:val="15AB1481"/>
    <w:rsid w:val="15AB1C51"/>
    <w:rsid w:val="15AB5AB8"/>
    <w:rsid w:val="15AC797D"/>
    <w:rsid w:val="15AF7AA9"/>
    <w:rsid w:val="15B06BDC"/>
    <w:rsid w:val="15C9A226"/>
    <w:rsid w:val="15CB1CDC"/>
    <w:rsid w:val="15D53AB5"/>
    <w:rsid w:val="15DD8AA0"/>
    <w:rsid w:val="15DE96BC"/>
    <w:rsid w:val="15E14925"/>
    <w:rsid w:val="15E34EF6"/>
    <w:rsid w:val="15FA2A6F"/>
    <w:rsid w:val="15FE84C1"/>
    <w:rsid w:val="160592FC"/>
    <w:rsid w:val="1606960F"/>
    <w:rsid w:val="160785FE"/>
    <w:rsid w:val="160925A4"/>
    <w:rsid w:val="16127513"/>
    <w:rsid w:val="161ABAB7"/>
    <w:rsid w:val="161FF4FB"/>
    <w:rsid w:val="1620FD6E"/>
    <w:rsid w:val="1627EAF0"/>
    <w:rsid w:val="162A9ED2"/>
    <w:rsid w:val="162ECEDF"/>
    <w:rsid w:val="1639A0F9"/>
    <w:rsid w:val="16410B07"/>
    <w:rsid w:val="16436AEA"/>
    <w:rsid w:val="1644EA81"/>
    <w:rsid w:val="1645B015"/>
    <w:rsid w:val="16492C19"/>
    <w:rsid w:val="165F233F"/>
    <w:rsid w:val="1661B24D"/>
    <w:rsid w:val="1664586A"/>
    <w:rsid w:val="16652571"/>
    <w:rsid w:val="16664B9A"/>
    <w:rsid w:val="1666C7A1"/>
    <w:rsid w:val="166C3988"/>
    <w:rsid w:val="16757ED5"/>
    <w:rsid w:val="1678B7D5"/>
    <w:rsid w:val="167F6EC8"/>
    <w:rsid w:val="168091EB"/>
    <w:rsid w:val="1695F554"/>
    <w:rsid w:val="169A9FE2"/>
    <w:rsid w:val="169EF7A1"/>
    <w:rsid w:val="16A4C5B0"/>
    <w:rsid w:val="16ABF178"/>
    <w:rsid w:val="16B3DD32"/>
    <w:rsid w:val="16B4CF90"/>
    <w:rsid w:val="16B59959"/>
    <w:rsid w:val="16B6C64F"/>
    <w:rsid w:val="16BF1784"/>
    <w:rsid w:val="16C7A952"/>
    <w:rsid w:val="16CC61D0"/>
    <w:rsid w:val="16D0EA80"/>
    <w:rsid w:val="16DD84C7"/>
    <w:rsid w:val="16E1D0D8"/>
    <w:rsid w:val="16EA2465"/>
    <w:rsid w:val="16EA8784"/>
    <w:rsid w:val="16EEBB9C"/>
    <w:rsid w:val="16F102A5"/>
    <w:rsid w:val="16F4C00D"/>
    <w:rsid w:val="16F85DE5"/>
    <w:rsid w:val="16FBF68C"/>
    <w:rsid w:val="1700C4BF"/>
    <w:rsid w:val="17119EAA"/>
    <w:rsid w:val="17138690"/>
    <w:rsid w:val="1717EDAC"/>
    <w:rsid w:val="171BEA41"/>
    <w:rsid w:val="1727FE3A"/>
    <w:rsid w:val="17296245"/>
    <w:rsid w:val="172F620B"/>
    <w:rsid w:val="1737C790"/>
    <w:rsid w:val="173DA6A7"/>
    <w:rsid w:val="173EB5B4"/>
    <w:rsid w:val="1743B82D"/>
    <w:rsid w:val="1746D4F8"/>
    <w:rsid w:val="17483518"/>
    <w:rsid w:val="17496F3B"/>
    <w:rsid w:val="174F7AA2"/>
    <w:rsid w:val="17657AA9"/>
    <w:rsid w:val="1768F076"/>
    <w:rsid w:val="17699B6E"/>
    <w:rsid w:val="176C4514"/>
    <w:rsid w:val="176DD7B1"/>
    <w:rsid w:val="17710CED"/>
    <w:rsid w:val="17779891"/>
    <w:rsid w:val="1781B7EE"/>
    <w:rsid w:val="1786432D"/>
    <w:rsid w:val="178FFEE3"/>
    <w:rsid w:val="1792DF79"/>
    <w:rsid w:val="1792FD91"/>
    <w:rsid w:val="1797E93E"/>
    <w:rsid w:val="179D43FF"/>
    <w:rsid w:val="17A1AEBD"/>
    <w:rsid w:val="17A7624E"/>
    <w:rsid w:val="17B6F9E7"/>
    <w:rsid w:val="17C9A515"/>
    <w:rsid w:val="17CD766D"/>
    <w:rsid w:val="17D70C1A"/>
    <w:rsid w:val="17DA12A5"/>
    <w:rsid w:val="17DB1728"/>
    <w:rsid w:val="17DC3A9B"/>
    <w:rsid w:val="17DC3E46"/>
    <w:rsid w:val="17DD776A"/>
    <w:rsid w:val="17E489AA"/>
    <w:rsid w:val="17E5C659"/>
    <w:rsid w:val="17E9DAC9"/>
    <w:rsid w:val="17EB504D"/>
    <w:rsid w:val="17EF2027"/>
    <w:rsid w:val="17F36A11"/>
    <w:rsid w:val="17FA7EA0"/>
    <w:rsid w:val="17FC3731"/>
    <w:rsid w:val="18042D98"/>
    <w:rsid w:val="180526D2"/>
    <w:rsid w:val="1806C259"/>
    <w:rsid w:val="180E90D9"/>
    <w:rsid w:val="1813FD0F"/>
    <w:rsid w:val="1814CB2D"/>
    <w:rsid w:val="18253B72"/>
    <w:rsid w:val="182AD72B"/>
    <w:rsid w:val="183099D1"/>
    <w:rsid w:val="1832FA96"/>
    <w:rsid w:val="1833514C"/>
    <w:rsid w:val="18356439"/>
    <w:rsid w:val="1835BD2F"/>
    <w:rsid w:val="183A7651"/>
    <w:rsid w:val="183B2649"/>
    <w:rsid w:val="183EA82E"/>
    <w:rsid w:val="18495354"/>
    <w:rsid w:val="184AA057"/>
    <w:rsid w:val="184B4945"/>
    <w:rsid w:val="184BD426"/>
    <w:rsid w:val="184D8914"/>
    <w:rsid w:val="1853BC29"/>
    <w:rsid w:val="1857E991"/>
    <w:rsid w:val="185A764E"/>
    <w:rsid w:val="185CFE74"/>
    <w:rsid w:val="1861C014"/>
    <w:rsid w:val="1867478D"/>
    <w:rsid w:val="1869AEDC"/>
    <w:rsid w:val="186F9E1E"/>
    <w:rsid w:val="18715022"/>
    <w:rsid w:val="187300F4"/>
    <w:rsid w:val="1873E50E"/>
    <w:rsid w:val="1878F84A"/>
    <w:rsid w:val="18792CB7"/>
    <w:rsid w:val="1879FE36"/>
    <w:rsid w:val="187A1198"/>
    <w:rsid w:val="187D8BA8"/>
    <w:rsid w:val="1886C897"/>
    <w:rsid w:val="188A7F31"/>
    <w:rsid w:val="188D8EBF"/>
    <w:rsid w:val="18906A62"/>
    <w:rsid w:val="189BFE39"/>
    <w:rsid w:val="189DCD7B"/>
    <w:rsid w:val="18A20F26"/>
    <w:rsid w:val="18A59997"/>
    <w:rsid w:val="18A5EA73"/>
    <w:rsid w:val="18A9F582"/>
    <w:rsid w:val="18ADA229"/>
    <w:rsid w:val="18AE96F2"/>
    <w:rsid w:val="18B2E26B"/>
    <w:rsid w:val="18B2ECE0"/>
    <w:rsid w:val="18B3A13F"/>
    <w:rsid w:val="18B478FF"/>
    <w:rsid w:val="18BACFF1"/>
    <w:rsid w:val="18BD72F4"/>
    <w:rsid w:val="18C00FE0"/>
    <w:rsid w:val="18C2254A"/>
    <w:rsid w:val="18C85CCB"/>
    <w:rsid w:val="18C88C19"/>
    <w:rsid w:val="18C95AD5"/>
    <w:rsid w:val="18D2492C"/>
    <w:rsid w:val="18DB15BB"/>
    <w:rsid w:val="18DC013F"/>
    <w:rsid w:val="18E7C7AE"/>
    <w:rsid w:val="18EFD4D9"/>
    <w:rsid w:val="18F08DF5"/>
    <w:rsid w:val="18F0E86B"/>
    <w:rsid w:val="18F86E77"/>
    <w:rsid w:val="18FC450C"/>
    <w:rsid w:val="1906E8B5"/>
    <w:rsid w:val="19096243"/>
    <w:rsid w:val="190D36DA"/>
    <w:rsid w:val="19111045"/>
    <w:rsid w:val="1912CD48"/>
    <w:rsid w:val="191389E9"/>
    <w:rsid w:val="19140F29"/>
    <w:rsid w:val="19158265"/>
    <w:rsid w:val="191AD36B"/>
    <w:rsid w:val="1927F3CA"/>
    <w:rsid w:val="192B48E5"/>
    <w:rsid w:val="192C2C17"/>
    <w:rsid w:val="1938F866"/>
    <w:rsid w:val="193D717A"/>
    <w:rsid w:val="193E47AE"/>
    <w:rsid w:val="1940AD4D"/>
    <w:rsid w:val="1942DFBD"/>
    <w:rsid w:val="19455D84"/>
    <w:rsid w:val="194B2E97"/>
    <w:rsid w:val="1954AC10"/>
    <w:rsid w:val="1956D823"/>
    <w:rsid w:val="1965D52F"/>
    <w:rsid w:val="19674EBE"/>
    <w:rsid w:val="1967971B"/>
    <w:rsid w:val="1968629D"/>
    <w:rsid w:val="196AD543"/>
    <w:rsid w:val="196AD5BF"/>
    <w:rsid w:val="196C0383"/>
    <w:rsid w:val="196DCCE7"/>
    <w:rsid w:val="196F0030"/>
    <w:rsid w:val="19723392"/>
    <w:rsid w:val="1985C0EC"/>
    <w:rsid w:val="198BB1CF"/>
    <w:rsid w:val="198D6F69"/>
    <w:rsid w:val="19957ACE"/>
    <w:rsid w:val="199713A1"/>
    <w:rsid w:val="199AB2E5"/>
    <w:rsid w:val="19A079A0"/>
    <w:rsid w:val="19A1B1E7"/>
    <w:rsid w:val="19A1E1CB"/>
    <w:rsid w:val="19A2B0F4"/>
    <w:rsid w:val="19AB5C3C"/>
    <w:rsid w:val="19AD499B"/>
    <w:rsid w:val="19B08530"/>
    <w:rsid w:val="19B607A2"/>
    <w:rsid w:val="19B9405E"/>
    <w:rsid w:val="19B9AF39"/>
    <w:rsid w:val="19BEADB9"/>
    <w:rsid w:val="19C01C59"/>
    <w:rsid w:val="19C1C289"/>
    <w:rsid w:val="19C3BE37"/>
    <w:rsid w:val="19D0939F"/>
    <w:rsid w:val="19D527BD"/>
    <w:rsid w:val="19D53DBF"/>
    <w:rsid w:val="19DD76AF"/>
    <w:rsid w:val="19E2043A"/>
    <w:rsid w:val="19E8B126"/>
    <w:rsid w:val="19EF6B38"/>
    <w:rsid w:val="19F07BCB"/>
    <w:rsid w:val="19F6B7F6"/>
    <w:rsid w:val="19F70FBE"/>
    <w:rsid w:val="19FA4CC2"/>
    <w:rsid w:val="19FD0F76"/>
    <w:rsid w:val="1A0651DD"/>
    <w:rsid w:val="1A0A4286"/>
    <w:rsid w:val="1A0F8354"/>
    <w:rsid w:val="1A18562A"/>
    <w:rsid w:val="1A1C9526"/>
    <w:rsid w:val="1A2E985F"/>
    <w:rsid w:val="1A3263D0"/>
    <w:rsid w:val="1A366AA3"/>
    <w:rsid w:val="1A3F9383"/>
    <w:rsid w:val="1A41A86E"/>
    <w:rsid w:val="1A44ADA8"/>
    <w:rsid w:val="1A460FDD"/>
    <w:rsid w:val="1A471927"/>
    <w:rsid w:val="1A4AB9EF"/>
    <w:rsid w:val="1A4FE1BC"/>
    <w:rsid w:val="1A521508"/>
    <w:rsid w:val="1A5EFE3F"/>
    <w:rsid w:val="1A5F1C6D"/>
    <w:rsid w:val="1A615A29"/>
    <w:rsid w:val="1A6276E1"/>
    <w:rsid w:val="1A641969"/>
    <w:rsid w:val="1A642A68"/>
    <w:rsid w:val="1A7421F2"/>
    <w:rsid w:val="1A770E58"/>
    <w:rsid w:val="1A788C17"/>
    <w:rsid w:val="1A7B6C1A"/>
    <w:rsid w:val="1A7E4EA6"/>
    <w:rsid w:val="1A877F97"/>
    <w:rsid w:val="1A9BF6CB"/>
    <w:rsid w:val="1A9F25D8"/>
    <w:rsid w:val="1AA11B69"/>
    <w:rsid w:val="1AA54586"/>
    <w:rsid w:val="1AA6E8A8"/>
    <w:rsid w:val="1AA6F41A"/>
    <w:rsid w:val="1AA83D57"/>
    <w:rsid w:val="1AAB827F"/>
    <w:rsid w:val="1AADF1F7"/>
    <w:rsid w:val="1AB9A4E7"/>
    <w:rsid w:val="1AC0DA51"/>
    <w:rsid w:val="1AC714FC"/>
    <w:rsid w:val="1ACFF4B7"/>
    <w:rsid w:val="1ACFF92D"/>
    <w:rsid w:val="1AD2590F"/>
    <w:rsid w:val="1AD9325C"/>
    <w:rsid w:val="1ADCB846"/>
    <w:rsid w:val="1AE7330B"/>
    <w:rsid w:val="1AEC8773"/>
    <w:rsid w:val="1AF3C88C"/>
    <w:rsid w:val="1AF42890"/>
    <w:rsid w:val="1B020968"/>
    <w:rsid w:val="1B02A6A5"/>
    <w:rsid w:val="1B02DA45"/>
    <w:rsid w:val="1B0731F0"/>
    <w:rsid w:val="1B14BA53"/>
    <w:rsid w:val="1B14F9D7"/>
    <w:rsid w:val="1B1CBAA1"/>
    <w:rsid w:val="1B1E6468"/>
    <w:rsid w:val="1B1FDC10"/>
    <w:rsid w:val="1B2A388C"/>
    <w:rsid w:val="1B2BCE02"/>
    <w:rsid w:val="1B309E8D"/>
    <w:rsid w:val="1B3B6471"/>
    <w:rsid w:val="1B3C8F93"/>
    <w:rsid w:val="1B3D272D"/>
    <w:rsid w:val="1B3D92CC"/>
    <w:rsid w:val="1B3D9B56"/>
    <w:rsid w:val="1B470BD8"/>
    <w:rsid w:val="1B4A8FB2"/>
    <w:rsid w:val="1B5F8E98"/>
    <w:rsid w:val="1B60BE57"/>
    <w:rsid w:val="1B6641AD"/>
    <w:rsid w:val="1B68D796"/>
    <w:rsid w:val="1B68E2C9"/>
    <w:rsid w:val="1B6CAED3"/>
    <w:rsid w:val="1B8149C8"/>
    <w:rsid w:val="1B88E1E5"/>
    <w:rsid w:val="1B8A0129"/>
    <w:rsid w:val="1B8A636C"/>
    <w:rsid w:val="1B8F8020"/>
    <w:rsid w:val="1B94BADC"/>
    <w:rsid w:val="1B95A510"/>
    <w:rsid w:val="1B9DA4AD"/>
    <w:rsid w:val="1B9FB975"/>
    <w:rsid w:val="1BA42A94"/>
    <w:rsid w:val="1BA4FB14"/>
    <w:rsid w:val="1BB60BCF"/>
    <w:rsid w:val="1BCACF56"/>
    <w:rsid w:val="1BCCC712"/>
    <w:rsid w:val="1BD304DA"/>
    <w:rsid w:val="1BE75C92"/>
    <w:rsid w:val="1BE8D37A"/>
    <w:rsid w:val="1BF0D019"/>
    <w:rsid w:val="1BF6622A"/>
    <w:rsid w:val="1BFE91D3"/>
    <w:rsid w:val="1C021E71"/>
    <w:rsid w:val="1C08CA2F"/>
    <w:rsid w:val="1C0937E1"/>
    <w:rsid w:val="1C10667C"/>
    <w:rsid w:val="1C12DEB9"/>
    <w:rsid w:val="1C24F1DA"/>
    <w:rsid w:val="1C275510"/>
    <w:rsid w:val="1C2B1C0A"/>
    <w:rsid w:val="1C33EEB0"/>
    <w:rsid w:val="1C366E9E"/>
    <w:rsid w:val="1C38A041"/>
    <w:rsid w:val="1C3BF070"/>
    <w:rsid w:val="1C3CC8CF"/>
    <w:rsid w:val="1C3DF450"/>
    <w:rsid w:val="1C4F69BE"/>
    <w:rsid w:val="1C542FCB"/>
    <w:rsid w:val="1C56F9CE"/>
    <w:rsid w:val="1C5913F4"/>
    <w:rsid w:val="1C5A2D0B"/>
    <w:rsid w:val="1C5C6DD5"/>
    <w:rsid w:val="1C5FC6EA"/>
    <w:rsid w:val="1C5FDE13"/>
    <w:rsid w:val="1C64D8B0"/>
    <w:rsid w:val="1C69E536"/>
    <w:rsid w:val="1C6E2970"/>
    <w:rsid w:val="1C70B522"/>
    <w:rsid w:val="1C721316"/>
    <w:rsid w:val="1C72F2DB"/>
    <w:rsid w:val="1C7FFD27"/>
    <w:rsid w:val="1C814F4C"/>
    <w:rsid w:val="1C83FABA"/>
    <w:rsid w:val="1C885C7E"/>
    <w:rsid w:val="1C8C0A15"/>
    <w:rsid w:val="1C93D886"/>
    <w:rsid w:val="1C96B3A7"/>
    <w:rsid w:val="1C9EF596"/>
    <w:rsid w:val="1CB38E6A"/>
    <w:rsid w:val="1CBA27FC"/>
    <w:rsid w:val="1CBB03CE"/>
    <w:rsid w:val="1CBD568D"/>
    <w:rsid w:val="1CBE628E"/>
    <w:rsid w:val="1CC5C71C"/>
    <w:rsid w:val="1CC79416"/>
    <w:rsid w:val="1CC8AC1F"/>
    <w:rsid w:val="1CCB9CAE"/>
    <w:rsid w:val="1CCEA736"/>
    <w:rsid w:val="1CD26EF0"/>
    <w:rsid w:val="1CD741BC"/>
    <w:rsid w:val="1CD7A072"/>
    <w:rsid w:val="1CDAB84D"/>
    <w:rsid w:val="1CDBFFF1"/>
    <w:rsid w:val="1CEA636C"/>
    <w:rsid w:val="1CF5686A"/>
    <w:rsid w:val="1CF9961F"/>
    <w:rsid w:val="1CFFE8E0"/>
    <w:rsid w:val="1D01652A"/>
    <w:rsid w:val="1D02073E"/>
    <w:rsid w:val="1D0652BA"/>
    <w:rsid w:val="1D06C94A"/>
    <w:rsid w:val="1D0B3AA2"/>
    <w:rsid w:val="1D0CEF8C"/>
    <w:rsid w:val="1D11133F"/>
    <w:rsid w:val="1D132B63"/>
    <w:rsid w:val="1D1779DB"/>
    <w:rsid w:val="1D1B59C8"/>
    <w:rsid w:val="1D1C5BF7"/>
    <w:rsid w:val="1D1F0920"/>
    <w:rsid w:val="1D28E93A"/>
    <w:rsid w:val="1D3B1E56"/>
    <w:rsid w:val="1D3B2B2F"/>
    <w:rsid w:val="1D44FD4A"/>
    <w:rsid w:val="1D4EFE23"/>
    <w:rsid w:val="1D5212AE"/>
    <w:rsid w:val="1D527292"/>
    <w:rsid w:val="1D570AA1"/>
    <w:rsid w:val="1D5F2F5B"/>
    <w:rsid w:val="1D5F8C81"/>
    <w:rsid w:val="1D612746"/>
    <w:rsid w:val="1D62A488"/>
    <w:rsid w:val="1D63704A"/>
    <w:rsid w:val="1D6C1A98"/>
    <w:rsid w:val="1D77B5C2"/>
    <w:rsid w:val="1D7E39A1"/>
    <w:rsid w:val="1D7E884F"/>
    <w:rsid w:val="1D97DE97"/>
    <w:rsid w:val="1D97F03F"/>
    <w:rsid w:val="1D989025"/>
    <w:rsid w:val="1D9D2F29"/>
    <w:rsid w:val="1D9E8AF7"/>
    <w:rsid w:val="1D9ECD12"/>
    <w:rsid w:val="1DA1639F"/>
    <w:rsid w:val="1DA46ED0"/>
    <w:rsid w:val="1DA8A6EE"/>
    <w:rsid w:val="1DAD0276"/>
    <w:rsid w:val="1DB0579D"/>
    <w:rsid w:val="1DB4EF2D"/>
    <w:rsid w:val="1DB94CE1"/>
    <w:rsid w:val="1DBB3EF2"/>
    <w:rsid w:val="1DC0E8D4"/>
    <w:rsid w:val="1DC32C1D"/>
    <w:rsid w:val="1DC4670A"/>
    <w:rsid w:val="1DC48E8B"/>
    <w:rsid w:val="1DD5CE53"/>
    <w:rsid w:val="1DD73943"/>
    <w:rsid w:val="1DD9706D"/>
    <w:rsid w:val="1DF9178D"/>
    <w:rsid w:val="1DFDFC5E"/>
    <w:rsid w:val="1DFEDCE9"/>
    <w:rsid w:val="1E00AC63"/>
    <w:rsid w:val="1E01651A"/>
    <w:rsid w:val="1E08B72D"/>
    <w:rsid w:val="1E1012A6"/>
    <w:rsid w:val="1E22D9D9"/>
    <w:rsid w:val="1E24471F"/>
    <w:rsid w:val="1E2BEF03"/>
    <w:rsid w:val="1E2EF214"/>
    <w:rsid w:val="1E2EFD4E"/>
    <w:rsid w:val="1E3017BF"/>
    <w:rsid w:val="1E372525"/>
    <w:rsid w:val="1E399362"/>
    <w:rsid w:val="1E3D8D9F"/>
    <w:rsid w:val="1E3DF11C"/>
    <w:rsid w:val="1E477006"/>
    <w:rsid w:val="1E47F4C1"/>
    <w:rsid w:val="1E500985"/>
    <w:rsid w:val="1E500D4D"/>
    <w:rsid w:val="1E5525D9"/>
    <w:rsid w:val="1E5C52C8"/>
    <w:rsid w:val="1E60EE79"/>
    <w:rsid w:val="1E65CFF3"/>
    <w:rsid w:val="1E666D09"/>
    <w:rsid w:val="1E679981"/>
    <w:rsid w:val="1E6870BC"/>
    <w:rsid w:val="1E6B3F6D"/>
    <w:rsid w:val="1E6E615F"/>
    <w:rsid w:val="1E745C4C"/>
    <w:rsid w:val="1E7D3615"/>
    <w:rsid w:val="1E80B783"/>
    <w:rsid w:val="1E82AF67"/>
    <w:rsid w:val="1E8B4093"/>
    <w:rsid w:val="1E91F5EC"/>
    <w:rsid w:val="1EA5B91A"/>
    <w:rsid w:val="1EA70B03"/>
    <w:rsid w:val="1EA87E01"/>
    <w:rsid w:val="1EABFF12"/>
    <w:rsid w:val="1EAE5E8B"/>
    <w:rsid w:val="1EB794E3"/>
    <w:rsid w:val="1EBB6E23"/>
    <w:rsid w:val="1EC9F0EF"/>
    <w:rsid w:val="1ECDC9E4"/>
    <w:rsid w:val="1ECF4599"/>
    <w:rsid w:val="1ED02BD2"/>
    <w:rsid w:val="1ED144A7"/>
    <w:rsid w:val="1ED1CE29"/>
    <w:rsid w:val="1ED709D8"/>
    <w:rsid w:val="1ED71EDD"/>
    <w:rsid w:val="1EDBDEAA"/>
    <w:rsid w:val="1EF140A2"/>
    <w:rsid w:val="1EF7AF2A"/>
    <w:rsid w:val="1EFD418D"/>
    <w:rsid w:val="1F02DB71"/>
    <w:rsid w:val="1F14388D"/>
    <w:rsid w:val="1F168D77"/>
    <w:rsid w:val="1F187925"/>
    <w:rsid w:val="1F1925C5"/>
    <w:rsid w:val="1F192BFC"/>
    <w:rsid w:val="1F1A72C1"/>
    <w:rsid w:val="1F202BB1"/>
    <w:rsid w:val="1F2178A4"/>
    <w:rsid w:val="1F2475A0"/>
    <w:rsid w:val="1F2EC158"/>
    <w:rsid w:val="1F305503"/>
    <w:rsid w:val="1F30A81A"/>
    <w:rsid w:val="1F349660"/>
    <w:rsid w:val="1F36757F"/>
    <w:rsid w:val="1F444786"/>
    <w:rsid w:val="1F451362"/>
    <w:rsid w:val="1F49C1AA"/>
    <w:rsid w:val="1F4DF0DF"/>
    <w:rsid w:val="1F507978"/>
    <w:rsid w:val="1F50E254"/>
    <w:rsid w:val="1F57AA02"/>
    <w:rsid w:val="1F67226B"/>
    <w:rsid w:val="1F69D83A"/>
    <w:rsid w:val="1F69FBB2"/>
    <w:rsid w:val="1F75C960"/>
    <w:rsid w:val="1F7DE541"/>
    <w:rsid w:val="1F89073C"/>
    <w:rsid w:val="1F893DAF"/>
    <w:rsid w:val="1F8CBCA7"/>
    <w:rsid w:val="1F8E1EAA"/>
    <w:rsid w:val="1F907AA0"/>
    <w:rsid w:val="1F953AB4"/>
    <w:rsid w:val="1F96462C"/>
    <w:rsid w:val="1F997630"/>
    <w:rsid w:val="1F9CF63F"/>
    <w:rsid w:val="1F9F9CD1"/>
    <w:rsid w:val="1F9FF421"/>
    <w:rsid w:val="1FA1EF6F"/>
    <w:rsid w:val="1FA5190B"/>
    <w:rsid w:val="1FA93375"/>
    <w:rsid w:val="1FAB462D"/>
    <w:rsid w:val="1FAE3F33"/>
    <w:rsid w:val="1FB29B37"/>
    <w:rsid w:val="1FBBEB1A"/>
    <w:rsid w:val="1FC0552E"/>
    <w:rsid w:val="1FC104E8"/>
    <w:rsid w:val="1FC7C6EB"/>
    <w:rsid w:val="1FCAA944"/>
    <w:rsid w:val="1FD6987C"/>
    <w:rsid w:val="1FD95E00"/>
    <w:rsid w:val="1FDF45C4"/>
    <w:rsid w:val="1FE329DC"/>
    <w:rsid w:val="1FE5E2F8"/>
    <w:rsid w:val="1FE6259E"/>
    <w:rsid w:val="1FE8D0E7"/>
    <w:rsid w:val="1FEACBF2"/>
    <w:rsid w:val="1FF258F8"/>
    <w:rsid w:val="1FF7B6F6"/>
    <w:rsid w:val="1FFF0B55"/>
    <w:rsid w:val="200391F8"/>
    <w:rsid w:val="2009A1DE"/>
    <w:rsid w:val="200A6D46"/>
    <w:rsid w:val="200E0992"/>
    <w:rsid w:val="20145A67"/>
    <w:rsid w:val="20187E3E"/>
    <w:rsid w:val="20196A5B"/>
    <w:rsid w:val="201AE989"/>
    <w:rsid w:val="201E2255"/>
    <w:rsid w:val="202637C1"/>
    <w:rsid w:val="202B1FAA"/>
    <w:rsid w:val="202C28D7"/>
    <w:rsid w:val="202F25BA"/>
    <w:rsid w:val="202F9E03"/>
    <w:rsid w:val="203776B5"/>
    <w:rsid w:val="2038446E"/>
    <w:rsid w:val="203D04BC"/>
    <w:rsid w:val="203DD94E"/>
    <w:rsid w:val="204F47E9"/>
    <w:rsid w:val="2055AFD4"/>
    <w:rsid w:val="205E337F"/>
    <w:rsid w:val="205F557E"/>
    <w:rsid w:val="2062FD73"/>
    <w:rsid w:val="2068893C"/>
    <w:rsid w:val="206FB33A"/>
    <w:rsid w:val="2072DA39"/>
    <w:rsid w:val="2080C7B0"/>
    <w:rsid w:val="2082CEE0"/>
    <w:rsid w:val="2086E0F6"/>
    <w:rsid w:val="20907E33"/>
    <w:rsid w:val="2090D083"/>
    <w:rsid w:val="209B4208"/>
    <w:rsid w:val="20A00B8A"/>
    <w:rsid w:val="20BB46E9"/>
    <w:rsid w:val="20BEAF3C"/>
    <w:rsid w:val="20C6C311"/>
    <w:rsid w:val="20CC0229"/>
    <w:rsid w:val="20D862BF"/>
    <w:rsid w:val="20DA833F"/>
    <w:rsid w:val="20E3F1D9"/>
    <w:rsid w:val="20E5C9FC"/>
    <w:rsid w:val="20E70387"/>
    <w:rsid w:val="20ED9025"/>
    <w:rsid w:val="20F5AA1C"/>
    <w:rsid w:val="20F93240"/>
    <w:rsid w:val="20FA84B1"/>
    <w:rsid w:val="2103D9BD"/>
    <w:rsid w:val="210A02B7"/>
    <w:rsid w:val="21137390"/>
    <w:rsid w:val="211ECB75"/>
    <w:rsid w:val="2129FC1A"/>
    <w:rsid w:val="213356AE"/>
    <w:rsid w:val="21417630"/>
    <w:rsid w:val="21419A93"/>
    <w:rsid w:val="215345CB"/>
    <w:rsid w:val="2156B0B6"/>
    <w:rsid w:val="21598A4D"/>
    <w:rsid w:val="215C22AA"/>
    <w:rsid w:val="21754D39"/>
    <w:rsid w:val="2176AFF3"/>
    <w:rsid w:val="2179951C"/>
    <w:rsid w:val="2188F37B"/>
    <w:rsid w:val="218E1C23"/>
    <w:rsid w:val="218FB88E"/>
    <w:rsid w:val="219037F0"/>
    <w:rsid w:val="2190DDFE"/>
    <w:rsid w:val="21A829D8"/>
    <w:rsid w:val="21B0B1F2"/>
    <w:rsid w:val="21B1AA12"/>
    <w:rsid w:val="21C06D94"/>
    <w:rsid w:val="21CE758D"/>
    <w:rsid w:val="21D4DB60"/>
    <w:rsid w:val="21DE05F1"/>
    <w:rsid w:val="21E12675"/>
    <w:rsid w:val="21E64A2E"/>
    <w:rsid w:val="21EDBF48"/>
    <w:rsid w:val="21F1AC66"/>
    <w:rsid w:val="21F23237"/>
    <w:rsid w:val="21F7E27C"/>
    <w:rsid w:val="21F9BBB9"/>
    <w:rsid w:val="21FB5140"/>
    <w:rsid w:val="2205BA73"/>
    <w:rsid w:val="2205D9DE"/>
    <w:rsid w:val="22097CA0"/>
    <w:rsid w:val="221C9811"/>
    <w:rsid w:val="221D08E0"/>
    <w:rsid w:val="2220314F"/>
    <w:rsid w:val="2222B157"/>
    <w:rsid w:val="22280543"/>
    <w:rsid w:val="22285E4D"/>
    <w:rsid w:val="2229E3CE"/>
    <w:rsid w:val="222BA900"/>
    <w:rsid w:val="222D4362"/>
    <w:rsid w:val="222E71D3"/>
    <w:rsid w:val="222EEE9F"/>
    <w:rsid w:val="2230033A"/>
    <w:rsid w:val="2235B911"/>
    <w:rsid w:val="22371269"/>
    <w:rsid w:val="22395764"/>
    <w:rsid w:val="223A9491"/>
    <w:rsid w:val="224232E8"/>
    <w:rsid w:val="22473CF2"/>
    <w:rsid w:val="224AEFF7"/>
    <w:rsid w:val="22507320"/>
    <w:rsid w:val="2259317D"/>
    <w:rsid w:val="225D7BAC"/>
    <w:rsid w:val="225E2A6D"/>
    <w:rsid w:val="226239C8"/>
    <w:rsid w:val="226B90CC"/>
    <w:rsid w:val="226EA647"/>
    <w:rsid w:val="227451F4"/>
    <w:rsid w:val="2275531C"/>
    <w:rsid w:val="22786831"/>
    <w:rsid w:val="2279B9E1"/>
    <w:rsid w:val="227AB38F"/>
    <w:rsid w:val="2284A1E0"/>
    <w:rsid w:val="22871452"/>
    <w:rsid w:val="2287F232"/>
    <w:rsid w:val="228A1410"/>
    <w:rsid w:val="228A2E86"/>
    <w:rsid w:val="228DE6DE"/>
    <w:rsid w:val="228E2404"/>
    <w:rsid w:val="228EA57F"/>
    <w:rsid w:val="228EE93E"/>
    <w:rsid w:val="2299FE80"/>
    <w:rsid w:val="229AB695"/>
    <w:rsid w:val="229FB6AA"/>
    <w:rsid w:val="22A0AFF6"/>
    <w:rsid w:val="22A543D2"/>
    <w:rsid w:val="22A893C7"/>
    <w:rsid w:val="22AD89CE"/>
    <w:rsid w:val="22B049D1"/>
    <w:rsid w:val="22B453DC"/>
    <w:rsid w:val="22B7205C"/>
    <w:rsid w:val="22BC1082"/>
    <w:rsid w:val="22BD720E"/>
    <w:rsid w:val="22BF3003"/>
    <w:rsid w:val="22CD77A4"/>
    <w:rsid w:val="22CE454C"/>
    <w:rsid w:val="22D6D613"/>
    <w:rsid w:val="22D85CC1"/>
    <w:rsid w:val="22DE7EB7"/>
    <w:rsid w:val="22EA3BF9"/>
    <w:rsid w:val="22EC0841"/>
    <w:rsid w:val="22EF1271"/>
    <w:rsid w:val="22F1287A"/>
    <w:rsid w:val="22F41600"/>
    <w:rsid w:val="22F543BE"/>
    <w:rsid w:val="22F77368"/>
    <w:rsid w:val="230470D3"/>
    <w:rsid w:val="2309D8F4"/>
    <w:rsid w:val="230AEB15"/>
    <w:rsid w:val="230F116F"/>
    <w:rsid w:val="230F2548"/>
    <w:rsid w:val="2310F49C"/>
    <w:rsid w:val="2312D618"/>
    <w:rsid w:val="2315A6A8"/>
    <w:rsid w:val="2319835B"/>
    <w:rsid w:val="23207424"/>
    <w:rsid w:val="23208133"/>
    <w:rsid w:val="23248507"/>
    <w:rsid w:val="23268BF1"/>
    <w:rsid w:val="232793D8"/>
    <w:rsid w:val="232DAFCB"/>
    <w:rsid w:val="232F2ECB"/>
    <w:rsid w:val="2333A741"/>
    <w:rsid w:val="23396B67"/>
    <w:rsid w:val="233BEF39"/>
    <w:rsid w:val="2345FCAF"/>
    <w:rsid w:val="2347CD6F"/>
    <w:rsid w:val="234A9D7E"/>
    <w:rsid w:val="234B572C"/>
    <w:rsid w:val="2350D759"/>
    <w:rsid w:val="2357707C"/>
    <w:rsid w:val="2360E9A8"/>
    <w:rsid w:val="2369135C"/>
    <w:rsid w:val="236A1B64"/>
    <w:rsid w:val="236B2A12"/>
    <w:rsid w:val="236B415A"/>
    <w:rsid w:val="237908F8"/>
    <w:rsid w:val="237EB3D5"/>
    <w:rsid w:val="238DE75B"/>
    <w:rsid w:val="2392917F"/>
    <w:rsid w:val="2398F955"/>
    <w:rsid w:val="23AFEDE7"/>
    <w:rsid w:val="23B64BE6"/>
    <w:rsid w:val="23BCC43F"/>
    <w:rsid w:val="23BCCDF2"/>
    <w:rsid w:val="23C007EE"/>
    <w:rsid w:val="23D34F54"/>
    <w:rsid w:val="23D60F20"/>
    <w:rsid w:val="23D87E24"/>
    <w:rsid w:val="23E0BDA7"/>
    <w:rsid w:val="23EBEA48"/>
    <w:rsid w:val="23F9190E"/>
    <w:rsid w:val="23FB0D17"/>
    <w:rsid w:val="2400A7F2"/>
    <w:rsid w:val="24019F0A"/>
    <w:rsid w:val="24102255"/>
    <w:rsid w:val="24123F25"/>
    <w:rsid w:val="241277C6"/>
    <w:rsid w:val="2417146F"/>
    <w:rsid w:val="241F0AB0"/>
    <w:rsid w:val="24254ECE"/>
    <w:rsid w:val="243BD9F6"/>
    <w:rsid w:val="243EB70A"/>
    <w:rsid w:val="2463F900"/>
    <w:rsid w:val="24692249"/>
    <w:rsid w:val="24698061"/>
    <w:rsid w:val="2469B14B"/>
    <w:rsid w:val="246A5C96"/>
    <w:rsid w:val="246A9424"/>
    <w:rsid w:val="246ABC44"/>
    <w:rsid w:val="246C846E"/>
    <w:rsid w:val="246F643A"/>
    <w:rsid w:val="2475332C"/>
    <w:rsid w:val="2475A5CD"/>
    <w:rsid w:val="24796A6B"/>
    <w:rsid w:val="2482F0BF"/>
    <w:rsid w:val="2486B58C"/>
    <w:rsid w:val="248A7E66"/>
    <w:rsid w:val="248BF86A"/>
    <w:rsid w:val="249A3F9E"/>
    <w:rsid w:val="249CB4DC"/>
    <w:rsid w:val="249D7313"/>
    <w:rsid w:val="24A2CBA3"/>
    <w:rsid w:val="24A64FEC"/>
    <w:rsid w:val="24A88F9A"/>
    <w:rsid w:val="24AFDDF4"/>
    <w:rsid w:val="24B1E50A"/>
    <w:rsid w:val="24B57AD9"/>
    <w:rsid w:val="24B84103"/>
    <w:rsid w:val="24BC7229"/>
    <w:rsid w:val="24C3702A"/>
    <w:rsid w:val="24CDBC62"/>
    <w:rsid w:val="24CE6476"/>
    <w:rsid w:val="24D2C31B"/>
    <w:rsid w:val="24DE7058"/>
    <w:rsid w:val="24E12A64"/>
    <w:rsid w:val="24E209E0"/>
    <w:rsid w:val="24E228E2"/>
    <w:rsid w:val="24E78CD3"/>
    <w:rsid w:val="24F51AD6"/>
    <w:rsid w:val="2500C80D"/>
    <w:rsid w:val="250C7C22"/>
    <w:rsid w:val="25156F8F"/>
    <w:rsid w:val="251749B2"/>
    <w:rsid w:val="2517E9B2"/>
    <w:rsid w:val="25255B86"/>
    <w:rsid w:val="252DB5AA"/>
    <w:rsid w:val="253BC331"/>
    <w:rsid w:val="253C645F"/>
    <w:rsid w:val="253DBCB8"/>
    <w:rsid w:val="253F8EFA"/>
    <w:rsid w:val="253F9322"/>
    <w:rsid w:val="25444ADA"/>
    <w:rsid w:val="25454A14"/>
    <w:rsid w:val="254627B3"/>
    <w:rsid w:val="254648AB"/>
    <w:rsid w:val="254F2AAE"/>
    <w:rsid w:val="2552C2AE"/>
    <w:rsid w:val="25552E90"/>
    <w:rsid w:val="255A5219"/>
    <w:rsid w:val="255A6DCC"/>
    <w:rsid w:val="25608226"/>
    <w:rsid w:val="256671C4"/>
    <w:rsid w:val="256DAAC9"/>
    <w:rsid w:val="257620C7"/>
    <w:rsid w:val="2576BEF4"/>
    <w:rsid w:val="2578C56E"/>
    <w:rsid w:val="2579D3AA"/>
    <w:rsid w:val="257CA7F8"/>
    <w:rsid w:val="258350E0"/>
    <w:rsid w:val="25848250"/>
    <w:rsid w:val="2586A681"/>
    <w:rsid w:val="258EB6F2"/>
    <w:rsid w:val="25908326"/>
    <w:rsid w:val="2599F688"/>
    <w:rsid w:val="25AFBA5A"/>
    <w:rsid w:val="25BBA9A6"/>
    <w:rsid w:val="25C03D47"/>
    <w:rsid w:val="25C29D3B"/>
    <w:rsid w:val="25C72A39"/>
    <w:rsid w:val="25C768ED"/>
    <w:rsid w:val="25C92551"/>
    <w:rsid w:val="25C94253"/>
    <w:rsid w:val="25CFC8A9"/>
    <w:rsid w:val="25D648C2"/>
    <w:rsid w:val="25D76674"/>
    <w:rsid w:val="25D7785A"/>
    <w:rsid w:val="25DAFEA8"/>
    <w:rsid w:val="25DCE2F5"/>
    <w:rsid w:val="25E26FC5"/>
    <w:rsid w:val="25E4076B"/>
    <w:rsid w:val="25E53F9F"/>
    <w:rsid w:val="25E89BC4"/>
    <w:rsid w:val="25EB95D6"/>
    <w:rsid w:val="25EBCBCE"/>
    <w:rsid w:val="25EFF0AD"/>
    <w:rsid w:val="25F1B12E"/>
    <w:rsid w:val="25F78E28"/>
    <w:rsid w:val="25FA2D40"/>
    <w:rsid w:val="25FE5499"/>
    <w:rsid w:val="260587B0"/>
    <w:rsid w:val="260668C8"/>
    <w:rsid w:val="26066EF6"/>
    <w:rsid w:val="26089337"/>
    <w:rsid w:val="261271A8"/>
    <w:rsid w:val="2616A288"/>
    <w:rsid w:val="261A995A"/>
    <w:rsid w:val="261B83C7"/>
    <w:rsid w:val="2621FEAC"/>
    <w:rsid w:val="2623AD3D"/>
    <w:rsid w:val="26250C7D"/>
    <w:rsid w:val="262545F1"/>
    <w:rsid w:val="2625A5EF"/>
    <w:rsid w:val="26272771"/>
    <w:rsid w:val="262A5513"/>
    <w:rsid w:val="262BE8B8"/>
    <w:rsid w:val="262D4AEB"/>
    <w:rsid w:val="2639DA7D"/>
    <w:rsid w:val="263F7288"/>
    <w:rsid w:val="263F8D8F"/>
    <w:rsid w:val="26486B0A"/>
    <w:rsid w:val="264BC7FE"/>
    <w:rsid w:val="26532C7B"/>
    <w:rsid w:val="265447FB"/>
    <w:rsid w:val="2658EAC2"/>
    <w:rsid w:val="266A34D7"/>
    <w:rsid w:val="266B4803"/>
    <w:rsid w:val="266E1423"/>
    <w:rsid w:val="2673E072"/>
    <w:rsid w:val="267A19FA"/>
    <w:rsid w:val="267A4111"/>
    <w:rsid w:val="267B8E42"/>
    <w:rsid w:val="26835A34"/>
    <w:rsid w:val="268DF74A"/>
    <w:rsid w:val="269284ED"/>
    <w:rsid w:val="269383AD"/>
    <w:rsid w:val="269CDE9B"/>
    <w:rsid w:val="269D3F2E"/>
    <w:rsid w:val="269D4033"/>
    <w:rsid w:val="269FEC97"/>
    <w:rsid w:val="26A06984"/>
    <w:rsid w:val="26A8417B"/>
    <w:rsid w:val="26ACB70A"/>
    <w:rsid w:val="26ACC959"/>
    <w:rsid w:val="26AED765"/>
    <w:rsid w:val="26AF1D24"/>
    <w:rsid w:val="26B0789D"/>
    <w:rsid w:val="26B2238D"/>
    <w:rsid w:val="26C97E9C"/>
    <w:rsid w:val="26CC9A46"/>
    <w:rsid w:val="26CD1A3D"/>
    <w:rsid w:val="26D21518"/>
    <w:rsid w:val="26D5D55E"/>
    <w:rsid w:val="26D7B1CA"/>
    <w:rsid w:val="26D8846D"/>
    <w:rsid w:val="26DCDC6F"/>
    <w:rsid w:val="26DCEDC3"/>
    <w:rsid w:val="26DDCACD"/>
    <w:rsid w:val="26DE75F9"/>
    <w:rsid w:val="26E1E359"/>
    <w:rsid w:val="26F4DAC3"/>
    <w:rsid w:val="26FCDC90"/>
    <w:rsid w:val="27015F78"/>
    <w:rsid w:val="27022697"/>
    <w:rsid w:val="270A2235"/>
    <w:rsid w:val="270D4DF7"/>
    <w:rsid w:val="270F3B26"/>
    <w:rsid w:val="270F9157"/>
    <w:rsid w:val="2713374F"/>
    <w:rsid w:val="2713DDCE"/>
    <w:rsid w:val="271CA619"/>
    <w:rsid w:val="2727FD64"/>
    <w:rsid w:val="2729A1A9"/>
    <w:rsid w:val="272DB82C"/>
    <w:rsid w:val="2736649D"/>
    <w:rsid w:val="2736AA51"/>
    <w:rsid w:val="273915B0"/>
    <w:rsid w:val="273F9B3A"/>
    <w:rsid w:val="2743D2C5"/>
    <w:rsid w:val="2745C3BC"/>
    <w:rsid w:val="2748BEBB"/>
    <w:rsid w:val="274ACD08"/>
    <w:rsid w:val="2755185C"/>
    <w:rsid w:val="275F7AD8"/>
    <w:rsid w:val="276802F4"/>
    <w:rsid w:val="276A8111"/>
    <w:rsid w:val="276B9308"/>
    <w:rsid w:val="276CC266"/>
    <w:rsid w:val="2774EB42"/>
    <w:rsid w:val="277C9900"/>
    <w:rsid w:val="27849DFD"/>
    <w:rsid w:val="279550EE"/>
    <w:rsid w:val="279FEF72"/>
    <w:rsid w:val="27A74135"/>
    <w:rsid w:val="27B6B155"/>
    <w:rsid w:val="27B721A8"/>
    <w:rsid w:val="27B8A6CA"/>
    <w:rsid w:val="27B92337"/>
    <w:rsid w:val="27BF2A11"/>
    <w:rsid w:val="27C09565"/>
    <w:rsid w:val="27C1F09C"/>
    <w:rsid w:val="27C63F3A"/>
    <w:rsid w:val="27D09F8D"/>
    <w:rsid w:val="27D19499"/>
    <w:rsid w:val="27D91831"/>
    <w:rsid w:val="27DBA484"/>
    <w:rsid w:val="27DE2763"/>
    <w:rsid w:val="27DF342B"/>
    <w:rsid w:val="27F68DB5"/>
    <w:rsid w:val="27F79053"/>
    <w:rsid w:val="27F9BEF5"/>
    <w:rsid w:val="27FBA1D4"/>
    <w:rsid w:val="27FD48B2"/>
    <w:rsid w:val="27FFEAFF"/>
    <w:rsid w:val="2803FD8C"/>
    <w:rsid w:val="280853E0"/>
    <w:rsid w:val="280FDA4F"/>
    <w:rsid w:val="281B2D33"/>
    <w:rsid w:val="28304CB9"/>
    <w:rsid w:val="2842A59A"/>
    <w:rsid w:val="2848E859"/>
    <w:rsid w:val="284CBC06"/>
    <w:rsid w:val="2852CEFE"/>
    <w:rsid w:val="285A59CE"/>
    <w:rsid w:val="285C0740"/>
    <w:rsid w:val="286ADBA4"/>
    <w:rsid w:val="286B33D9"/>
    <w:rsid w:val="286B6F9A"/>
    <w:rsid w:val="286C97EC"/>
    <w:rsid w:val="286CAC68"/>
    <w:rsid w:val="286CD20A"/>
    <w:rsid w:val="28737B7C"/>
    <w:rsid w:val="28740521"/>
    <w:rsid w:val="2878427E"/>
    <w:rsid w:val="287A71A4"/>
    <w:rsid w:val="287E4752"/>
    <w:rsid w:val="2883C76E"/>
    <w:rsid w:val="28890B69"/>
    <w:rsid w:val="2897FE3D"/>
    <w:rsid w:val="289C16EF"/>
    <w:rsid w:val="289D2FD9"/>
    <w:rsid w:val="28A304AA"/>
    <w:rsid w:val="28A6EA71"/>
    <w:rsid w:val="28AF75CF"/>
    <w:rsid w:val="28B34212"/>
    <w:rsid w:val="28B57A8D"/>
    <w:rsid w:val="28B893FF"/>
    <w:rsid w:val="28C10F42"/>
    <w:rsid w:val="28C56F0D"/>
    <w:rsid w:val="28C5BE21"/>
    <w:rsid w:val="28C8D88E"/>
    <w:rsid w:val="28C9177D"/>
    <w:rsid w:val="28C97B12"/>
    <w:rsid w:val="28C9C546"/>
    <w:rsid w:val="28DE195E"/>
    <w:rsid w:val="28E02090"/>
    <w:rsid w:val="28E69D69"/>
    <w:rsid w:val="28E9ECBB"/>
    <w:rsid w:val="28F1A5FE"/>
    <w:rsid w:val="28F1AC39"/>
    <w:rsid w:val="2902EA68"/>
    <w:rsid w:val="2905403E"/>
    <w:rsid w:val="2906CF8C"/>
    <w:rsid w:val="2909341A"/>
    <w:rsid w:val="2909A6D5"/>
    <w:rsid w:val="29124CD3"/>
    <w:rsid w:val="2912807C"/>
    <w:rsid w:val="2917C660"/>
    <w:rsid w:val="2918018C"/>
    <w:rsid w:val="291B4F5B"/>
    <w:rsid w:val="291BA19D"/>
    <w:rsid w:val="2920948F"/>
    <w:rsid w:val="29271CD5"/>
    <w:rsid w:val="2927916F"/>
    <w:rsid w:val="292D31FE"/>
    <w:rsid w:val="292FC2B4"/>
    <w:rsid w:val="29307536"/>
    <w:rsid w:val="2943DDEB"/>
    <w:rsid w:val="294F79BC"/>
    <w:rsid w:val="2950D15A"/>
    <w:rsid w:val="2956E566"/>
    <w:rsid w:val="295E9D02"/>
    <w:rsid w:val="2960198A"/>
    <w:rsid w:val="296FDBAB"/>
    <w:rsid w:val="29700964"/>
    <w:rsid w:val="29719214"/>
    <w:rsid w:val="2974EBD1"/>
    <w:rsid w:val="2976D628"/>
    <w:rsid w:val="2983E282"/>
    <w:rsid w:val="2983F855"/>
    <w:rsid w:val="29850C90"/>
    <w:rsid w:val="298AC526"/>
    <w:rsid w:val="298E2DA4"/>
    <w:rsid w:val="29910701"/>
    <w:rsid w:val="29944276"/>
    <w:rsid w:val="29991A9F"/>
    <w:rsid w:val="2999E654"/>
    <w:rsid w:val="299B76C8"/>
    <w:rsid w:val="299DBDAE"/>
    <w:rsid w:val="29ABBABE"/>
    <w:rsid w:val="29ABD90F"/>
    <w:rsid w:val="29AD89A3"/>
    <w:rsid w:val="29B084BC"/>
    <w:rsid w:val="29B3B542"/>
    <w:rsid w:val="29B8F391"/>
    <w:rsid w:val="29B97A86"/>
    <w:rsid w:val="29BA72FE"/>
    <w:rsid w:val="29C7D782"/>
    <w:rsid w:val="29CAF270"/>
    <w:rsid w:val="29CD0F8C"/>
    <w:rsid w:val="29D0F18C"/>
    <w:rsid w:val="29D48429"/>
    <w:rsid w:val="29D9BA00"/>
    <w:rsid w:val="29DA2298"/>
    <w:rsid w:val="29E4A9CC"/>
    <w:rsid w:val="29E4BC94"/>
    <w:rsid w:val="29E4E578"/>
    <w:rsid w:val="29EE003B"/>
    <w:rsid w:val="29EFC02A"/>
    <w:rsid w:val="29F0B75C"/>
    <w:rsid w:val="29F62A2F"/>
    <w:rsid w:val="29F9A95D"/>
    <w:rsid w:val="29FB2DC4"/>
    <w:rsid w:val="29FD1D15"/>
    <w:rsid w:val="2A00D1F5"/>
    <w:rsid w:val="2A03D859"/>
    <w:rsid w:val="2A07CFA5"/>
    <w:rsid w:val="2A12C4CC"/>
    <w:rsid w:val="2A18BB37"/>
    <w:rsid w:val="2A19E0F7"/>
    <w:rsid w:val="2A1AC998"/>
    <w:rsid w:val="2A1BC8D1"/>
    <w:rsid w:val="2A2520F8"/>
    <w:rsid w:val="2A2AFB03"/>
    <w:rsid w:val="2A2D3C56"/>
    <w:rsid w:val="2A2EC04D"/>
    <w:rsid w:val="2A2F4A6F"/>
    <w:rsid w:val="2A307E05"/>
    <w:rsid w:val="2A35C51F"/>
    <w:rsid w:val="2A3BAB01"/>
    <w:rsid w:val="2A3DD44C"/>
    <w:rsid w:val="2A412628"/>
    <w:rsid w:val="2A4453BD"/>
    <w:rsid w:val="2A59B361"/>
    <w:rsid w:val="2A5F6CCD"/>
    <w:rsid w:val="2A61DBE5"/>
    <w:rsid w:val="2A69161E"/>
    <w:rsid w:val="2A6CC41C"/>
    <w:rsid w:val="2A6DF872"/>
    <w:rsid w:val="2A708BB2"/>
    <w:rsid w:val="2A710C0E"/>
    <w:rsid w:val="2A78A030"/>
    <w:rsid w:val="2A7C0504"/>
    <w:rsid w:val="2A820438"/>
    <w:rsid w:val="2A8963E5"/>
    <w:rsid w:val="2A90B52C"/>
    <w:rsid w:val="2A934C39"/>
    <w:rsid w:val="2A93602A"/>
    <w:rsid w:val="2A956201"/>
    <w:rsid w:val="2AA37A7D"/>
    <w:rsid w:val="2AA5DB56"/>
    <w:rsid w:val="2AAD7686"/>
    <w:rsid w:val="2AC799D4"/>
    <w:rsid w:val="2ACF05B0"/>
    <w:rsid w:val="2ACF709B"/>
    <w:rsid w:val="2ACF8FF4"/>
    <w:rsid w:val="2AD80D11"/>
    <w:rsid w:val="2AD87741"/>
    <w:rsid w:val="2ADF516B"/>
    <w:rsid w:val="2AEDE512"/>
    <w:rsid w:val="2AF2120D"/>
    <w:rsid w:val="2AF79641"/>
    <w:rsid w:val="2AF82FB4"/>
    <w:rsid w:val="2AFA2684"/>
    <w:rsid w:val="2AFA3757"/>
    <w:rsid w:val="2AFAAEAC"/>
    <w:rsid w:val="2B0117C6"/>
    <w:rsid w:val="2B018D87"/>
    <w:rsid w:val="2B03A865"/>
    <w:rsid w:val="2B069114"/>
    <w:rsid w:val="2B06C678"/>
    <w:rsid w:val="2B0A732B"/>
    <w:rsid w:val="2B0B5B09"/>
    <w:rsid w:val="2B14D996"/>
    <w:rsid w:val="2B258AE8"/>
    <w:rsid w:val="2B27DC2C"/>
    <w:rsid w:val="2B2A05EB"/>
    <w:rsid w:val="2B2CDA91"/>
    <w:rsid w:val="2B319D8D"/>
    <w:rsid w:val="2B37EA23"/>
    <w:rsid w:val="2B38D8EA"/>
    <w:rsid w:val="2B41705A"/>
    <w:rsid w:val="2B424015"/>
    <w:rsid w:val="2B575097"/>
    <w:rsid w:val="2B663FE8"/>
    <w:rsid w:val="2B6E3A5B"/>
    <w:rsid w:val="2B72D9CD"/>
    <w:rsid w:val="2B748E95"/>
    <w:rsid w:val="2B87FB35"/>
    <w:rsid w:val="2B8F62FF"/>
    <w:rsid w:val="2B9AE1C5"/>
    <w:rsid w:val="2BA54BC1"/>
    <w:rsid w:val="2BA8CD3D"/>
    <w:rsid w:val="2BA971EB"/>
    <w:rsid w:val="2BAC7AC4"/>
    <w:rsid w:val="2BB1B934"/>
    <w:rsid w:val="2BB2B1E7"/>
    <w:rsid w:val="2BB2B3FD"/>
    <w:rsid w:val="2BB3F67B"/>
    <w:rsid w:val="2BBA0BEB"/>
    <w:rsid w:val="2BBD7697"/>
    <w:rsid w:val="2BC1AD04"/>
    <w:rsid w:val="2BC2BCAC"/>
    <w:rsid w:val="2BC5A321"/>
    <w:rsid w:val="2BC73F45"/>
    <w:rsid w:val="2BDDD3D0"/>
    <w:rsid w:val="2BFD306B"/>
    <w:rsid w:val="2C0A2A16"/>
    <w:rsid w:val="2C0CB962"/>
    <w:rsid w:val="2C0CFAE8"/>
    <w:rsid w:val="2C0F2827"/>
    <w:rsid w:val="2C1343E8"/>
    <w:rsid w:val="2C15D0BC"/>
    <w:rsid w:val="2C217EF5"/>
    <w:rsid w:val="2C245163"/>
    <w:rsid w:val="2C253446"/>
    <w:rsid w:val="2C3168ED"/>
    <w:rsid w:val="2C3336DC"/>
    <w:rsid w:val="2C3D2EE2"/>
    <w:rsid w:val="2C3D85DA"/>
    <w:rsid w:val="2C3F1349"/>
    <w:rsid w:val="2C4C9CB8"/>
    <w:rsid w:val="2C514B7C"/>
    <w:rsid w:val="2C55A4A4"/>
    <w:rsid w:val="2C65B842"/>
    <w:rsid w:val="2C671A9F"/>
    <w:rsid w:val="2C6A0570"/>
    <w:rsid w:val="2C6A12BE"/>
    <w:rsid w:val="2C6FE32B"/>
    <w:rsid w:val="2C74D28E"/>
    <w:rsid w:val="2C75681C"/>
    <w:rsid w:val="2C7A1792"/>
    <w:rsid w:val="2C8322BD"/>
    <w:rsid w:val="2C86D8EC"/>
    <w:rsid w:val="2C8B9DDB"/>
    <w:rsid w:val="2C990CE2"/>
    <w:rsid w:val="2C9ED551"/>
    <w:rsid w:val="2CA05C0E"/>
    <w:rsid w:val="2CA0751A"/>
    <w:rsid w:val="2CAAD9AF"/>
    <w:rsid w:val="2CAD1552"/>
    <w:rsid w:val="2CB1441E"/>
    <w:rsid w:val="2CB2ABAE"/>
    <w:rsid w:val="2CB316F6"/>
    <w:rsid w:val="2CB381B1"/>
    <w:rsid w:val="2CB639CE"/>
    <w:rsid w:val="2CB886C9"/>
    <w:rsid w:val="2CBFF132"/>
    <w:rsid w:val="2CC01506"/>
    <w:rsid w:val="2CC23D03"/>
    <w:rsid w:val="2CC30327"/>
    <w:rsid w:val="2CC46600"/>
    <w:rsid w:val="2CC53B15"/>
    <w:rsid w:val="2CCB502C"/>
    <w:rsid w:val="2CD186A6"/>
    <w:rsid w:val="2CD39F03"/>
    <w:rsid w:val="2CD494C6"/>
    <w:rsid w:val="2CD7E8AB"/>
    <w:rsid w:val="2CD858E9"/>
    <w:rsid w:val="2CDB4EDB"/>
    <w:rsid w:val="2CDC9F06"/>
    <w:rsid w:val="2CE52A65"/>
    <w:rsid w:val="2CED2D82"/>
    <w:rsid w:val="2CF08FFD"/>
    <w:rsid w:val="2CF29EB8"/>
    <w:rsid w:val="2D08EC86"/>
    <w:rsid w:val="2D09B9E1"/>
    <w:rsid w:val="2D09BA33"/>
    <w:rsid w:val="2D1243D6"/>
    <w:rsid w:val="2D15EF1D"/>
    <w:rsid w:val="2D188FA8"/>
    <w:rsid w:val="2D1F386F"/>
    <w:rsid w:val="2D22C1BA"/>
    <w:rsid w:val="2D2E541F"/>
    <w:rsid w:val="2D325FD1"/>
    <w:rsid w:val="2D336569"/>
    <w:rsid w:val="2D34537E"/>
    <w:rsid w:val="2D35CF13"/>
    <w:rsid w:val="2D374B5F"/>
    <w:rsid w:val="2D3C0868"/>
    <w:rsid w:val="2D3F986E"/>
    <w:rsid w:val="2D42706B"/>
    <w:rsid w:val="2D475D0E"/>
    <w:rsid w:val="2D49810B"/>
    <w:rsid w:val="2D49F8B8"/>
    <w:rsid w:val="2D518D44"/>
    <w:rsid w:val="2D6114B2"/>
    <w:rsid w:val="2D64AFD4"/>
    <w:rsid w:val="2D64F3C6"/>
    <w:rsid w:val="2D67B95C"/>
    <w:rsid w:val="2D692588"/>
    <w:rsid w:val="2D70024C"/>
    <w:rsid w:val="2D72C29F"/>
    <w:rsid w:val="2D78930F"/>
    <w:rsid w:val="2D7A57E2"/>
    <w:rsid w:val="2D81B811"/>
    <w:rsid w:val="2D840B58"/>
    <w:rsid w:val="2D847DBB"/>
    <w:rsid w:val="2D85B290"/>
    <w:rsid w:val="2D86CDB3"/>
    <w:rsid w:val="2D87503B"/>
    <w:rsid w:val="2D87AEE1"/>
    <w:rsid w:val="2D8CA639"/>
    <w:rsid w:val="2D8D9876"/>
    <w:rsid w:val="2D982F5B"/>
    <w:rsid w:val="2D99C507"/>
    <w:rsid w:val="2D9CAE4C"/>
    <w:rsid w:val="2DA49C73"/>
    <w:rsid w:val="2DA537B7"/>
    <w:rsid w:val="2DA580F9"/>
    <w:rsid w:val="2DAE29BA"/>
    <w:rsid w:val="2DB8171A"/>
    <w:rsid w:val="2DC82FC3"/>
    <w:rsid w:val="2DC9335F"/>
    <w:rsid w:val="2DC94157"/>
    <w:rsid w:val="2DC9D404"/>
    <w:rsid w:val="2DCF4DB9"/>
    <w:rsid w:val="2DD04A9B"/>
    <w:rsid w:val="2DD5C137"/>
    <w:rsid w:val="2DD95632"/>
    <w:rsid w:val="2DD9DF07"/>
    <w:rsid w:val="2DDCA742"/>
    <w:rsid w:val="2DDE1E98"/>
    <w:rsid w:val="2DDFA3D0"/>
    <w:rsid w:val="2DE2D35C"/>
    <w:rsid w:val="2DE49C7E"/>
    <w:rsid w:val="2DE72E90"/>
    <w:rsid w:val="2DEEEEC6"/>
    <w:rsid w:val="2DF24582"/>
    <w:rsid w:val="2DF79105"/>
    <w:rsid w:val="2DFAC5A6"/>
    <w:rsid w:val="2DFF9401"/>
    <w:rsid w:val="2E000B21"/>
    <w:rsid w:val="2E0485EA"/>
    <w:rsid w:val="2E060951"/>
    <w:rsid w:val="2E0A0877"/>
    <w:rsid w:val="2E0E8330"/>
    <w:rsid w:val="2E1182B5"/>
    <w:rsid w:val="2E11BAAA"/>
    <w:rsid w:val="2E137377"/>
    <w:rsid w:val="2E23A5E3"/>
    <w:rsid w:val="2E251548"/>
    <w:rsid w:val="2E25979C"/>
    <w:rsid w:val="2E342D7D"/>
    <w:rsid w:val="2E3779A5"/>
    <w:rsid w:val="2E3AD27E"/>
    <w:rsid w:val="2E3FFF93"/>
    <w:rsid w:val="2E43FEA2"/>
    <w:rsid w:val="2E4A9CA0"/>
    <w:rsid w:val="2E50D106"/>
    <w:rsid w:val="2E56EF2C"/>
    <w:rsid w:val="2E5789F9"/>
    <w:rsid w:val="2E5B6768"/>
    <w:rsid w:val="2E5E1A0E"/>
    <w:rsid w:val="2E602D60"/>
    <w:rsid w:val="2E62181B"/>
    <w:rsid w:val="2E66C0C9"/>
    <w:rsid w:val="2E66FBB5"/>
    <w:rsid w:val="2E6C3401"/>
    <w:rsid w:val="2E70E1E9"/>
    <w:rsid w:val="2E9188A4"/>
    <w:rsid w:val="2E96612D"/>
    <w:rsid w:val="2E9C41BD"/>
    <w:rsid w:val="2E9EB598"/>
    <w:rsid w:val="2E9F0F47"/>
    <w:rsid w:val="2EA03D17"/>
    <w:rsid w:val="2EA4AEBF"/>
    <w:rsid w:val="2EADA161"/>
    <w:rsid w:val="2EAE27EB"/>
    <w:rsid w:val="2EB025AE"/>
    <w:rsid w:val="2EB38671"/>
    <w:rsid w:val="2EBDC61B"/>
    <w:rsid w:val="2EC301F8"/>
    <w:rsid w:val="2EC33217"/>
    <w:rsid w:val="2EC99B52"/>
    <w:rsid w:val="2ED5C595"/>
    <w:rsid w:val="2ED7965E"/>
    <w:rsid w:val="2EDAC92B"/>
    <w:rsid w:val="2EDF3A7C"/>
    <w:rsid w:val="2EE0157E"/>
    <w:rsid w:val="2EE5829B"/>
    <w:rsid w:val="2EE85EF0"/>
    <w:rsid w:val="2EF37133"/>
    <w:rsid w:val="2EF42042"/>
    <w:rsid w:val="2EF5FD57"/>
    <w:rsid w:val="2EF673C4"/>
    <w:rsid w:val="2EF9F1FB"/>
    <w:rsid w:val="2EFD43E3"/>
    <w:rsid w:val="2F007BEA"/>
    <w:rsid w:val="2F08CF27"/>
    <w:rsid w:val="2F139ADB"/>
    <w:rsid w:val="2F1D8C0E"/>
    <w:rsid w:val="2F269DA3"/>
    <w:rsid w:val="2F2AA115"/>
    <w:rsid w:val="2F2D75BD"/>
    <w:rsid w:val="2F2DC6EE"/>
    <w:rsid w:val="2F34974A"/>
    <w:rsid w:val="2F436E4C"/>
    <w:rsid w:val="2F44D48F"/>
    <w:rsid w:val="2F4D9E51"/>
    <w:rsid w:val="2F4E641A"/>
    <w:rsid w:val="2F50BA6A"/>
    <w:rsid w:val="2F5A6A80"/>
    <w:rsid w:val="2F63CEEB"/>
    <w:rsid w:val="2F6909AF"/>
    <w:rsid w:val="2F75906C"/>
    <w:rsid w:val="2F8F234B"/>
    <w:rsid w:val="2F9E44ED"/>
    <w:rsid w:val="2FA28690"/>
    <w:rsid w:val="2FAA7E0F"/>
    <w:rsid w:val="2FAAD16D"/>
    <w:rsid w:val="2FB3C448"/>
    <w:rsid w:val="2FBCD908"/>
    <w:rsid w:val="2FC62654"/>
    <w:rsid w:val="2FD01B46"/>
    <w:rsid w:val="2FDD5A72"/>
    <w:rsid w:val="2FDE24FC"/>
    <w:rsid w:val="2FDE8701"/>
    <w:rsid w:val="2FE11EF8"/>
    <w:rsid w:val="2FE472F7"/>
    <w:rsid w:val="2FE496A8"/>
    <w:rsid w:val="2FEB3750"/>
    <w:rsid w:val="2FEF67EC"/>
    <w:rsid w:val="2FF5D00F"/>
    <w:rsid w:val="30012D3B"/>
    <w:rsid w:val="3002318B"/>
    <w:rsid w:val="300948AB"/>
    <w:rsid w:val="300DFC75"/>
    <w:rsid w:val="300F6F49"/>
    <w:rsid w:val="301ADBCB"/>
    <w:rsid w:val="30220AE6"/>
    <w:rsid w:val="302490A0"/>
    <w:rsid w:val="302541D9"/>
    <w:rsid w:val="302644E3"/>
    <w:rsid w:val="30288BFD"/>
    <w:rsid w:val="302A783A"/>
    <w:rsid w:val="3030F9EA"/>
    <w:rsid w:val="303469FF"/>
    <w:rsid w:val="3035449F"/>
    <w:rsid w:val="303C17A3"/>
    <w:rsid w:val="3041AB54"/>
    <w:rsid w:val="3042BA96"/>
    <w:rsid w:val="30430DAF"/>
    <w:rsid w:val="304A7E39"/>
    <w:rsid w:val="304BEF36"/>
    <w:rsid w:val="304E5A9B"/>
    <w:rsid w:val="305C9449"/>
    <w:rsid w:val="30683883"/>
    <w:rsid w:val="306F64E5"/>
    <w:rsid w:val="306FE21F"/>
    <w:rsid w:val="307F12E9"/>
    <w:rsid w:val="308B4D85"/>
    <w:rsid w:val="308CE289"/>
    <w:rsid w:val="308CF1B6"/>
    <w:rsid w:val="308ECAA1"/>
    <w:rsid w:val="309614FD"/>
    <w:rsid w:val="309702DF"/>
    <w:rsid w:val="309955A0"/>
    <w:rsid w:val="309AA6BC"/>
    <w:rsid w:val="30A0B1ED"/>
    <w:rsid w:val="30B02914"/>
    <w:rsid w:val="30B080F0"/>
    <w:rsid w:val="30B098E1"/>
    <w:rsid w:val="30BFADDE"/>
    <w:rsid w:val="30C0FF4C"/>
    <w:rsid w:val="30C187F1"/>
    <w:rsid w:val="30C4B388"/>
    <w:rsid w:val="30CED2F3"/>
    <w:rsid w:val="30D51375"/>
    <w:rsid w:val="30EFC9B5"/>
    <w:rsid w:val="30EFE320"/>
    <w:rsid w:val="30F10CB2"/>
    <w:rsid w:val="311511E9"/>
    <w:rsid w:val="311AD04F"/>
    <w:rsid w:val="311BD2D4"/>
    <w:rsid w:val="3120A442"/>
    <w:rsid w:val="31213CEE"/>
    <w:rsid w:val="312A1B07"/>
    <w:rsid w:val="312C54FF"/>
    <w:rsid w:val="31368CA0"/>
    <w:rsid w:val="313BC51D"/>
    <w:rsid w:val="3140204E"/>
    <w:rsid w:val="3140FF96"/>
    <w:rsid w:val="314BAFA5"/>
    <w:rsid w:val="3151B8E7"/>
    <w:rsid w:val="315253D1"/>
    <w:rsid w:val="3153D77D"/>
    <w:rsid w:val="31548760"/>
    <w:rsid w:val="31555314"/>
    <w:rsid w:val="315EFA70"/>
    <w:rsid w:val="31655C36"/>
    <w:rsid w:val="316651C1"/>
    <w:rsid w:val="31698127"/>
    <w:rsid w:val="316E7853"/>
    <w:rsid w:val="3172703A"/>
    <w:rsid w:val="317603FC"/>
    <w:rsid w:val="31765A5C"/>
    <w:rsid w:val="317C1962"/>
    <w:rsid w:val="3180C376"/>
    <w:rsid w:val="31859A11"/>
    <w:rsid w:val="318FA3DE"/>
    <w:rsid w:val="31987472"/>
    <w:rsid w:val="319A78AF"/>
    <w:rsid w:val="319D1EB8"/>
    <w:rsid w:val="319F7592"/>
    <w:rsid w:val="31A03D69"/>
    <w:rsid w:val="31A1EBF2"/>
    <w:rsid w:val="31A2B1A2"/>
    <w:rsid w:val="31A8CBC1"/>
    <w:rsid w:val="31AAED81"/>
    <w:rsid w:val="31AD40F8"/>
    <w:rsid w:val="31AFB807"/>
    <w:rsid w:val="31B089BA"/>
    <w:rsid w:val="31BE6E6A"/>
    <w:rsid w:val="31C322C3"/>
    <w:rsid w:val="31CB0293"/>
    <w:rsid w:val="31CBC96B"/>
    <w:rsid w:val="31D4F21C"/>
    <w:rsid w:val="31D6EF29"/>
    <w:rsid w:val="31E2B0CE"/>
    <w:rsid w:val="31EA3722"/>
    <w:rsid w:val="31EBAAAD"/>
    <w:rsid w:val="31EC4BA2"/>
    <w:rsid w:val="31ED5FAF"/>
    <w:rsid w:val="31F0C51F"/>
    <w:rsid w:val="31F30ADE"/>
    <w:rsid w:val="31F5B33B"/>
    <w:rsid w:val="32060B16"/>
    <w:rsid w:val="3209B83A"/>
    <w:rsid w:val="320FAD21"/>
    <w:rsid w:val="3211BC6E"/>
    <w:rsid w:val="321707FE"/>
    <w:rsid w:val="321A2D94"/>
    <w:rsid w:val="321A4804"/>
    <w:rsid w:val="321E95A7"/>
    <w:rsid w:val="32280592"/>
    <w:rsid w:val="322DC915"/>
    <w:rsid w:val="32361334"/>
    <w:rsid w:val="3238A65C"/>
    <w:rsid w:val="323ABDF4"/>
    <w:rsid w:val="323D2673"/>
    <w:rsid w:val="323F7EDE"/>
    <w:rsid w:val="3240F419"/>
    <w:rsid w:val="3244C34F"/>
    <w:rsid w:val="324AD5E9"/>
    <w:rsid w:val="324F9977"/>
    <w:rsid w:val="32569B04"/>
    <w:rsid w:val="32596E8C"/>
    <w:rsid w:val="3282253F"/>
    <w:rsid w:val="3283BEAF"/>
    <w:rsid w:val="3283C339"/>
    <w:rsid w:val="32909E71"/>
    <w:rsid w:val="329392E7"/>
    <w:rsid w:val="3296B89F"/>
    <w:rsid w:val="32A21A34"/>
    <w:rsid w:val="32A59AB4"/>
    <w:rsid w:val="32A7292B"/>
    <w:rsid w:val="32A77761"/>
    <w:rsid w:val="32A7DA4B"/>
    <w:rsid w:val="32B4AE79"/>
    <w:rsid w:val="32C0AC49"/>
    <w:rsid w:val="32C599C0"/>
    <w:rsid w:val="32CF64E3"/>
    <w:rsid w:val="32CFF06E"/>
    <w:rsid w:val="32D06188"/>
    <w:rsid w:val="32D484EC"/>
    <w:rsid w:val="32D7787F"/>
    <w:rsid w:val="32D79A3D"/>
    <w:rsid w:val="32DA58E1"/>
    <w:rsid w:val="32E6940C"/>
    <w:rsid w:val="32EC0440"/>
    <w:rsid w:val="32F62C87"/>
    <w:rsid w:val="32F76B9F"/>
    <w:rsid w:val="32F84A3E"/>
    <w:rsid w:val="330E3946"/>
    <w:rsid w:val="330F9538"/>
    <w:rsid w:val="331A1815"/>
    <w:rsid w:val="3322EA37"/>
    <w:rsid w:val="3324D96B"/>
    <w:rsid w:val="33257C42"/>
    <w:rsid w:val="332AC686"/>
    <w:rsid w:val="332C7B69"/>
    <w:rsid w:val="332EB2E8"/>
    <w:rsid w:val="33374633"/>
    <w:rsid w:val="33376084"/>
    <w:rsid w:val="333BE545"/>
    <w:rsid w:val="333DED37"/>
    <w:rsid w:val="3340104E"/>
    <w:rsid w:val="334B1411"/>
    <w:rsid w:val="334C438C"/>
    <w:rsid w:val="334C825C"/>
    <w:rsid w:val="334EF0A6"/>
    <w:rsid w:val="334F5D36"/>
    <w:rsid w:val="335AAFAB"/>
    <w:rsid w:val="3369849C"/>
    <w:rsid w:val="337A6B80"/>
    <w:rsid w:val="3387CE4E"/>
    <w:rsid w:val="338F3FD6"/>
    <w:rsid w:val="338FDCB6"/>
    <w:rsid w:val="33923A6E"/>
    <w:rsid w:val="33927EBF"/>
    <w:rsid w:val="33A15462"/>
    <w:rsid w:val="33A177AD"/>
    <w:rsid w:val="33AF7F28"/>
    <w:rsid w:val="33B1D482"/>
    <w:rsid w:val="33B20DDC"/>
    <w:rsid w:val="33BB8D66"/>
    <w:rsid w:val="33C089AD"/>
    <w:rsid w:val="33C903CD"/>
    <w:rsid w:val="33CF9F34"/>
    <w:rsid w:val="33D32BE4"/>
    <w:rsid w:val="33D5C775"/>
    <w:rsid w:val="33DD29E8"/>
    <w:rsid w:val="33DF8EEB"/>
    <w:rsid w:val="33E6CE6D"/>
    <w:rsid w:val="33EBE5D0"/>
    <w:rsid w:val="33ED7196"/>
    <w:rsid w:val="33F45C88"/>
    <w:rsid w:val="33F79198"/>
    <w:rsid w:val="33F8D551"/>
    <w:rsid w:val="34057531"/>
    <w:rsid w:val="34072560"/>
    <w:rsid w:val="34093A69"/>
    <w:rsid w:val="340BC7DB"/>
    <w:rsid w:val="340BF5DF"/>
    <w:rsid w:val="340EC449"/>
    <w:rsid w:val="3416B719"/>
    <w:rsid w:val="3417B1AB"/>
    <w:rsid w:val="3418C398"/>
    <w:rsid w:val="3419E140"/>
    <w:rsid w:val="342BD57F"/>
    <w:rsid w:val="34336AB4"/>
    <w:rsid w:val="343AD4BB"/>
    <w:rsid w:val="343BDB10"/>
    <w:rsid w:val="343EBBF3"/>
    <w:rsid w:val="344090DE"/>
    <w:rsid w:val="34435353"/>
    <w:rsid w:val="3443B927"/>
    <w:rsid w:val="344B32E2"/>
    <w:rsid w:val="344DB2DB"/>
    <w:rsid w:val="3451EEF1"/>
    <w:rsid w:val="345AE451"/>
    <w:rsid w:val="345B685A"/>
    <w:rsid w:val="345FF85A"/>
    <w:rsid w:val="346980A7"/>
    <w:rsid w:val="347044EC"/>
    <w:rsid w:val="347075CA"/>
    <w:rsid w:val="3471155D"/>
    <w:rsid w:val="34739CBD"/>
    <w:rsid w:val="3477211F"/>
    <w:rsid w:val="3477669C"/>
    <w:rsid w:val="3479ED47"/>
    <w:rsid w:val="348A53AD"/>
    <w:rsid w:val="348C09C6"/>
    <w:rsid w:val="348ED9FD"/>
    <w:rsid w:val="349177C1"/>
    <w:rsid w:val="3493C65F"/>
    <w:rsid w:val="349B1DE1"/>
    <w:rsid w:val="349BC31C"/>
    <w:rsid w:val="34A2216D"/>
    <w:rsid w:val="34A9503E"/>
    <w:rsid w:val="34AE95BE"/>
    <w:rsid w:val="34B0D265"/>
    <w:rsid w:val="34B91D57"/>
    <w:rsid w:val="34C2DD9B"/>
    <w:rsid w:val="34C50348"/>
    <w:rsid w:val="34C7A6BB"/>
    <w:rsid w:val="34CC8A5D"/>
    <w:rsid w:val="34D42A80"/>
    <w:rsid w:val="34D548CE"/>
    <w:rsid w:val="34D8DB22"/>
    <w:rsid w:val="34DD0C9C"/>
    <w:rsid w:val="34DE64AF"/>
    <w:rsid w:val="34DEAA05"/>
    <w:rsid w:val="34E8AACB"/>
    <w:rsid w:val="34ED74CC"/>
    <w:rsid w:val="34F073AC"/>
    <w:rsid w:val="34F27BE6"/>
    <w:rsid w:val="34FB2541"/>
    <w:rsid w:val="34FC426A"/>
    <w:rsid w:val="34FF3B4A"/>
    <w:rsid w:val="3500C285"/>
    <w:rsid w:val="3503A047"/>
    <w:rsid w:val="3509D6DD"/>
    <w:rsid w:val="3513FB4F"/>
    <w:rsid w:val="35205742"/>
    <w:rsid w:val="3524E3C7"/>
    <w:rsid w:val="352BBF3C"/>
    <w:rsid w:val="352E604D"/>
    <w:rsid w:val="3532184E"/>
    <w:rsid w:val="3534202C"/>
    <w:rsid w:val="3536FCE8"/>
    <w:rsid w:val="353A30AE"/>
    <w:rsid w:val="353CA3E4"/>
    <w:rsid w:val="3542A0B8"/>
    <w:rsid w:val="354CF7EC"/>
    <w:rsid w:val="354FE3EF"/>
    <w:rsid w:val="3550935C"/>
    <w:rsid w:val="3555B5E2"/>
    <w:rsid w:val="355680BA"/>
    <w:rsid w:val="355769C5"/>
    <w:rsid w:val="355AEDE0"/>
    <w:rsid w:val="355F7187"/>
    <w:rsid w:val="35638F5A"/>
    <w:rsid w:val="35698D0E"/>
    <w:rsid w:val="35699C5B"/>
    <w:rsid w:val="356F7415"/>
    <w:rsid w:val="357183EB"/>
    <w:rsid w:val="35780651"/>
    <w:rsid w:val="357BB3BA"/>
    <w:rsid w:val="357D6EC5"/>
    <w:rsid w:val="357DBF8A"/>
    <w:rsid w:val="35842819"/>
    <w:rsid w:val="358573A0"/>
    <w:rsid w:val="3588443C"/>
    <w:rsid w:val="358A9625"/>
    <w:rsid w:val="358C51B3"/>
    <w:rsid w:val="358D8458"/>
    <w:rsid w:val="358DA349"/>
    <w:rsid w:val="359ADD0A"/>
    <w:rsid w:val="359C5994"/>
    <w:rsid w:val="35A57D15"/>
    <w:rsid w:val="35A62E48"/>
    <w:rsid w:val="35B1D37D"/>
    <w:rsid w:val="35B2AFD0"/>
    <w:rsid w:val="35BA0553"/>
    <w:rsid w:val="35C0EB43"/>
    <w:rsid w:val="35D241F4"/>
    <w:rsid w:val="35D40939"/>
    <w:rsid w:val="35D43039"/>
    <w:rsid w:val="35D6D031"/>
    <w:rsid w:val="35E39FA2"/>
    <w:rsid w:val="35E6825B"/>
    <w:rsid w:val="35E7C987"/>
    <w:rsid w:val="35F41864"/>
    <w:rsid w:val="35F55160"/>
    <w:rsid w:val="35FA73C3"/>
    <w:rsid w:val="35FC4E7C"/>
    <w:rsid w:val="36037084"/>
    <w:rsid w:val="3604545D"/>
    <w:rsid w:val="360588B3"/>
    <w:rsid w:val="3607642D"/>
    <w:rsid w:val="360B3DD3"/>
    <w:rsid w:val="360DC35E"/>
    <w:rsid w:val="3614C457"/>
    <w:rsid w:val="3617846D"/>
    <w:rsid w:val="361A52A0"/>
    <w:rsid w:val="362993AC"/>
    <w:rsid w:val="362CB41F"/>
    <w:rsid w:val="362CD7A6"/>
    <w:rsid w:val="362D45B6"/>
    <w:rsid w:val="36307E13"/>
    <w:rsid w:val="36331BC7"/>
    <w:rsid w:val="36344EEE"/>
    <w:rsid w:val="3643F0D6"/>
    <w:rsid w:val="364FD941"/>
    <w:rsid w:val="365B152B"/>
    <w:rsid w:val="3661352E"/>
    <w:rsid w:val="36629630"/>
    <w:rsid w:val="3662E19C"/>
    <w:rsid w:val="3669765F"/>
    <w:rsid w:val="366F86C1"/>
    <w:rsid w:val="367E8EEE"/>
    <w:rsid w:val="367FF35B"/>
    <w:rsid w:val="368058A1"/>
    <w:rsid w:val="368094B1"/>
    <w:rsid w:val="3687EFB1"/>
    <w:rsid w:val="368F7D85"/>
    <w:rsid w:val="36943B02"/>
    <w:rsid w:val="36946596"/>
    <w:rsid w:val="36957BAD"/>
    <w:rsid w:val="36A48D2E"/>
    <w:rsid w:val="36A53418"/>
    <w:rsid w:val="36A53C60"/>
    <w:rsid w:val="36A576EB"/>
    <w:rsid w:val="36A95E28"/>
    <w:rsid w:val="36AABF3F"/>
    <w:rsid w:val="36AF0E7C"/>
    <w:rsid w:val="36B24F33"/>
    <w:rsid w:val="36B272EF"/>
    <w:rsid w:val="36B2CDDB"/>
    <w:rsid w:val="36B42400"/>
    <w:rsid w:val="36B74E06"/>
    <w:rsid w:val="36BEA638"/>
    <w:rsid w:val="36C027FB"/>
    <w:rsid w:val="36C2B513"/>
    <w:rsid w:val="36C33B63"/>
    <w:rsid w:val="36C6DAC9"/>
    <w:rsid w:val="36DC5C46"/>
    <w:rsid w:val="36DFCB70"/>
    <w:rsid w:val="36E89D89"/>
    <w:rsid w:val="36EC5A3C"/>
    <w:rsid w:val="36EE78E1"/>
    <w:rsid w:val="36EF02F9"/>
    <w:rsid w:val="36EF23EC"/>
    <w:rsid w:val="36F0DB20"/>
    <w:rsid w:val="36F274AC"/>
    <w:rsid w:val="36F7F5E3"/>
    <w:rsid w:val="36FD53EF"/>
    <w:rsid w:val="37002D0D"/>
    <w:rsid w:val="3707F02E"/>
    <w:rsid w:val="372DBA5A"/>
    <w:rsid w:val="372FE549"/>
    <w:rsid w:val="37304890"/>
    <w:rsid w:val="3736DF4D"/>
    <w:rsid w:val="373C9EF7"/>
    <w:rsid w:val="373DABF2"/>
    <w:rsid w:val="373FB096"/>
    <w:rsid w:val="3745B84E"/>
    <w:rsid w:val="374D9E3F"/>
    <w:rsid w:val="3756DE4E"/>
    <w:rsid w:val="375EC277"/>
    <w:rsid w:val="376457F9"/>
    <w:rsid w:val="37672512"/>
    <w:rsid w:val="376928D8"/>
    <w:rsid w:val="376B6B19"/>
    <w:rsid w:val="377767E1"/>
    <w:rsid w:val="3781224D"/>
    <w:rsid w:val="3785603E"/>
    <w:rsid w:val="378B31CC"/>
    <w:rsid w:val="3797C813"/>
    <w:rsid w:val="379B83B2"/>
    <w:rsid w:val="379C4399"/>
    <w:rsid w:val="379D2D24"/>
    <w:rsid w:val="37A8EB28"/>
    <w:rsid w:val="37AE2E01"/>
    <w:rsid w:val="37B1DA30"/>
    <w:rsid w:val="37B52E35"/>
    <w:rsid w:val="37B8244A"/>
    <w:rsid w:val="37BC4774"/>
    <w:rsid w:val="37C88920"/>
    <w:rsid w:val="37C9AC49"/>
    <w:rsid w:val="37CCC6E8"/>
    <w:rsid w:val="37CEB7A6"/>
    <w:rsid w:val="37D041BC"/>
    <w:rsid w:val="37D18D11"/>
    <w:rsid w:val="37D73C06"/>
    <w:rsid w:val="37DFD726"/>
    <w:rsid w:val="37E393D9"/>
    <w:rsid w:val="37F4173D"/>
    <w:rsid w:val="37F98374"/>
    <w:rsid w:val="37FD5016"/>
    <w:rsid w:val="37FE43BE"/>
    <w:rsid w:val="37FF8067"/>
    <w:rsid w:val="38002B8F"/>
    <w:rsid w:val="380FE2A2"/>
    <w:rsid w:val="3817F85E"/>
    <w:rsid w:val="381E9391"/>
    <w:rsid w:val="3820E8C6"/>
    <w:rsid w:val="38248D84"/>
    <w:rsid w:val="3829B8BD"/>
    <w:rsid w:val="382CCE34"/>
    <w:rsid w:val="382D1A0B"/>
    <w:rsid w:val="382D8108"/>
    <w:rsid w:val="3830FB38"/>
    <w:rsid w:val="38367019"/>
    <w:rsid w:val="3836E04D"/>
    <w:rsid w:val="38452104"/>
    <w:rsid w:val="384724A5"/>
    <w:rsid w:val="38483867"/>
    <w:rsid w:val="384D0211"/>
    <w:rsid w:val="384F2B47"/>
    <w:rsid w:val="3853E9E2"/>
    <w:rsid w:val="385CB30B"/>
    <w:rsid w:val="385CDED2"/>
    <w:rsid w:val="38644786"/>
    <w:rsid w:val="38663330"/>
    <w:rsid w:val="3868A7D5"/>
    <w:rsid w:val="3869DAE2"/>
    <w:rsid w:val="386AB927"/>
    <w:rsid w:val="38707E50"/>
    <w:rsid w:val="38824878"/>
    <w:rsid w:val="3883BE18"/>
    <w:rsid w:val="388E450D"/>
    <w:rsid w:val="388F0B8B"/>
    <w:rsid w:val="3892EB1B"/>
    <w:rsid w:val="38977502"/>
    <w:rsid w:val="38982CCE"/>
    <w:rsid w:val="3898D8CE"/>
    <w:rsid w:val="389DC371"/>
    <w:rsid w:val="38AAA020"/>
    <w:rsid w:val="38B1D119"/>
    <w:rsid w:val="38B243BB"/>
    <w:rsid w:val="38B5D3F5"/>
    <w:rsid w:val="38BC9A46"/>
    <w:rsid w:val="38BF45F5"/>
    <w:rsid w:val="38C65988"/>
    <w:rsid w:val="38C8BF64"/>
    <w:rsid w:val="38C932E4"/>
    <w:rsid w:val="38CBB5AA"/>
    <w:rsid w:val="38D18D3D"/>
    <w:rsid w:val="38D271C8"/>
    <w:rsid w:val="38D59507"/>
    <w:rsid w:val="38D62477"/>
    <w:rsid w:val="38D9A84C"/>
    <w:rsid w:val="38DF7B82"/>
    <w:rsid w:val="38E12094"/>
    <w:rsid w:val="38E3F558"/>
    <w:rsid w:val="38EBD600"/>
    <w:rsid w:val="39011E00"/>
    <w:rsid w:val="39015BD6"/>
    <w:rsid w:val="39046DF4"/>
    <w:rsid w:val="3909F96B"/>
    <w:rsid w:val="390BFCF2"/>
    <w:rsid w:val="39102EEB"/>
    <w:rsid w:val="391225FC"/>
    <w:rsid w:val="3914BB74"/>
    <w:rsid w:val="391DD9A4"/>
    <w:rsid w:val="39256AED"/>
    <w:rsid w:val="392597B2"/>
    <w:rsid w:val="392AEFBA"/>
    <w:rsid w:val="392F7302"/>
    <w:rsid w:val="3930A493"/>
    <w:rsid w:val="3933BA1A"/>
    <w:rsid w:val="3940CC26"/>
    <w:rsid w:val="394F1738"/>
    <w:rsid w:val="39512787"/>
    <w:rsid w:val="395502C5"/>
    <w:rsid w:val="39563F07"/>
    <w:rsid w:val="39574EE0"/>
    <w:rsid w:val="395A44B8"/>
    <w:rsid w:val="395B986F"/>
    <w:rsid w:val="395F3216"/>
    <w:rsid w:val="3968F571"/>
    <w:rsid w:val="39697056"/>
    <w:rsid w:val="396DA936"/>
    <w:rsid w:val="39707C83"/>
    <w:rsid w:val="39774ECE"/>
    <w:rsid w:val="3988B4A8"/>
    <w:rsid w:val="3989DE9D"/>
    <w:rsid w:val="398AFBE5"/>
    <w:rsid w:val="398FAD3B"/>
    <w:rsid w:val="3996021E"/>
    <w:rsid w:val="399946B5"/>
    <w:rsid w:val="399B611C"/>
    <w:rsid w:val="399C56AF"/>
    <w:rsid w:val="399EAF47"/>
    <w:rsid w:val="399F714F"/>
    <w:rsid w:val="399FC8ED"/>
    <w:rsid w:val="39A60810"/>
    <w:rsid w:val="39AA0E84"/>
    <w:rsid w:val="39B00A1E"/>
    <w:rsid w:val="39B0DEE8"/>
    <w:rsid w:val="39B3144F"/>
    <w:rsid w:val="39B576A0"/>
    <w:rsid w:val="39B60E0E"/>
    <w:rsid w:val="39B972C5"/>
    <w:rsid w:val="39C2A471"/>
    <w:rsid w:val="39CFDEF1"/>
    <w:rsid w:val="39DCA67C"/>
    <w:rsid w:val="39E3F690"/>
    <w:rsid w:val="39E51CB5"/>
    <w:rsid w:val="39EA2E6A"/>
    <w:rsid w:val="39EAFF54"/>
    <w:rsid w:val="39F09F45"/>
    <w:rsid w:val="39F0DC1B"/>
    <w:rsid w:val="39FCFD50"/>
    <w:rsid w:val="3A017889"/>
    <w:rsid w:val="3A059048"/>
    <w:rsid w:val="3A0647D3"/>
    <w:rsid w:val="3A0681CF"/>
    <w:rsid w:val="3A0C16D6"/>
    <w:rsid w:val="3A119EF4"/>
    <w:rsid w:val="3A17EC1E"/>
    <w:rsid w:val="3A227A86"/>
    <w:rsid w:val="3A2BBCFA"/>
    <w:rsid w:val="3A30B205"/>
    <w:rsid w:val="3A356F8D"/>
    <w:rsid w:val="3A3C32CC"/>
    <w:rsid w:val="3A3D43A3"/>
    <w:rsid w:val="3A3E0091"/>
    <w:rsid w:val="3A3FA440"/>
    <w:rsid w:val="3A4266F6"/>
    <w:rsid w:val="3A4509C5"/>
    <w:rsid w:val="3A4F4BE8"/>
    <w:rsid w:val="3A58A58E"/>
    <w:rsid w:val="3A6883BF"/>
    <w:rsid w:val="3A6F48C8"/>
    <w:rsid w:val="3A72FFCE"/>
    <w:rsid w:val="3A76EB5D"/>
    <w:rsid w:val="3A774994"/>
    <w:rsid w:val="3A85DF2C"/>
    <w:rsid w:val="3A8620F3"/>
    <w:rsid w:val="3A9245DE"/>
    <w:rsid w:val="3A94B685"/>
    <w:rsid w:val="3A99BE14"/>
    <w:rsid w:val="3A9E1586"/>
    <w:rsid w:val="3A9F7419"/>
    <w:rsid w:val="3AA6ECC4"/>
    <w:rsid w:val="3AADAD1A"/>
    <w:rsid w:val="3AB69CA1"/>
    <w:rsid w:val="3AB7B102"/>
    <w:rsid w:val="3AB8F9F4"/>
    <w:rsid w:val="3ABCB2A0"/>
    <w:rsid w:val="3ABE7131"/>
    <w:rsid w:val="3AC3A50C"/>
    <w:rsid w:val="3AC4EEAC"/>
    <w:rsid w:val="3ACF175B"/>
    <w:rsid w:val="3AD37170"/>
    <w:rsid w:val="3AD732F4"/>
    <w:rsid w:val="3AD92947"/>
    <w:rsid w:val="3ADEA7B3"/>
    <w:rsid w:val="3AE0DC00"/>
    <w:rsid w:val="3AE90DBA"/>
    <w:rsid w:val="3AEB83A0"/>
    <w:rsid w:val="3AF74775"/>
    <w:rsid w:val="3AF7C85D"/>
    <w:rsid w:val="3AF9D5D9"/>
    <w:rsid w:val="3AFC09CC"/>
    <w:rsid w:val="3AFFCDC7"/>
    <w:rsid w:val="3B07AD69"/>
    <w:rsid w:val="3B1113C6"/>
    <w:rsid w:val="3B14AC45"/>
    <w:rsid w:val="3B1CBCFB"/>
    <w:rsid w:val="3B235CF2"/>
    <w:rsid w:val="3B2DD522"/>
    <w:rsid w:val="3B33B97D"/>
    <w:rsid w:val="3B3411DF"/>
    <w:rsid w:val="3B3D00F0"/>
    <w:rsid w:val="3B4BEA2C"/>
    <w:rsid w:val="3B4E08CD"/>
    <w:rsid w:val="3B514701"/>
    <w:rsid w:val="3B5D7ED5"/>
    <w:rsid w:val="3B5DDF11"/>
    <w:rsid w:val="3B63183A"/>
    <w:rsid w:val="3B652E09"/>
    <w:rsid w:val="3B6F54B2"/>
    <w:rsid w:val="3B6F845A"/>
    <w:rsid w:val="3B802BCA"/>
    <w:rsid w:val="3B8C6FA6"/>
    <w:rsid w:val="3B8FCC4E"/>
    <w:rsid w:val="3B9453CD"/>
    <w:rsid w:val="3B9DCFCA"/>
    <w:rsid w:val="3BAA567D"/>
    <w:rsid w:val="3BAADF6A"/>
    <w:rsid w:val="3BAD93E5"/>
    <w:rsid w:val="3BB80765"/>
    <w:rsid w:val="3BBCA624"/>
    <w:rsid w:val="3BBDB1D1"/>
    <w:rsid w:val="3BBFD76A"/>
    <w:rsid w:val="3BC8B2BF"/>
    <w:rsid w:val="3BD3F8D9"/>
    <w:rsid w:val="3BD45165"/>
    <w:rsid w:val="3BDF586A"/>
    <w:rsid w:val="3BF4AF68"/>
    <w:rsid w:val="3BF5E8DA"/>
    <w:rsid w:val="3BF9A246"/>
    <w:rsid w:val="3C04B765"/>
    <w:rsid w:val="3C067B93"/>
    <w:rsid w:val="3C07AEC1"/>
    <w:rsid w:val="3C08DBD3"/>
    <w:rsid w:val="3C0C3183"/>
    <w:rsid w:val="3C15756F"/>
    <w:rsid w:val="3C194667"/>
    <w:rsid w:val="3C24A28C"/>
    <w:rsid w:val="3C3AF127"/>
    <w:rsid w:val="3C3FEEE1"/>
    <w:rsid w:val="3C424843"/>
    <w:rsid w:val="3C51456F"/>
    <w:rsid w:val="3C547DF6"/>
    <w:rsid w:val="3C5A1F7D"/>
    <w:rsid w:val="3C5CD40E"/>
    <w:rsid w:val="3C5E058E"/>
    <w:rsid w:val="3C5EFCAE"/>
    <w:rsid w:val="3C6AE7BC"/>
    <w:rsid w:val="3C6B1FB3"/>
    <w:rsid w:val="3C6FB076"/>
    <w:rsid w:val="3C75387D"/>
    <w:rsid w:val="3C787FB8"/>
    <w:rsid w:val="3C7D38BA"/>
    <w:rsid w:val="3C7DB800"/>
    <w:rsid w:val="3C8EB2B8"/>
    <w:rsid w:val="3C8F69F9"/>
    <w:rsid w:val="3C8FD590"/>
    <w:rsid w:val="3C9145B4"/>
    <w:rsid w:val="3C9386EA"/>
    <w:rsid w:val="3C9F41AB"/>
    <w:rsid w:val="3CA216C7"/>
    <w:rsid w:val="3CA485CC"/>
    <w:rsid w:val="3CAC72FD"/>
    <w:rsid w:val="3CAF7741"/>
    <w:rsid w:val="3CB1C370"/>
    <w:rsid w:val="3CB3123A"/>
    <w:rsid w:val="3CB46D61"/>
    <w:rsid w:val="3CB4D94E"/>
    <w:rsid w:val="3CB5D5C4"/>
    <w:rsid w:val="3CB776F2"/>
    <w:rsid w:val="3CB9AD22"/>
    <w:rsid w:val="3CC11DE5"/>
    <w:rsid w:val="3CC95247"/>
    <w:rsid w:val="3CCA6B7B"/>
    <w:rsid w:val="3CCF15C1"/>
    <w:rsid w:val="3CD39CB2"/>
    <w:rsid w:val="3CD5BEC8"/>
    <w:rsid w:val="3CDC1179"/>
    <w:rsid w:val="3CDF24A3"/>
    <w:rsid w:val="3CE2D2B5"/>
    <w:rsid w:val="3CE81856"/>
    <w:rsid w:val="3CFA4533"/>
    <w:rsid w:val="3CFBE4D6"/>
    <w:rsid w:val="3CFBE8AF"/>
    <w:rsid w:val="3CFC074C"/>
    <w:rsid w:val="3CFCDDAB"/>
    <w:rsid w:val="3D016CD0"/>
    <w:rsid w:val="3D08DE3D"/>
    <w:rsid w:val="3D2C76E0"/>
    <w:rsid w:val="3D2ECDB8"/>
    <w:rsid w:val="3D35E930"/>
    <w:rsid w:val="3D42533E"/>
    <w:rsid w:val="3D4BBF4E"/>
    <w:rsid w:val="3D55C633"/>
    <w:rsid w:val="3D57FEDF"/>
    <w:rsid w:val="3D669B7A"/>
    <w:rsid w:val="3D720279"/>
    <w:rsid w:val="3D76A03A"/>
    <w:rsid w:val="3D814291"/>
    <w:rsid w:val="3D93B094"/>
    <w:rsid w:val="3D978147"/>
    <w:rsid w:val="3DA45EA2"/>
    <w:rsid w:val="3DAE7D72"/>
    <w:rsid w:val="3DB16C0A"/>
    <w:rsid w:val="3DB1C26E"/>
    <w:rsid w:val="3DB2686A"/>
    <w:rsid w:val="3DBD76AC"/>
    <w:rsid w:val="3DC62FBD"/>
    <w:rsid w:val="3DC73468"/>
    <w:rsid w:val="3DCB47E7"/>
    <w:rsid w:val="3DCF5A5A"/>
    <w:rsid w:val="3DD500C0"/>
    <w:rsid w:val="3DD57986"/>
    <w:rsid w:val="3DD68CC3"/>
    <w:rsid w:val="3DE190E1"/>
    <w:rsid w:val="3DE3C20E"/>
    <w:rsid w:val="3DE72C4D"/>
    <w:rsid w:val="3DECEEA6"/>
    <w:rsid w:val="3DF216E0"/>
    <w:rsid w:val="3DF2A31B"/>
    <w:rsid w:val="3E011FC8"/>
    <w:rsid w:val="3E03654A"/>
    <w:rsid w:val="3E039F64"/>
    <w:rsid w:val="3E1EE5B5"/>
    <w:rsid w:val="3E248124"/>
    <w:rsid w:val="3E2AB6E1"/>
    <w:rsid w:val="3E2CA2CE"/>
    <w:rsid w:val="3E310FB0"/>
    <w:rsid w:val="3E37CAA4"/>
    <w:rsid w:val="3E3B1BA1"/>
    <w:rsid w:val="3E3EBC42"/>
    <w:rsid w:val="3E3F485F"/>
    <w:rsid w:val="3E44688A"/>
    <w:rsid w:val="3E46760B"/>
    <w:rsid w:val="3E47227E"/>
    <w:rsid w:val="3E47FD92"/>
    <w:rsid w:val="3E488987"/>
    <w:rsid w:val="3E4B89E6"/>
    <w:rsid w:val="3E4DDA62"/>
    <w:rsid w:val="3E4F6E7C"/>
    <w:rsid w:val="3E561604"/>
    <w:rsid w:val="3E5F7477"/>
    <w:rsid w:val="3E643690"/>
    <w:rsid w:val="3E64A8FC"/>
    <w:rsid w:val="3E652A2B"/>
    <w:rsid w:val="3E73D137"/>
    <w:rsid w:val="3E7495F7"/>
    <w:rsid w:val="3E75B524"/>
    <w:rsid w:val="3E778343"/>
    <w:rsid w:val="3E7B10D1"/>
    <w:rsid w:val="3E805A37"/>
    <w:rsid w:val="3E832C41"/>
    <w:rsid w:val="3E86E483"/>
    <w:rsid w:val="3E8DB997"/>
    <w:rsid w:val="3E8FDC93"/>
    <w:rsid w:val="3EAB0A34"/>
    <w:rsid w:val="3EAC3628"/>
    <w:rsid w:val="3EB154E3"/>
    <w:rsid w:val="3EB39B95"/>
    <w:rsid w:val="3EBD422B"/>
    <w:rsid w:val="3EBFDABC"/>
    <w:rsid w:val="3ECFC91B"/>
    <w:rsid w:val="3ED0B9CE"/>
    <w:rsid w:val="3ED1BBC7"/>
    <w:rsid w:val="3ED78632"/>
    <w:rsid w:val="3ED7A746"/>
    <w:rsid w:val="3EDD1229"/>
    <w:rsid w:val="3EDEB09E"/>
    <w:rsid w:val="3EE183EA"/>
    <w:rsid w:val="3EF9F4C2"/>
    <w:rsid w:val="3F037BF9"/>
    <w:rsid w:val="3F062B85"/>
    <w:rsid w:val="3F07173C"/>
    <w:rsid w:val="3F076B46"/>
    <w:rsid w:val="3F0CFE5E"/>
    <w:rsid w:val="3F0EE32E"/>
    <w:rsid w:val="3F104E32"/>
    <w:rsid w:val="3F108AB4"/>
    <w:rsid w:val="3F109CEC"/>
    <w:rsid w:val="3F1CB651"/>
    <w:rsid w:val="3F1F45AF"/>
    <w:rsid w:val="3F363324"/>
    <w:rsid w:val="3F383C5E"/>
    <w:rsid w:val="3F38C713"/>
    <w:rsid w:val="3F3A9860"/>
    <w:rsid w:val="3F49DA42"/>
    <w:rsid w:val="3F4AA3E8"/>
    <w:rsid w:val="3F4B9BAB"/>
    <w:rsid w:val="3F509D8D"/>
    <w:rsid w:val="3F5237BE"/>
    <w:rsid w:val="3F54787F"/>
    <w:rsid w:val="3F58194B"/>
    <w:rsid w:val="3F5825A8"/>
    <w:rsid w:val="3F60FC55"/>
    <w:rsid w:val="3F65F41F"/>
    <w:rsid w:val="3F6A4E71"/>
    <w:rsid w:val="3F7061B1"/>
    <w:rsid w:val="3F725D24"/>
    <w:rsid w:val="3F726CBA"/>
    <w:rsid w:val="3F749C00"/>
    <w:rsid w:val="3F7542D2"/>
    <w:rsid w:val="3F75484A"/>
    <w:rsid w:val="3F77C51B"/>
    <w:rsid w:val="3F7F2D79"/>
    <w:rsid w:val="3F964849"/>
    <w:rsid w:val="3F978509"/>
    <w:rsid w:val="3F9E81A5"/>
    <w:rsid w:val="3FA64388"/>
    <w:rsid w:val="3FAEEA58"/>
    <w:rsid w:val="3FB49690"/>
    <w:rsid w:val="3FBCEB5B"/>
    <w:rsid w:val="3FBEF4C3"/>
    <w:rsid w:val="3FCF0234"/>
    <w:rsid w:val="3FD4C676"/>
    <w:rsid w:val="3FDBF899"/>
    <w:rsid w:val="3FDDF215"/>
    <w:rsid w:val="3FE4FBC7"/>
    <w:rsid w:val="3FEC5B65"/>
    <w:rsid w:val="3FED4FAE"/>
    <w:rsid w:val="3FEF19EE"/>
    <w:rsid w:val="3FF25461"/>
    <w:rsid w:val="3FF98720"/>
    <w:rsid w:val="400E20EA"/>
    <w:rsid w:val="401349F3"/>
    <w:rsid w:val="40210F26"/>
    <w:rsid w:val="4021DE87"/>
    <w:rsid w:val="402BD28F"/>
    <w:rsid w:val="402C1B64"/>
    <w:rsid w:val="402C73F6"/>
    <w:rsid w:val="402EC446"/>
    <w:rsid w:val="402FE5BD"/>
    <w:rsid w:val="4030088C"/>
    <w:rsid w:val="403059F5"/>
    <w:rsid w:val="4039ED21"/>
    <w:rsid w:val="403BE51C"/>
    <w:rsid w:val="403F2703"/>
    <w:rsid w:val="4047F368"/>
    <w:rsid w:val="404D28F9"/>
    <w:rsid w:val="4060E2F9"/>
    <w:rsid w:val="406290B4"/>
    <w:rsid w:val="4063F11B"/>
    <w:rsid w:val="4067E6F0"/>
    <w:rsid w:val="4068EC51"/>
    <w:rsid w:val="406933FE"/>
    <w:rsid w:val="406AE12D"/>
    <w:rsid w:val="4071D53C"/>
    <w:rsid w:val="4077FA0A"/>
    <w:rsid w:val="407CD649"/>
    <w:rsid w:val="40806EE2"/>
    <w:rsid w:val="4085068F"/>
    <w:rsid w:val="40948ADD"/>
    <w:rsid w:val="40966A41"/>
    <w:rsid w:val="409E054B"/>
    <w:rsid w:val="40AA61DC"/>
    <w:rsid w:val="40AEAF71"/>
    <w:rsid w:val="40B048F0"/>
    <w:rsid w:val="40B06C50"/>
    <w:rsid w:val="40B1A87A"/>
    <w:rsid w:val="40B1E23E"/>
    <w:rsid w:val="40BB1610"/>
    <w:rsid w:val="40BB9D2B"/>
    <w:rsid w:val="40BE9CE6"/>
    <w:rsid w:val="40C329D6"/>
    <w:rsid w:val="40CB94A3"/>
    <w:rsid w:val="40D6A108"/>
    <w:rsid w:val="40DABFAB"/>
    <w:rsid w:val="40E0C9E3"/>
    <w:rsid w:val="40E615B7"/>
    <w:rsid w:val="40E701B1"/>
    <w:rsid w:val="40EDB039"/>
    <w:rsid w:val="40EE081F"/>
    <w:rsid w:val="40F18EA1"/>
    <w:rsid w:val="40F454EC"/>
    <w:rsid w:val="40F816AA"/>
    <w:rsid w:val="4106A94F"/>
    <w:rsid w:val="41080B10"/>
    <w:rsid w:val="41084C66"/>
    <w:rsid w:val="4108EE69"/>
    <w:rsid w:val="411061C9"/>
    <w:rsid w:val="4117C13C"/>
    <w:rsid w:val="411BF5F9"/>
    <w:rsid w:val="411CB5DF"/>
    <w:rsid w:val="411D2C97"/>
    <w:rsid w:val="411E311A"/>
    <w:rsid w:val="4121B22D"/>
    <w:rsid w:val="4121B2BF"/>
    <w:rsid w:val="41225B52"/>
    <w:rsid w:val="4125B2AF"/>
    <w:rsid w:val="412BC9F3"/>
    <w:rsid w:val="412C3C78"/>
    <w:rsid w:val="412F565E"/>
    <w:rsid w:val="4138145F"/>
    <w:rsid w:val="414AF015"/>
    <w:rsid w:val="4155E2C1"/>
    <w:rsid w:val="415731D9"/>
    <w:rsid w:val="415F4D31"/>
    <w:rsid w:val="415FEE82"/>
    <w:rsid w:val="41613D48"/>
    <w:rsid w:val="41629A21"/>
    <w:rsid w:val="41632424"/>
    <w:rsid w:val="41638228"/>
    <w:rsid w:val="416C07A7"/>
    <w:rsid w:val="416CA43F"/>
    <w:rsid w:val="417AC5DA"/>
    <w:rsid w:val="417C1029"/>
    <w:rsid w:val="417D2AE6"/>
    <w:rsid w:val="41804970"/>
    <w:rsid w:val="4199A047"/>
    <w:rsid w:val="419BAAE5"/>
    <w:rsid w:val="419C3C31"/>
    <w:rsid w:val="41A06F33"/>
    <w:rsid w:val="41A26D0C"/>
    <w:rsid w:val="41AA4CAD"/>
    <w:rsid w:val="41AD3A19"/>
    <w:rsid w:val="41B0DDCE"/>
    <w:rsid w:val="41B212F6"/>
    <w:rsid w:val="41B2F23C"/>
    <w:rsid w:val="41B4663B"/>
    <w:rsid w:val="41BC99AB"/>
    <w:rsid w:val="41CB0B98"/>
    <w:rsid w:val="41D6B73F"/>
    <w:rsid w:val="41E0278C"/>
    <w:rsid w:val="41EADB17"/>
    <w:rsid w:val="41EF1AAD"/>
    <w:rsid w:val="41F9BF07"/>
    <w:rsid w:val="42000199"/>
    <w:rsid w:val="42117801"/>
    <w:rsid w:val="4219023E"/>
    <w:rsid w:val="4219F862"/>
    <w:rsid w:val="421C1A76"/>
    <w:rsid w:val="421D17D6"/>
    <w:rsid w:val="4228B60F"/>
    <w:rsid w:val="422E8347"/>
    <w:rsid w:val="423139E5"/>
    <w:rsid w:val="4234B051"/>
    <w:rsid w:val="4234DCD4"/>
    <w:rsid w:val="423C68AB"/>
    <w:rsid w:val="423F0C08"/>
    <w:rsid w:val="423F342E"/>
    <w:rsid w:val="423F6B56"/>
    <w:rsid w:val="424119DF"/>
    <w:rsid w:val="424207AC"/>
    <w:rsid w:val="42468051"/>
    <w:rsid w:val="4246C5C2"/>
    <w:rsid w:val="4247D2D8"/>
    <w:rsid w:val="42482B76"/>
    <w:rsid w:val="424B02D0"/>
    <w:rsid w:val="425A9878"/>
    <w:rsid w:val="425B4796"/>
    <w:rsid w:val="426304D4"/>
    <w:rsid w:val="426A3852"/>
    <w:rsid w:val="426E4057"/>
    <w:rsid w:val="42723B4F"/>
    <w:rsid w:val="427F362D"/>
    <w:rsid w:val="42889583"/>
    <w:rsid w:val="428B598B"/>
    <w:rsid w:val="428DBE3F"/>
    <w:rsid w:val="428F8FD3"/>
    <w:rsid w:val="42928057"/>
    <w:rsid w:val="4293D795"/>
    <w:rsid w:val="4295EFA2"/>
    <w:rsid w:val="42977CEA"/>
    <w:rsid w:val="429C37C5"/>
    <w:rsid w:val="429F0C42"/>
    <w:rsid w:val="42A5DC80"/>
    <w:rsid w:val="42AA1E67"/>
    <w:rsid w:val="42AC3CC2"/>
    <w:rsid w:val="42AC80B3"/>
    <w:rsid w:val="42AD84BF"/>
    <w:rsid w:val="42B668F5"/>
    <w:rsid w:val="42C5B73E"/>
    <w:rsid w:val="42CC1CD5"/>
    <w:rsid w:val="42CE19D4"/>
    <w:rsid w:val="42D66073"/>
    <w:rsid w:val="42D80F3A"/>
    <w:rsid w:val="42DAEA9A"/>
    <w:rsid w:val="42DB1873"/>
    <w:rsid w:val="42DD7BD7"/>
    <w:rsid w:val="42E6C076"/>
    <w:rsid w:val="42ED062B"/>
    <w:rsid w:val="42EDB07D"/>
    <w:rsid w:val="42F0F583"/>
    <w:rsid w:val="42F1E6D3"/>
    <w:rsid w:val="42F8650C"/>
    <w:rsid w:val="42FDC74D"/>
    <w:rsid w:val="42FFB7D4"/>
    <w:rsid w:val="42FFE7AA"/>
    <w:rsid w:val="43019FD7"/>
    <w:rsid w:val="43025C57"/>
    <w:rsid w:val="4302E484"/>
    <w:rsid w:val="4307C842"/>
    <w:rsid w:val="4315E7F8"/>
    <w:rsid w:val="431C2FD3"/>
    <w:rsid w:val="431F589C"/>
    <w:rsid w:val="4330C470"/>
    <w:rsid w:val="433285A0"/>
    <w:rsid w:val="433C291F"/>
    <w:rsid w:val="433DA0B6"/>
    <w:rsid w:val="433FFDEB"/>
    <w:rsid w:val="43415CC5"/>
    <w:rsid w:val="434B13E9"/>
    <w:rsid w:val="4352F2D3"/>
    <w:rsid w:val="4353B8B7"/>
    <w:rsid w:val="435B8D17"/>
    <w:rsid w:val="435CA104"/>
    <w:rsid w:val="435CF05E"/>
    <w:rsid w:val="4361EB88"/>
    <w:rsid w:val="43627297"/>
    <w:rsid w:val="4363EAF5"/>
    <w:rsid w:val="43645F81"/>
    <w:rsid w:val="43650293"/>
    <w:rsid w:val="436F5FE5"/>
    <w:rsid w:val="43709850"/>
    <w:rsid w:val="4374AA63"/>
    <w:rsid w:val="4378F991"/>
    <w:rsid w:val="437BE02F"/>
    <w:rsid w:val="43822AF6"/>
    <w:rsid w:val="43833E07"/>
    <w:rsid w:val="4384C9BB"/>
    <w:rsid w:val="43893A5D"/>
    <w:rsid w:val="43933D3A"/>
    <w:rsid w:val="43976481"/>
    <w:rsid w:val="439C4A01"/>
    <w:rsid w:val="43AA22D5"/>
    <w:rsid w:val="43BB36BB"/>
    <w:rsid w:val="43C4178C"/>
    <w:rsid w:val="43D5343A"/>
    <w:rsid w:val="43D8682A"/>
    <w:rsid w:val="43DB3D32"/>
    <w:rsid w:val="43DC1BAD"/>
    <w:rsid w:val="43E3D375"/>
    <w:rsid w:val="43E491FD"/>
    <w:rsid w:val="43E61DAA"/>
    <w:rsid w:val="43E765D3"/>
    <w:rsid w:val="43EE29AF"/>
    <w:rsid w:val="43EEE5F2"/>
    <w:rsid w:val="43F48679"/>
    <w:rsid w:val="43F7A8FD"/>
    <w:rsid w:val="43FE6779"/>
    <w:rsid w:val="4408509F"/>
    <w:rsid w:val="4408EE1C"/>
    <w:rsid w:val="440BD980"/>
    <w:rsid w:val="440D515A"/>
    <w:rsid w:val="44120E41"/>
    <w:rsid w:val="44207D76"/>
    <w:rsid w:val="44207E37"/>
    <w:rsid w:val="442357EC"/>
    <w:rsid w:val="442487BD"/>
    <w:rsid w:val="442644BE"/>
    <w:rsid w:val="4426EA62"/>
    <w:rsid w:val="44284F22"/>
    <w:rsid w:val="442A3CC8"/>
    <w:rsid w:val="443992C9"/>
    <w:rsid w:val="44432EF7"/>
    <w:rsid w:val="4457C07C"/>
    <w:rsid w:val="4463BF2C"/>
    <w:rsid w:val="44663D92"/>
    <w:rsid w:val="4466BA89"/>
    <w:rsid w:val="446AE04D"/>
    <w:rsid w:val="446CB538"/>
    <w:rsid w:val="44701699"/>
    <w:rsid w:val="4472FC82"/>
    <w:rsid w:val="448290D7"/>
    <w:rsid w:val="4482A8F5"/>
    <w:rsid w:val="4485AB52"/>
    <w:rsid w:val="4485AFD7"/>
    <w:rsid w:val="448705B8"/>
    <w:rsid w:val="4490D9B5"/>
    <w:rsid w:val="4492D79C"/>
    <w:rsid w:val="44962005"/>
    <w:rsid w:val="449DD47C"/>
    <w:rsid w:val="44A40642"/>
    <w:rsid w:val="44B2C465"/>
    <w:rsid w:val="44BA2A5E"/>
    <w:rsid w:val="44BECA2E"/>
    <w:rsid w:val="44C15F31"/>
    <w:rsid w:val="44C50D3A"/>
    <w:rsid w:val="44CD2811"/>
    <w:rsid w:val="44CEBF57"/>
    <w:rsid w:val="44D330FC"/>
    <w:rsid w:val="44D3AF6C"/>
    <w:rsid w:val="44D536E2"/>
    <w:rsid w:val="44DE5D7A"/>
    <w:rsid w:val="44E33074"/>
    <w:rsid w:val="44E88FC7"/>
    <w:rsid w:val="44EE3BB7"/>
    <w:rsid w:val="44F2D076"/>
    <w:rsid w:val="44F2FC4C"/>
    <w:rsid w:val="44FF535E"/>
    <w:rsid w:val="45003C7D"/>
    <w:rsid w:val="4504519C"/>
    <w:rsid w:val="450A8074"/>
    <w:rsid w:val="450E4D9A"/>
    <w:rsid w:val="450F6C51"/>
    <w:rsid w:val="451B1876"/>
    <w:rsid w:val="451CEC98"/>
    <w:rsid w:val="451D9707"/>
    <w:rsid w:val="45209A1C"/>
    <w:rsid w:val="4520C62C"/>
    <w:rsid w:val="45235DBF"/>
    <w:rsid w:val="45237D74"/>
    <w:rsid w:val="45351213"/>
    <w:rsid w:val="453895D1"/>
    <w:rsid w:val="4544BF6A"/>
    <w:rsid w:val="454E978B"/>
    <w:rsid w:val="4558F59B"/>
    <w:rsid w:val="4559751A"/>
    <w:rsid w:val="455AB850"/>
    <w:rsid w:val="455C3853"/>
    <w:rsid w:val="4562CB62"/>
    <w:rsid w:val="45684448"/>
    <w:rsid w:val="456D9738"/>
    <w:rsid w:val="4577A4E0"/>
    <w:rsid w:val="457DF9E6"/>
    <w:rsid w:val="4587DB64"/>
    <w:rsid w:val="458AFD22"/>
    <w:rsid w:val="458CD854"/>
    <w:rsid w:val="45A390C7"/>
    <w:rsid w:val="45A4914A"/>
    <w:rsid w:val="45B46749"/>
    <w:rsid w:val="45B63947"/>
    <w:rsid w:val="45BCF80C"/>
    <w:rsid w:val="45BF49D6"/>
    <w:rsid w:val="45C35F8C"/>
    <w:rsid w:val="45C393E0"/>
    <w:rsid w:val="45C91EDE"/>
    <w:rsid w:val="45C9DA9E"/>
    <w:rsid w:val="45CA2605"/>
    <w:rsid w:val="45D387A3"/>
    <w:rsid w:val="45D6D679"/>
    <w:rsid w:val="45E8832B"/>
    <w:rsid w:val="45F04A65"/>
    <w:rsid w:val="45F2EB52"/>
    <w:rsid w:val="46040654"/>
    <w:rsid w:val="4606BEFA"/>
    <w:rsid w:val="460AC772"/>
    <w:rsid w:val="46111D71"/>
    <w:rsid w:val="4611257E"/>
    <w:rsid w:val="46134850"/>
    <w:rsid w:val="4614CFCA"/>
    <w:rsid w:val="4621D8D3"/>
    <w:rsid w:val="4624B543"/>
    <w:rsid w:val="462A7F4E"/>
    <w:rsid w:val="462D12A2"/>
    <w:rsid w:val="463310C0"/>
    <w:rsid w:val="463D442A"/>
    <w:rsid w:val="463E7B9E"/>
    <w:rsid w:val="463EE05D"/>
    <w:rsid w:val="46405B0E"/>
    <w:rsid w:val="46417BC3"/>
    <w:rsid w:val="4648948F"/>
    <w:rsid w:val="464B7F90"/>
    <w:rsid w:val="464EB3B2"/>
    <w:rsid w:val="46558285"/>
    <w:rsid w:val="465BFA96"/>
    <w:rsid w:val="46669173"/>
    <w:rsid w:val="466E4369"/>
    <w:rsid w:val="4671292D"/>
    <w:rsid w:val="4674E9B1"/>
    <w:rsid w:val="46788A0E"/>
    <w:rsid w:val="467F6C66"/>
    <w:rsid w:val="4683898D"/>
    <w:rsid w:val="4689B591"/>
    <w:rsid w:val="468A7C85"/>
    <w:rsid w:val="468AD0FF"/>
    <w:rsid w:val="468EB34C"/>
    <w:rsid w:val="46912300"/>
    <w:rsid w:val="46933EC8"/>
    <w:rsid w:val="4694D51B"/>
    <w:rsid w:val="46988212"/>
    <w:rsid w:val="469B9840"/>
    <w:rsid w:val="46A47E02"/>
    <w:rsid w:val="46A49363"/>
    <w:rsid w:val="46AF1D88"/>
    <w:rsid w:val="46AF4AA0"/>
    <w:rsid w:val="46AF5DBA"/>
    <w:rsid w:val="46B2B236"/>
    <w:rsid w:val="46B492BB"/>
    <w:rsid w:val="46B83612"/>
    <w:rsid w:val="46BC6A7D"/>
    <w:rsid w:val="46BDBF0E"/>
    <w:rsid w:val="46D6B313"/>
    <w:rsid w:val="46D6D0B6"/>
    <w:rsid w:val="46E5717C"/>
    <w:rsid w:val="46ED8799"/>
    <w:rsid w:val="46EDB260"/>
    <w:rsid w:val="46F05CC0"/>
    <w:rsid w:val="46FFB74D"/>
    <w:rsid w:val="470C78B6"/>
    <w:rsid w:val="47140155"/>
    <w:rsid w:val="47151BA2"/>
    <w:rsid w:val="471749CF"/>
    <w:rsid w:val="47174A2B"/>
    <w:rsid w:val="471A1814"/>
    <w:rsid w:val="471C680D"/>
    <w:rsid w:val="471D7CC7"/>
    <w:rsid w:val="471E0C69"/>
    <w:rsid w:val="471EAAB4"/>
    <w:rsid w:val="47223641"/>
    <w:rsid w:val="4723DB66"/>
    <w:rsid w:val="4724E272"/>
    <w:rsid w:val="47296DDE"/>
    <w:rsid w:val="472DBB3E"/>
    <w:rsid w:val="473F761D"/>
    <w:rsid w:val="473F9930"/>
    <w:rsid w:val="4744765C"/>
    <w:rsid w:val="474C4C22"/>
    <w:rsid w:val="4750B9DB"/>
    <w:rsid w:val="47533635"/>
    <w:rsid w:val="4757716A"/>
    <w:rsid w:val="47587AEA"/>
    <w:rsid w:val="475DAAEA"/>
    <w:rsid w:val="47672CA1"/>
    <w:rsid w:val="4769EB1A"/>
    <w:rsid w:val="4775798F"/>
    <w:rsid w:val="47768327"/>
    <w:rsid w:val="47828115"/>
    <w:rsid w:val="478D00E8"/>
    <w:rsid w:val="478F3773"/>
    <w:rsid w:val="4790126A"/>
    <w:rsid w:val="479A382B"/>
    <w:rsid w:val="479EC564"/>
    <w:rsid w:val="47A03D73"/>
    <w:rsid w:val="47A2385C"/>
    <w:rsid w:val="47A72BF1"/>
    <w:rsid w:val="47AB9A33"/>
    <w:rsid w:val="47AF18B1"/>
    <w:rsid w:val="47B2F4FC"/>
    <w:rsid w:val="47BAAE75"/>
    <w:rsid w:val="47BBF81F"/>
    <w:rsid w:val="47BD4C14"/>
    <w:rsid w:val="47BD64C8"/>
    <w:rsid w:val="47C66D6B"/>
    <w:rsid w:val="47C948AB"/>
    <w:rsid w:val="47C9AA28"/>
    <w:rsid w:val="47D132E5"/>
    <w:rsid w:val="47D42A9E"/>
    <w:rsid w:val="47D53813"/>
    <w:rsid w:val="47D81433"/>
    <w:rsid w:val="47D81F45"/>
    <w:rsid w:val="47DAB0CD"/>
    <w:rsid w:val="47DC51C5"/>
    <w:rsid w:val="47E12635"/>
    <w:rsid w:val="47E886D3"/>
    <w:rsid w:val="47EA00BD"/>
    <w:rsid w:val="47EB1D9C"/>
    <w:rsid w:val="47EEDF57"/>
    <w:rsid w:val="47F222CA"/>
    <w:rsid w:val="47FBC928"/>
    <w:rsid w:val="480DEF79"/>
    <w:rsid w:val="4811F53B"/>
    <w:rsid w:val="48267BE8"/>
    <w:rsid w:val="48349574"/>
    <w:rsid w:val="4837B524"/>
    <w:rsid w:val="48425332"/>
    <w:rsid w:val="484BA137"/>
    <w:rsid w:val="485184E7"/>
    <w:rsid w:val="485692C7"/>
    <w:rsid w:val="485A46D3"/>
    <w:rsid w:val="485E651A"/>
    <w:rsid w:val="486466CA"/>
    <w:rsid w:val="4869B334"/>
    <w:rsid w:val="486C1215"/>
    <w:rsid w:val="486F166D"/>
    <w:rsid w:val="486F87E7"/>
    <w:rsid w:val="48777CEE"/>
    <w:rsid w:val="487AF487"/>
    <w:rsid w:val="48805E89"/>
    <w:rsid w:val="488522ED"/>
    <w:rsid w:val="488F3C84"/>
    <w:rsid w:val="48922563"/>
    <w:rsid w:val="48964C01"/>
    <w:rsid w:val="4897FD75"/>
    <w:rsid w:val="489CBFE8"/>
    <w:rsid w:val="48A00798"/>
    <w:rsid w:val="48A42913"/>
    <w:rsid w:val="48A4A5D6"/>
    <w:rsid w:val="48A639D2"/>
    <w:rsid w:val="48A64D20"/>
    <w:rsid w:val="48AF1546"/>
    <w:rsid w:val="48B2B689"/>
    <w:rsid w:val="48BAA53A"/>
    <w:rsid w:val="48BCBC47"/>
    <w:rsid w:val="48C47A8F"/>
    <w:rsid w:val="48CB5AA3"/>
    <w:rsid w:val="48CC69DB"/>
    <w:rsid w:val="48D12E5C"/>
    <w:rsid w:val="48D6175F"/>
    <w:rsid w:val="48D781B7"/>
    <w:rsid w:val="48DC6175"/>
    <w:rsid w:val="48F16386"/>
    <w:rsid w:val="48F25711"/>
    <w:rsid w:val="48F45AE2"/>
    <w:rsid w:val="48FE9C5B"/>
    <w:rsid w:val="48FED881"/>
    <w:rsid w:val="49015EA0"/>
    <w:rsid w:val="49051870"/>
    <w:rsid w:val="490861E2"/>
    <w:rsid w:val="4908F85F"/>
    <w:rsid w:val="490B2156"/>
    <w:rsid w:val="490D2048"/>
    <w:rsid w:val="49125A54"/>
    <w:rsid w:val="4914FE7C"/>
    <w:rsid w:val="49165C8A"/>
    <w:rsid w:val="49184160"/>
    <w:rsid w:val="491BB25D"/>
    <w:rsid w:val="491F6891"/>
    <w:rsid w:val="492091F6"/>
    <w:rsid w:val="493B2CEC"/>
    <w:rsid w:val="49460131"/>
    <w:rsid w:val="4948E400"/>
    <w:rsid w:val="494DF3D4"/>
    <w:rsid w:val="4950D972"/>
    <w:rsid w:val="49510114"/>
    <w:rsid w:val="49528287"/>
    <w:rsid w:val="4952EC94"/>
    <w:rsid w:val="49554D19"/>
    <w:rsid w:val="495BFB81"/>
    <w:rsid w:val="495C834A"/>
    <w:rsid w:val="495D5CEF"/>
    <w:rsid w:val="495EE2A0"/>
    <w:rsid w:val="49648563"/>
    <w:rsid w:val="496687BB"/>
    <w:rsid w:val="496D46D9"/>
    <w:rsid w:val="49734FE9"/>
    <w:rsid w:val="4974EA5D"/>
    <w:rsid w:val="4979EDA0"/>
    <w:rsid w:val="4985897B"/>
    <w:rsid w:val="498757C6"/>
    <w:rsid w:val="498BE5DF"/>
    <w:rsid w:val="498C10E3"/>
    <w:rsid w:val="498F7D73"/>
    <w:rsid w:val="49912640"/>
    <w:rsid w:val="4999F309"/>
    <w:rsid w:val="499A6389"/>
    <w:rsid w:val="499B77D4"/>
    <w:rsid w:val="499CF3B4"/>
    <w:rsid w:val="49A83B14"/>
    <w:rsid w:val="49ACE16B"/>
    <w:rsid w:val="49B592D7"/>
    <w:rsid w:val="49B738DA"/>
    <w:rsid w:val="49B7D10D"/>
    <w:rsid w:val="49B808A4"/>
    <w:rsid w:val="49BBAE2E"/>
    <w:rsid w:val="49BD97AD"/>
    <w:rsid w:val="49BF42A5"/>
    <w:rsid w:val="49C21C7A"/>
    <w:rsid w:val="49C99F05"/>
    <w:rsid w:val="49C9B93A"/>
    <w:rsid w:val="49CB6D3A"/>
    <w:rsid w:val="49CBA526"/>
    <w:rsid w:val="49CD3FD8"/>
    <w:rsid w:val="49D52E4E"/>
    <w:rsid w:val="49DD7098"/>
    <w:rsid w:val="49E31A14"/>
    <w:rsid w:val="4A005484"/>
    <w:rsid w:val="4A0355E2"/>
    <w:rsid w:val="4A0D83E4"/>
    <w:rsid w:val="4A0D9A18"/>
    <w:rsid w:val="4A12417C"/>
    <w:rsid w:val="4A13BE3C"/>
    <w:rsid w:val="4A150FF6"/>
    <w:rsid w:val="4A192447"/>
    <w:rsid w:val="4A1A5E09"/>
    <w:rsid w:val="4A1A9F97"/>
    <w:rsid w:val="4A22D4F1"/>
    <w:rsid w:val="4A2640F9"/>
    <w:rsid w:val="4A29C461"/>
    <w:rsid w:val="4A30462F"/>
    <w:rsid w:val="4A305EDE"/>
    <w:rsid w:val="4A30F3AA"/>
    <w:rsid w:val="4A31A4C3"/>
    <w:rsid w:val="4A38C2AF"/>
    <w:rsid w:val="4A3CA3BB"/>
    <w:rsid w:val="4A41D9DE"/>
    <w:rsid w:val="4A49D981"/>
    <w:rsid w:val="4A4B151C"/>
    <w:rsid w:val="4A576B83"/>
    <w:rsid w:val="4A6D1D12"/>
    <w:rsid w:val="4A75094D"/>
    <w:rsid w:val="4A872D07"/>
    <w:rsid w:val="4A8DCAA0"/>
    <w:rsid w:val="4A8DCF39"/>
    <w:rsid w:val="4A8F6830"/>
    <w:rsid w:val="4A92AF3C"/>
    <w:rsid w:val="4A94F2A1"/>
    <w:rsid w:val="4A98D46F"/>
    <w:rsid w:val="4A99E253"/>
    <w:rsid w:val="4AA02D7F"/>
    <w:rsid w:val="4AA0F90A"/>
    <w:rsid w:val="4AA40672"/>
    <w:rsid w:val="4AA66658"/>
    <w:rsid w:val="4ABB86EE"/>
    <w:rsid w:val="4AC628E2"/>
    <w:rsid w:val="4ACC1B27"/>
    <w:rsid w:val="4ACCE230"/>
    <w:rsid w:val="4ACD20DD"/>
    <w:rsid w:val="4ACE59A3"/>
    <w:rsid w:val="4AD0C485"/>
    <w:rsid w:val="4AD268C7"/>
    <w:rsid w:val="4ADF8524"/>
    <w:rsid w:val="4AE2F872"/>
    <w:rsid w:val="4AE34A21"/>
    <w:rsid w:val="4AE6B973"/>
    <w:rsid w:val="4AE9C3E5"/>
    <w:rsid w:val="4AEBD182"/>
    <w:rsid w:val="4AEBD2ED"/>
    <w:rsid w:val="4AEC6154"/>
    <w:rsid w:val="4AF37B42"/>
    <w:rsid w:val="4AF61EA5"/>
    <w:rsid w:val="4AF8D73C"/>
    <w:rsid w:val="4B05FBF5"/>
    <w:rsid w:val="4B0A2225"/>
    <w:rsid w:val="4B17AD7F"/>
    <w:rsid w:val="4B18B637"/>
    <w:rsid w:val="4B24D75E"/>
    <w:rsid w:val="4B29596D"/>
    <w:rsid w:val="4B2B4557"/>
    <w:rsid w:val="4B2F919F"/>
    <w:rsid w:val="4B325C93"/>
    <w:rsid w:val="4B35A232"/>
    <w:rsid w:val="4B394071"/>
    <w:rsid w:val="4B3A9FA1"/>
    <w:rsid w:val="4B46F220"/>
    <w:rsid w:val="4B4701F4"/>
    <w:rsid w:val="4B475195"/>
    <w:rsid w:val="4B4841A0"/>
    <w:rsid w:val="4B4E2A42"/>
    <w:rsid w:val="4B4EF439"/>
    <w:rsid w:val="4B541EF4"/>
    <w:rsid w:val="4B669904"/>
    <w:rsid w:val="4B68099B"/>
    <w:rsid w:val="4B6A6E51"/>
    <w:rsid w:val="4B6EEA55"/>
    <w:rsid w:val="4B7DE48A"/>
    <w:rsid w:val="4B8285E1"/>
    <w:rsid w:val="4B83813C"/>
    <w:rsid w:val="4B87C5B4"/>
    <w:rsid w:val="4B97FB60"/>
    <w:rsid w:val="4B9EBBD7"/>
    <w:rsid w:val="4BA0D635"/>
    <w:rsid w:val="4BA333A2"/>
    <w:rsid w:val="4BA504A5"/>
    <w:rsid w:val="4BAE9939"/>
    <w:rsid w:val="4BB3335C"/>
    <w:rsid w:val="4BB340F2"/>
    <w:rsid w:val="4BCE9734"/>
    <w:rsid w:val="4BCF7600"/>
    <w:rsid w:val="4BD23180"/>
    <w:rsid w:val="4BDDEF16"/>
    <w:rsid w:val="4BDF59C8"/>
    <w:rsid w:val="4BEFFDF8"/>
    <w:rsid w:val="4BF4C475"/>
    <w:rsid w:val="4BFD9C72"/>
    <w:rsid w:val="4C001A07"/>
    <w:rsid w:val="4C074978"/>
    <w:rsid w:val="4C0A3CA1"/>
    <w:rsid w:val="4C159EEE"/>
    <w:rsid w:val="4C1AFDAD"/>
    <w:rsid w:val="4C1BBCEC"/>
    <w:rsid w:val="4C26EA98"/>
    <w:rsid w:val="4C2862EA"/>
    <w:rsid w:val="4C2E7F9D"/>
    <w:rsid w:val="4C33CFD8"/>
    <w:rsid w:val="4C33D1CF"/>
    <w:rsid w:val="4C34AB8D"/>
    <w:rsid w:val="4C35784E"/>
    <w:rsid w:val="4C35F14E"/>
    <w:rsid w:val="4C3CB932"/>
    <w:rsid w:val="4C3CC96B"/>
    <w:rsid w:val="4C448824"/>
    <w:rsid w:val="4C48174B"/>
    <w:rsid w:val="4C4FACDF"/>
    <w:rsid w:val="4C4FF9E9"/>
    <w:rsid w:val="4C537C28"/>
    <w:rsid w:val="4C537C3F"/>
    <w:rsid w:val="4C5E5C68"/>
    <w:rsid w:val="4C61219E"/>
    <w:rsid w:val="4C6C41F5"/>
    <w:rsid w:val="4C726959"/>
    <w:rsid w:val="4C75428D"/>
    <w:rsid w:val="4C76D9C6"/>
    <w:rsid w:val="4C788D6D"/>
    <w:rsid w:val="4C797A89"/>
    <w:rsid w:val="4C7C461C"/>
    <w:rsid w:val="4C802841"/>
    <w:rsid w:val="4C829260"/>
    <w:rsid w:val="4C86D5C9"/>
    <w:rsid w:val="4C87A1E3"/>
    <w:rsid w:val="4C9CB022"/>
    <w:rsid w:val="4CA98D6F"/>
    <w:rsid w:val="4CABE63D"/>
    <w:rsid w:val="4CABF6C9"/>
    <w:rsid w:val="4CB2989F"/>
    <w:rsid w:val="4CBA988A"/>
    <w:rsid w:val="4CBED09A"/>
    <w:rsid w:val="4CCC854B"/>
    <w:rsid w:val="4CD6874E"/>
    <w:rsid w:val="4CDCD2D2"/>
    <w:rsid w:val="4CDEB876"/>
    <w:rsid w:val="4CE14A35"/>
    <w:rsid w:val="4CE479BD"/>
    <w:rsid w:val="4CE9C172"/>
    <w:rsid w:val="4CEFB045"/>
    <w:rsid w:val="4CFB4C9F"/>
    <w:rsid w:val="4CFB7CE0"/>
    <w:rsid w:val="4D004CCD"/>
    <w:rsid w:val="4D0078B5"/>
    <w:rsid w:val="4D12A38A"/>
    <w:rsid w:val="4D1528D7"/>
    <w:rsid w:val="4D1AFD99"/>
    <w:rsid w:val="4D1F11BF"/>
    <w:rsid w:val="4D293603"/>
    <w:rsid w:val="4D2A65F0"/>
    <w:rsid w:val="4D326BE8"/>
    <w:rsid w:val="4D33D7A2"/>
    <w:rsid w:val="4D3B25B8"/>
    <w:rsid w:val="4D502B4E"/>
    <w:rsid w:val="4D54CEB8"/>
    <w:rsid w:val="4D5B43FE"/>
    <w:rsid w:val="4D6ADB2B"/>
    <w:rsid w:val="4D734D21"/>
    <w:rsid w:val="4D8454ED"/>
    <w:rsid w:val="4D91A365"/>
    <w:rsid w:val="4DA04044"/>
    <w:rsid w:val="4DA339D9"/>
    <w:rsid w:val="4DA478A4"/>
    <w:rsid w:val="4DADA501"/>
    <w:rsid w:val="4DB35A78"/>
    <w:rsid w:val="4DB5BFEC"/>
    <w:rsid w:val="4DB6805F"/>
    <w:rsid w:val="4DBA2EDE"/>
    <w:rsid w:val="4DBA60AF"/>
    <w:rsid w:val="4DBAFC79"/>
    <w:rsid w:val="4DCA1ED5"/>
    <w:rsid w:val="4DCEC30E"/>
    <w:rsid w:val="4DD0CB48"/>
    <w:rsid w:val="4DD11835"/>
    <w:rsid w:val="4DD4B23C"/>
    <w:rsid w:val="4DD5B565"/>
    <w:rsid w:val="4DD88506"/>
    <w:rsid w:val="4DE873F2"/>
    <w:rsid w:val="4DEAD9DE"/>
    <w:rsid w:val="4DEBDA47"/>
    <w:rsid w:val="4DEC0402"/>
    <w:rsid w:val="4E02F731"/>
    <w:rsid w:val="4E048E1F"/>
    <w:rsid w:val="4E08CDA0"/>
    <w:rsid w:val="4E13653B"/>
    <w:rsid w:val="4E144A42"/>
    <w:rsid w:val="4E1786FC"/>
    <w:rsid w:val="4E1837E5"/>
    <w:rsid w:val="4E1ABD48"/>
    <w:rsid w:val="4E20E28E"/>
    <w:rsid w:val="4E2278BD"/>
    <w:rsid w:val="4E23668F"/>
    <w:rsid w:val="4E24DD5F"/>
    <w:rsid w:val="4E25F032"/>
    <w:rsid w:val="4E29BE3C"/>
    <w:rsid w:val="4E38A035"/>
    <w:rsid w:val="4E397ED3"/>
    <w:rsid w:val="4E4715D4"/>
    <w:rsid w:val="4E471BF4"/>
    <w:rsid w:val="4E4843C7"/>
    <w:rsid w:val="4E531DF6"/>
    <w:rsid w:val="4E5737BE"/>
    <w:rsid w:val="4E5BF3C2"/>
    <w:rsid w:val="4E5D538F"/>
    <w:rsid w:val="4E5FD0D1"/>
    <w:rsid w:val="4E66373C"/>
    <w:rsid w:val="4E6F7450"/>
    <w:rsid w:val="4E6FBE13"/>
    <w:rsid w:val="4E7207A8"/>
    <w:rsid w:val="4E78C550"/>
    <w:rsid w:val="4E7B6F6B"/>
    <w:rsid w:val="4E864DC6"/>
    <w:rsid w:val="4E8DC06F"/>
    <w:rsid w:val="4E8F8224"/>
    <w:rsid w:val="4E91F566"/>
    <w:rsid w:val="4E9CA19C"/>
    <w:rsid w:val="4E9CA93C"/>
    <w:rsid w:val="4E9EB8C3"/>
    <w:rsid w:val="4EA82B3E"/>
    <w:rsid w:val="4EAA248D"/>
    <w:rsid w:val="4EAC0E85"/>
    <w:rsid w:val="4EAC56F3"/>
    <w:rsid w:val="4EAEBBDF"/>
    <w:rsid w:val="4EAEE83E"/>
    <w:rsid w:val="4EB5D0DE"/>
    <w:rsid w:val="4EB73EC7"/>
    <w:rsid w:val="4EB9B042"/>
    <w:rsid w:val="4EC4D94D"/>
    <w:rsid w:val="4EC73CD2"/>
    <w:rsid w:val="4EC7E6AA"/>
    <w:rsid w:val="4ECE0FF6"/>
    <w:rsid w:val="4ECF5254"/>
    <w:rsid w:val="4ECFD204"/>
    <w:rsid w:val="4ED081E7"/>
    <w:rsid w:val="4ED1334A"/>
    <w:rsid w:val="4ED2C793"/>
    <w:rsid w:val="4ED93E3F"/>
    <w:rsid w:val="4EDD2258"/>
    <w:rsid w:val="4EDD495A"/>
    <w:rsid w:val="4EE2B25C"/>
    <w:rsid w:val="4EEA4B23"/>
    <w:rsid w:val="4EECC1DA"/>
    <w:rsid w:val="4EF65C01"/>
    <w:rsid w:val="4F054FB7"/>
    <w:rsid w:val="4F0D1F18"/>
    <w:rsid w:val="4F0F7F46"/>
    <w:rsid w:val="4F14B455"/>
    <w:rsid w:val="4F16AE24"/>
    <w:rsid w:val="4F16B47C"/>
    <w:rsid w:val="4F1E6B34"/>
    <w:rsid w:val="4F2B73D1"/>
    <w:rsid w:val="4F347FAC"/>
    <w:rsid w:val="4F3FBA5F"/>
    <w:rsid w:val="4F47B10F"/>
    <w:rsid w:val="4F4C9AFB"/>
    <w:rsid w:val="4F5F88F4"/>
    <w:rsid w:val="4F6427EC"/>
    <w:rsid w:val="4F676859"/>
    <w:rsid w:val="4F6B38F2"/>
    <w:rsid w:val="4F769CD5"/>
    <w:rsid w:val="4F8C0776"/>
    <w:rsid w:val="4FA0959A"/>
    <w:rsid w:val="4FA59B15"/>
    <w:rsid w:val="4FA905BB"/>
    <w:rsid w:val="4FAB59C6"/>
    <w:rsid w:val="4FBC69B0"/>
    <w:rsid w:val="4FBDEC5A"/>
    <w:rsid w:val="4FBF42A5"/>
    <w:rsid w:val="4FC319AE"/>
    <w:rsid w:val="4FD856AF"/>
    <w:rsid w:val="4FDD921F"/>
    <w:rsid w:val="4FE5984F"/>
    <w:rsid w:val="4FE742FD"/>
    <w:rsid w:val="4FF63074"/>
    <w:rsid w:val="4FF7E337"/>
    <w:rsid w:val="5000CAA7"/>
    <w:rsid w:val="500894A7"/>
    <w:rsid w:val="500A783E"/>
    <w:rsid w:val="501447F5"/>
    <w:rsid w:val="5019F86A"/>
    <w:rsid w:val="501A591C"/>
    <w:rsid w:val="501B275F"/>
    <w:rsid w:val="50224492"/>
    <w:rsid w:val="5023DFD7"/>
    <w:rsid w:val="5026D8F0"/>
    <w:rsid w:val="502860B1"/>
    <w:rsid w:val="5035A14C"/>
    <w:rsid w:val="5036E391"/>
    <w:rsid w:val="503871FD"/>
    <w:rsid w:val="5038C167"/>
    <w:rsid w:val="503CED40"/>
    <w:rsid w:val="503FEF77"/>
    <w:rsid w:val="5043AC0A"/>
    <w:rsid w:val="50467462"/>
    <w:rsid w:val="5053BFE4"/>
    <w:rsid w:val="5053CCCA"/>
    <w:rsid w:val="50558FFF"/>
    <w:rsid w:val="506ECE64"/>
    <w:rsid w:val="50769828"/>
    <w:rsid w:val="50814714"/>
    <w:rsid w:val="508CAAFF"/>
    <w:rsid w:val="508F7C27"/>
    <w:rsid w:val="50910BB5"/>
    <w:rsid w:val="5092D530"/>
    <w:rsid w:val="509B373A"/>
    <w:rsid w:val="50A8198E"/>
    <w:rsid w:val="50A93F63"/>
    <w:rsid w:val="50ABE8D8"/>
    <w:rsid w:val="50AED651"/>
    <w:rsid w:val="50B5F1CC"/>
    <w:rsid w:val="50BEBB3A"/>
    <w:rsid w:val="50CD5E8D"/>
    <w:rsid w:val="50CE44CF"/>
    <w:rsid w:val="50D69A65"/>
    <w:rsid w:val="50DAF782"/>
    <w:rsid w:val="50DB892B"/>
    <w:rsid w:val="50DCAE36"/>
    <w:rsid w:val="50DDD48A"/>
    <w:rsid w:val="50DEFA3C"/>
    <w:rsid w:val="50E1FF94"/>
    <w:rsid w:val="50E2939C"/>
    <w:rsid w:val="50E70809"/>
    <w:rsid w:val="50EC4E5C"/>
    <w:rsid w:val="50EE90E8"/>
    <w:rsid w:val="50EF724B"/>
    <w:rsid w:val="50F2841B"/>
    <w:rsid w:val="50F712F0"/>
    <w:rsid w:val="510B241A"/>
    <w:rsid w:val="51116FDF"/>
    <w:rsid w:val="5111BC09"/>
    <w:rsid w:val="51160473"/>
    <w:rsid w:val="51164EAA"/>
    <w:rsid w:val="51170B97"/>
    <w:rsid w:val="511B415F"/>
    <w:rsid w:val="511C3B4A"/>
    <w:rsid w:val="511DB6BF"/>
    <w:rsid w:val="5122A6BB"/>
    <w:rsid w:val="512C063C"/>
    <w:rsid w:val="51328604"/>
    <w:rsid w:val="51391E5C"/>
    <w:rsid w:val="513CFDB6"/>
    <w:rsid w:val="5141FC35"/>
    <w:rsid w:val="514783B8"/>
    <w:rsid w:val="514AB0EA"/>
    <w:rsid w:val="514FA5CF"/>
    <w:rsid w:val="51524180"/>
    <w:rsid w:val="515DFE79"/>
    <w:rsid w:val="51648C9C"/>
    <w:rsid w:val="51685075"/>
    <w:rsid w:val="516A2531"/>
    <w:rsid w:val="516AA166"/>
    <w:rsid w:val="516F5556"/>
    <w:rsid w:val="517FAEAD"/>
    <w:rsid w:val="51807F48"/>
    <w:rsid w:val="518203B6"/>
    <w:rsid w:val="518BFB38"/>
    <w:rsid w:val="5192742F"/>
    <w:rsid w:val="5195EE49"/>
    <w:rsid w:val="51965F79"/>
    <w:rsid w:val="51977238"/>
    <w:rsid w:val="519E3B99"/>
    <w:rsid w:val="51A60904"/>
    <w:rsid w:val="51A6E5FF"/>
    <w:rsid w:val="51A96F09"/>
    <w:rsid w:val="51B0327B"/>
    <w:rsid w:val="51B7DE6E"/>
    <w:rsid w:val="51BA6E84"/>
    <w:rsid w:val="51C630F3"/>
    <w:rsid w:val="51CAC319"/>
    <w:rsid w:val="51CE2E70"/>
    <w:rsid w:val="51CE67A7"/>
    <w:rsid w:val="51CF9650"/>
    <w:rsid w:val="51D36152"/>
    <w:rsid w:val="51D80185"/>
    <w:rsid w:val="51DB3225"/>
    <w:rsid w:val="51DC86A3"/>
    <w:rsid w:val="51DF5DE9"/>
    <w:rsid w:val="51E3C5EE"/>
    <w:rsid w:val="51E45D5D"/>
    <w:rsid w:val="51E54B5F"/>
    <w:rsid w:val="51E6297B"/>
    <w:rsid w:val="51E7ADFA"/>
    <w:rsid w:val="51EA74F3"/>
    <w:rsid w:val="51F2FF3E"/>
    <w:rsid w:val="51FFED43"/>
    <w:rsid w:val="520064D5"/>
    <w:rsid w:val="520807FC"/>
    <w:rsid w:val="520A1155"/>
    <w:rsid w:val="520AD24B"/>
    <w:rsid w:val="5215E2EC"/>
    <w:rsid w:val="521B29D5"/>
    <w:rsid w:val="521EEC8B"/>
    <w:rsid w:val="522A4E5F"/>
    <w:rsid w:val="522B1826"/>
    <w:rsid w:val="52313A9F"/>
    <w:rsid w:val="52359A3D"/>
    <w:rsid w:val="523FF67B"/>
    <w:rsid w:val="52453060"/>
    <w:rsid w:val="524F3297"/>
    <w:rsid w:val="525014B4"/>
    <w:rsid w:val="52553D05"/>
    <w:rsid w:val="525745F4"/>
    <w:rsid w:val="5257720D"/>
    <w:rsid w:val="525C96CD"/>
    <w:rsid w:val="525DFD6F"/>
    <w:rsid w:val="52647B3B"/>
    <w:rsid w:val="5268232D"/>
    <w:rsid w:val="52766F65"/>
    <w:rsid w:val="52787E97"/>
    <w:rsid w:val="527C49C8"/>
    <w:rsid w:val="527FF98C"/>
    <w:rsid w:val="5280A872"/>
    <w:rsid w:val="52870B33"/>
    <w:rsid w:val="5292125F"/>
    <w:rsid w:val="529472DB"/>
    <w:rsid w:val="529615DC"/>
    <w:rsid w:val="529B0A57"/>
    <w:rsid w:val="52A3BCCD"/>
    <w:rsid w:val="52A45ADB"/>
    <w:rsid w:val="52A4DB85"/>
    <w:rsid w:val="52A64C90"/>
    <w:rsid w:val="52A98C07"/>
    <w:rsid w:val="52ACDAA4"/>
    <w:rsid w:val="52AF2A89"/>
    <w:rsid w:val="52B1C454"/>
    <w:rsid w:val="52B27067"/>
    <w:rsid w:val="52B6628A"/>
    <w:rsid w:val="52BACE15"/>
    <w:rsid w:val="52BF58FE"/>
    <w:rsid w:val="52BF857D"/>
    <w:rsid w:val="52C96F0E"/>
    <w:rsid w:val="52D0FB58"/>
    <w:rsid w:val="52D47A45"/>
    <w:rsid w:val="52D50BE6"/>
    <w:rsid w:val="52D60027"/>
    <w:rsid w:val="52DA2BDE"/>
    <w:rsid w:val="52DAAC81"/>
    <w:rsid w:val="52DF23D1"/>
    <w:rsid w:val="52E02BAE"/>
    <w:rsid w:val="52E696E8"/>
    <w:rsid w:val="52FA2C6A"/>
    <w:rsid w:val="52FA5CF0"/>
    <w:rsid w:val="53017DA3"/>
    <w:rsid w:val="53057989"/>
    <w:rsid w:val="53100BC4"/>
    <w:rsid w:val="53151029"/>
    <w:rsid w:val="53179633"/>
    <w:rsid w:val="531D25EB"/>
    <w:rsid w:val="531EBB06"/>
    <w:rsid w:val="53290ADE"/>
    <w:rsid w:val="53292BEF"/>
    <w:rsid w:val="532D4C71"/>
    <w:rsid w:val="532E701A"/>
    <w:rsid w:val="53339E14"/>
    <w:rsid w:val="53384E9E"/>
    <w:rsid w:val="533CD429"/>
    <w:rsid w:val="533E20C4"/>
    <w:rsid w:val="533EC0A1"/>
    <w:rsid w:val="534687C1"/>
    <w:rsid w:val="534A5917"/>
    <w:rsid w:val="534B039E"/>
    <w:rsid w:val="534EA109"/>
    <w:rsid w:val="535260F9"/>
    <w:rsid w:val="535504C8"/>
    <w:rsid w:val="535BB548"/>
    <w:rsid w:val="535DE661"/>
    <w:rsid w:val="535FA4B9"/>
    <w:rsid w:val="53681426"/>
    <w:rsid w:val="5368C791"/>
    <w:rsid w:val="536A8B76"/>
    <w:rsid w:val="536EB08E"/>
    <w:rsid w:val="537006D7"/>
    <w:rsid w:val="537C5B55"/>
    <w:rsid w:val="537E5239"/>
    <w:rsid w:val="538094EE"/>
    <w:rsid w:val="5380EDFE"/>
    <w:rsid w:val="5383976E"/>
    <w:rsid w:val="5384A986"/>
    <w:rsid w:val="5389C570"/>
    <w:rsid w:val="539B3461"/>
    <w:rsid w:val="539D59D4"/>
    <w:rsid w:val="53A1593F"/>
    <w:rsid w:val="53A3D85D"/>
    <w:rsid w:val="53A5E93D"/>
    <w:rsid w:val="53A9B573"/>
    <w:rsid w:val="53AC80BA"/>
    <w:rsid w:val="53B4494A"/>
    <w:rsid w:val="53BD4DAA"/>
    <w:rsid w:val="53CAFC0F"/>
    <w:rsid w:val="53CB6DDB"/>
    <w:rsid w:val="53D11A31"/>
    <w:rsid w:val="53D9D947"/>
    <w:rsid w:val="53DE2653"/>
    <w:rsid w:val="53EEF068"/>
    <w:rsid w:val="53F72C0B"/>
    <w:rsid w:val="53FD8E7B"/>
    <w:rsid w:val="5408FD56"/>
    <w:rsid w:val="540A14BD"/>
    <w:rsid w:val="540A842F"/>
    <w:rsid w:val="540B71F2"/>
    <w:rsid w:val="54101D63"/>
    <w:rsid w:val="5410623D"/>
    <w:rsid w:val="5411F8B2"/>
    <w:rsid w:val="54135144"/>
    <w:rsid w:val="54184293"/>
    <w:rsid w:val="541CE685"/>
    <w:rsid w:val="5421B55A"/>
    <w:rsid w:val="54240648"/>
    <w:rsid w:val="5426B5E6"/>
    <w:rsid w:val="54396522"/>
    <w:rsid w:val="543D88C4"/>
    <w:rsid w:val="54404092"/>
    <w:rsid w:val="54427734"/>
    <w:rsid w:val="54461F14"/>
    <w:rsid w:val="54496035"/>
    <w:rsid w:val="544C6141"/>
    <w:rsid w:val="545680A8"/>
    <w:rsid w:val="546BAC12"/>
    <w:rsid w:val="5470D668"/>
    <w:rsid w:val="5473A9C6"/>
    <w:rsid w:val="54747945"/>
    <w:rsid w:val="5479685B"/>
    <w:rsid w:val="5482CCCE"/>
    <w:rsid w:val="5487FFD3"/>
    <w:rsid w:val="5489A40D"/>
    <w:rsid w:val="5491285D"/>
    <w:rsid w:val="5493CB14"/>
    <w:rsid w:val="549B16E1"/>
    <w:rsid w:val="549CB020"/>
    <w:rsid w:val="54A6BF73"/>
    <w:rsid w:val="54AA5D3E"/>
    <w:rsid w:val="54AD24FD"/>
    <w:rsid w:val="54ADC364"/>
    <w:rsid w:val="54AEA0CF"/>
    <w:rsid w:val="54B09E94"/>
    <w:rsid w:val="54B0A8B9"/>
    <w:rsid w:val="54B5545F"/>
    <w:rsid w:val="54B777F8"/>
    <w:rsid w:val="54B809B5"/>
    <w:rsid w:val="54B896EB"/>
    <w:rsid w:val="54C1889F"/>
    <w:rsid w:val="54C58778"/>
    <w:rsid w:val="54C86C21"/>
    <w:rsid w:val="54CEC1A8"/>
    <w:rsid w:val="54E21655"/>
    <w:rsid w:val="54E33626"/>
    <w:rsid w:val="54E4E97F"/>
    <w:rsid w:val="54E58F29"/>
    <w:rsid w:val="54F25592"/>
    <w:rsid w:val="54F7D644"/>
    <w:rsid w:val="54FB8C4B"/>
    <w:rsid w:val="54FBE717"/>
    <w:rsid w:val="55016051"/>
    <w:rsid w:val="5502F6C3"/>
    <w:rsid w:val="5508BC47"/>
    <w:rsid w:val="5509129C"/>
    <w:rsid w:val="550E1799"/>
    <w:rsid w:val="5514F746"/>
    <w:rsid w:val="55152893"/>
    <w:rsid w:val="5516F061"/>
    <w:rsid w:val="551DC199"/>
    <w:rsid w:val="5534EF62"/>
    <w:rsid w:val="55374147"/>
    <w:rsid w:val="5539B80E"/>
    <w:rsid w:val="553AE094"/>
    <w:rsid w:val="553D2435"/>
    <w:rsid w:val="553D5DCF"/>
    <w:rsid w:val="5553B699"/>
    <w:rsid w:val="5553CB5B"/>
    <w:rsid w:val="556775AF"/>
    <w:rsid w:val="5568ABE2"/>
    <w:rsid w:val="556A885F"/>
    <w:rsid w:val="556C823D"/>
    <w:rsid w:val="556F2202"/>
    <w:rsid w:val="5579C25F"/>
    <w:rsid w:val="557B3078"/>
    <w:rsid w:val="557DA08E"/>
    <w:rsid w:val="5580BD8D"/>
    <w:rsid w:val="5581C875"/>
    <w:rsid w:val="55954FF7"/>
    <w:rsid w:val="559756F0"/>
    <w:rsid w:val="559D4316"/>
    <w:rsid w:val="55A5F452"/>
    <w:rsid w:val="55A844D7"/>
    <w:rsid w:val="55B7C651"/>
    <w:rsid w:val="55C67F8A"/>
    <w:rsid w:val="55C68B5B"/>
    <w:rsid w:val="55CC9ADF"/>
    <w:rsid w:val="55CCFE58"/>
    <w:rsid w:val="55D57AAC"/>
    <w:rsid w:val="55EBC58F"/>
    <w:rsid w:val="55F7B4EB"/>
    <w:rsid w:val="55F9E58D"/>
    <w:rsid w:val="55FFC3C2"/>
    <w:rsid w:val="5602E76D"/>
    <w:rsid w:val="56041548"/>
    <w:rsid w:val="560B5BDC"/>
    <w:rsid w:val="560B6767"/>
    <w:rsid w:val="560E679D"/>
    <w:rsid w:val="56113072"/>
    <w:rsid w:val="56125B32"/>
    <w:rsid w:val="5622FA53"/>
    <w:rsid w:val="56252755"/>
    <w:rsid w:val="5625746E"/>
    <w:rsid w:val="56299ADC"/>
    <w:rsid w:val="56339957"/>
    <w:rsid w:val="563F9FF4"/>
    <w:rsid w:val="5654B16C"/>
    <w:rsid w:val="56570C1F"/>
    <w:rsid w:val="565CB28C"/>
    <w:rsid w:val="56736791"/>
    <w:rsid w:val="567A2CE9"/>
    <w:rsid w:val="567B87C5"/>
    <w:rsid w:val="56812250"/>
    <w:rsid w:val="56829D47"/>
    <w:rsid w:val="5688968E"/>
    <w:rsid w:val="568D096A"/>
    <w:rsid w:val="568F1C82"/>
    <w:rsid w:val="56929A30"/>
    <w:rsid w:val="5694AF1B"/>
    <w:rsid w:val="5695598F"/>
    <w:rsid w:val="569AC0E2"/>
    <w:rsid w:val="569AF712"/>
    <w:rsid w:val="56A3CEB2"/>
    <w:rsid w:val="56A48FDA"/>
    <w:rsid w:val="56AD705E"/>
    <w:rsid w:val="56AE24BB"/>
    <w:rsid w:val="56AE5BF1"/>
    <w:rsid w:val="56B0EECD"/>
    <w:rsid w:val="56B1121D"/>
    <w:rsid w:val="56B71A3D"/>
    <w:rsid w:val="56C6520A"/>
    <w:rsid w:val="56C7E007"/>
    <w:rsid w:val="56D2CAC6"/>
    <w:rsid w:val="56D3DBFF"/>
    <w:rsid w:val="56D888FF"/>
    <w:rsid w:val="56D89D38"/>
    <w:rsid w:val="56D92FF1"/>
    <w:rsid w:val="56E0D093"/>
    <w:rsid w:val="56E1FD89"/>
    <w:rsid w:val="56E6DC4A"/>
    <w:rsid w:val="56EC3196"/>
    <w:rsid w:val="56EDA9B2"/>
    <w:rsid w:val="56F1F5E8"/>
    <w:rsid w:val="56F3D421"/>
    <w:rsid w:val="56F91C63"/>
    <w:rsid w:val="56FF7D93"/>
    <w:rsid w:val="570D0B6E"/>
    <w:rsid w:val="570DCF95"/>
    <w:rsid w:val="57117F91"/>
    <w:rsid w:val="57123A17"/>
    <w:rsid w:val="57257EBB"/>
    <w:rsid w:val="57299468"/>
    <w:rsid w:val="572FC721"/>
    <w:rsid w:val="5731625C"/>
    <w:rsid w:val="573B7F91"/>
    <w:rsid w:val="573C3B0B"/>
    <w:rsid w:val="574413A3"/>
    <w:rsid w:val="574509CD"/>
    <w:rsid w:val="5748A0E8"/>
    <w:rsid w:val="57493EF6"/>
    <w:rsid w:val="5753E622"/>
    <w:rsid w:val="57558EF0"/>
    <w:rsid w:val="575980FC"/>
    <w:rsid w:val="5761BAF1"/>
    <w:rsid w:val="576A538A"/>
    <w:rsid w:val="576D70F0"/>
    <w:rsid w:val="5770C8CA"/>
    <w:rsid w:val="57754DFA"/>
    <w:rsid w:val="577CFB4C"/>
    <w:rsid w:val="577EB82B"/>
    <w:rsid w:val="5782B616"/>
    <w:rsid w:val="578AE50D"/>
    <w:rsid w:val="57A0258A"/>
    <w:rsid w:val="57A61495"/>
    <w:rsid w:val="57A72C3D"/>
    <w:rsid w:val="57A8694C"/>
    <w:rsid w:val="57AC141E"/>
    <w:rsid w:val="57B6422F"/>
    <w:rsid w:val="57BA1B24"/>
    <w:rsid w:val="57C40CE9"/>
    <w:rsid w:val="57C7D9B9"/>
    <w:rsid w:val="57C892FA"/>
    <w:rsid w:val="57D0B3AE"/>
    <w:rsid w:val="57D4EB7F"/>
    <w:rsid w:val="57DEE6EC"/>
    <w:rsid w:val="57E535F5"/>
    <w:rsid w:val="57E7DDBC"/>
    <w:rsid w:val="57EFA72F"/>
    <w:rsid w:val="57EFE336"/>
    <w:rsid w:val="580EF538"/>
    <w:rsid w:val="580F8807"/>
    <w:rsid w:val="5810630B"/>
    <w:rsid w:val="581464B0"/>
    <w:rsid w:val="581638A8"/>
    <w:rsid w:val="581665C7"/>
    <w:rsid w:val="5818FB95"/>
    <w:rsid w:val="581ADBDC"/>
    <w:rsid w:val="581DBB2C"/>
    <w:rsid w:val="581E877B"/>
    <w:rsid w:val="582A8B06"/>
    <w:rsid w:val="582A92A8"/>
    <w:rsid w:val="5833251C"/>
    <w:rsid w:val="5837B669"/>
    <w:rsid w:val="583B42F7"/>
    <w:rsid w:val="58465AA3"/>
    <w:rsid w:val="584D03B3"/>
    <w:rsid w:val="585930BE"/>
    <w:rsid w:val="585C8D90"/>
    <w:rsid w:val="586911A2"/>
    <w:rsid w:val="58692C51"/>
    <w:rsid w:val="586E9382"/>
    <w:rsid w:val="5876D71D"/>
    <w:rsid w:val="58770EBB"/>
    <w:rsid w:val="587F604C"/>
    <w:rsid w:val="58800E43"/>
    <w:rsid w:val="588A53F7"/>
    <w:rsid w:val="588EE5B3"/>
    <w:rsid w:val="5898B0E2"/>
    <w:rsid w:val="58990DCC"/>
    <w:rsid w:val="58A179CE"/>
    <w:rsid w:val="58A4015B"/>
    <w:rsid w:val="58AC814D"/>
    <w:rsid w:val="58ACB15F"/>
    <w:rsid w:val="58B02A28"/>
    <w:rsid w:val="58B64FBC"/>
    <w:rsid w:val="58BB7C24"/>
    <w:rsid w:val="58BB87C7"/>
    <w:rsid w:val="58BD6DBA"/>
    <w:rsid w:val="58BDDFA4"/>
    <w:rsid w:val="58C05A44"/>
    <w:rsid w:val="58C09000"/>
    <w:rsid w:val="58C4EEB7"/>
    <w:rsid w:val="58CC3635"/>
    <w:rsid w:val="58CF341C"/>
    <w:rsid w:val="58CF35FB"/>
    <w:rsid w:val="58D1B04C"/>
    <w:rsid w:val="58D25DB4"/>
    <w:rsid w:val="58DE16B1"/>
    <w:rsid w:val="58E75FBB"/>
    <w:rsid w:val="58E8A4DC"/>
    <w:rsid w:val="58EB803D"/>
    <w:rsid w:val="58F44BA7"/>
    <w:rsid w:val="58F7A85D"/>
    <w:rsid w:val="58F899ED"/>
    <w:rsid w:val="58FDF5C3"/>
    <w:rsid w:val="5909C451"/>
    <w:rsid w:val="59100A6E"/>
    <w:rsid w:val="59126403"/>
    <w:rsid w:val="5933EF6A"/>
    <w:rsid w:val="59342C7F"/>
    <w:rsid w:val="593751DF"/>
    <w:rsid w:val="593A8E42"/>
    <w:rsid w:val="593F4CDF"/>
    <w:rsid w:val="5941B751"/>
    <w:rsid w:val="5942622E"/>
    <w:rsid w:val="59446491"/>
    <w:rsid w:val="594D20F5"/>
    <w:rsid w:val="5950CD3B"/>
    <w:rsid w:val="5952E558"/>
    <w:rsid w:val="59532BE8"/>
    <w:rsid w:val="59573CB5"/>
    <w:rsid w:val="595B2E30"/>
    <w:rsid w:val="595CADCF"/>
    <w:rsid w:val="59670591"/>
    <w:rsid w:val="5967E8DB"/>
    <w:rsid w:val="597F4D48"/>
    <w:rsid w:val="5985A829"/>
    <w:rsid w:val="59881F01"/>
    <w:rsid w:val="5993D462"/>
    <w:rsid w:val="59962E8D"/>
    <w:rsid w:val="59967401"/>
    <w:rsid w:val="599B4D46"/>
    <w:rsid w:val="599BB2A2"/>
    <w:rsid w:val="599DB19E"/>
    <w:rsid w:val="59A09778"/>
    <w:rsid w:val="59A1298A"/>
    <w:rsid w:val="59A30142"/>
    <w:rsid w:val="59A8187F"/>
    <w:rsid w:val="59AA6365"/>
    <w:rsid w:val="59B8C8DA"/>
    <w:rsid w:val="59B95186"/>
    <w:rsid w:val="59B96F77"/>
    <w:rsid w:val="59C80383"/>
    <w:rsid w:val="59C99284"/>
    <w:rsid w:val="59CAA8EE"/>
    <w:rsid w:val="59D1A37C"/>
    <w:rsid w:val="59DFB45D"/>
    <w:rsid w:val="59E432E9"/>
    <w:rsid w:val="59E717D5"/>
    <w:rsid w:val="59EDC764"/>
    <w:rsid w:val="59EF2A05"/>
    <w:rsid w:val="59F0F63D"/>
    <w:rsid w:val="59FF1585"/>
    <w:rsid w:val="5A04B629"/>
    <w:rsid w:val="5A05AD74"/>
    <w:rsid w:val="5A1338EF"/>
    <w:rsid w:val="5A1366B7"/>
    <w:rsid w:val="5A144F4D"/>
    <w:rsid w:val="5A26D5C4"/>
    <w:rsid w:val="5A271E29"/>
    <w:rsid w:val="5A2B0C32"/>
    <w:rsid w:val="5A3D2524"/>
    <w:rsid w:val="5A499182"/>
    <w:rsid w:val="5A49CFFD"/>
    <w:rsid w:val="5A49DAD5"/>
    <w:rsid w:val="5A509C99"/>
    <w:rsid w:val="5A53CB00"/>
    <w:rsid w:val="5A5D2131"/>
    <w:rsid w:val="5A5EFFD1"/>
    <w:rsid w:val="5A65F836"/>
    <w:rsid w:val="5A66CA5F"/>
    <w:rsid w:val="5A6962E4"/>
    <w:rsid w:val="5A6C7DCF"/>
    <w:rsid w:val="5A82FBCE"/>
    <w:rsid w:val="5A84565D"/>
    <w:rsid w:val="5A9422AD"/>
    <w:rsid w:val="5A9B3BAF"/>
    <w:rsid w:val="5A9D7673"/>
    <w:rsid w:val="5A9DF477"/>
    <w:rsid w:val="5AA1B373"/>
    <w:rsid w:val="5AA434E8"/>
    <w:rsid w:val="5AA9E042"/>
    <w:rsid w:val="5AAF8216"/>
    <w:rsid w:val="5AC2DA10"/>
    <w:rsid w:val="5AC701EB"/>
    <w:rsid w:val="5ACE5543"/>
    <w:rsid w:val="5AD081CB"/>
    <w:rsid w:val="5AD1E339"/>
    <w:rsid w:val="5AD1FFB3"/>
    <w:rsid w:val="5AD6672E"/>
    <w:rsid w:val="5ADB2A8A"/>
    <w:rsid w:val="5AE42AAC"/>
    <w:rsid w:val="5AE647DC"/>
    <w:rsid w:val="5AEEB1B5"/>
    <w:rsid w:val="5AF90F49"/>
    <w:rsid w:val="5AFAF52D"/>
    <w:rsid w:val="5AFB206B"/>
    <w:rsid w:val="5B0249DB"/>
    <w:rsid w:val="5B02A516"/>
    <w:rsid w:val="5B0D2613"/>
    <w:rsid w:val="5B121C60"/>
    <w:rsid w:val="5B174F8A"/>
    <w:rsid w:val="5B1927FF"/>
    <w:rsid w:val="5B1A38BC"/>
    <w:rsid w:val="5B1B1DA9"/>
    <w:rsid w:val="5B1B302A"/>
    <w:rsid w:val="5B1B369F"/>
    <w:rsid w:val="5B2C586B"/>
    <w:rsid w:val="5B33C1BD"/>
    <w:rsid w:val="5B3FE2B4"/>
    <w:rsid w:val="5B41FDD5"/>
    <w:rsid w:val="5B42ECD0"/>
    <w:rsid w:val="5B49BA77"/>
    <w:rsid w:val="5B4E309D"/>
    <w:rsid w:val="5B4FF29C"/>
    <w:rsid w:val="5B5A51F5"/>
    <w:rsid w:val="5B6203E7"/>
    <w:rsid w:val="5B6E5AF1"/>
    <w:rsid w:val="5B76F13A"/>
    <w:rsid w:val="5B7B7C5C"/>
    <w:rsid w:val="5B7E8B9B"/>
    <w:rsid w:val="5B7F71E9"/>
    <w:rsid w:val="5B81EC26"/>
    <w:rsid w:val="5B865384"/>
    <w:rsid w:val="5B90D3E3"/>
    <w:rsid w:val="5B940CB5"/>
    <w:rsid w:val="5B96B6A4"/>
    <w:rsid w:val="5B9FC876"/>
    <w:rsid w:val="5BA1318D"/>
    <w:rsid w:val="5BA3DF95"/>
    <w:rsid w:val="5BAD3214"/>
    <w:rsid w:val="5BC02285"/>
    <w:rsid w:val="5BC8529C"/>
    <w:rsid w:val="5BD3451C"/>
    <w:rsid w:val="5BDBB5AA"/>
    <w:rsid w:val="5BDF7B55"/>
    <w:rsid w:val="5BDFDF60"/>
    <w:rsid w:val="5BE4329B"/>
    <w:rsid w:val="5BE9330A"/>
    <w:rsid w:val="5BEA466E"/>
    <w:rsid w:val="5BED656F"/>
    <w:rsid w:val="5BF94414"/>
    <w:rsid w:val="5BFAA7EE"/>
    <w:rsid w:val="5BFC09F2"/>
    <w:rsid w:val="5BFD1587"/>
    <w:rsid w:val="5C03F3D1"/>
    <w:rsid w:val="5C05469F"/>
    <w:rsid w:val="5C0A8582"/>
    <w:rsid w:val="5C14D1CC"/>
    <w:rsid w:val="5C153A24"/>
    <w:rsid w:val="5C1AA08A"/>
    <w:rsid w:val="5C1E05BA"/>
    <w:rsid w:val="5C1E6329"/>
    <w:rsid w:val="5C2663F6"/>
    <w:rsid w:val="5C26CB0F"/>
    <w:rsid w:val="5C2E744F"/>
    <w:rsid w:val="5C2E80D5"/>
    <w:rsid w:val="5C357ADC"/>
    <w:rsid w:val="5C397067"/>
    <w:rsid w:val="5C39B210"/>
    <w:rsid w:val="5C39C4D8"/>
    <w:rsid w:val="5C44BC30"/>
    <w:rsid w:val="5C4726D0"/>
    <w:rsid w:val="5C54B5E2"/>
    <w:rsid w:val="5C590115"/>
    <w:rsid w:val="5C5ED41A"/>
    <w:rsid w:val="5C62246B"/>
    <w:rsid w:val="5C62D2CE"/>
    <w:rsid w:val="5C6F5623"/>
    <w:rsid w:val="5C76843E"/>
    <w:rsid w:val="5C84F486"/>
    <w:rsid w:val="5C90BA49"/>
    <w:rsid w:val="5C9607EC"/>
    <w:rsid w:val="5C97D910"/>
    <w:rsid w:val="5C9DC5AD"/>
    <w:rsid w:val="5C9F2E99"/>
    <w:rsid w:val="5CA26E3D"/>
    <w:rsid w:val="5CA58CEA"/>
    <w:rsid w:val="5CA5B333"/>
    <w:rsid w:val="5CA7A123"/>
    <w:rsid w:val="5CB76C1F"/>
    <w:rsid w:val="5CB8A585"/>
    <w:rsid w:val="5CBC2A03"/>
    <w:rsid w:val="5CBF825A"/>
    <w:rsid w:val="5CC1F445"/>
    <w:rsid w:val="5CCB58E8"/>
    <w:rsid w:val="5CD7A953"/>
    <w:rsid w:val="5CE02CE6"/>
    <w:rsid w:val="5CE095BB"/>
    <w:rsid w:val="5CE692C8"/>
    <w:rsid w:val="5D011143"/>
    <w:rsid w:val="5D026D60"/>
    <w:rsid w:val="5D0AC564"/>
    <w:rsid w:val="5D0CE277"/>
    <w:rsid w:val="5D0E8A75"/>
    <w:rsid w:val="5D13FF3D"/>
    <w:rsid w:val="5D1B424A"/>
    <w:rsid w:val="5D1C7F60"/>
    <w:rsid w:val="5D22DA7B"/>
    <w:rsid w:val="5D237517"/>
    <w:rsid w:val="5D23B598"/>
    <w:rsid w:val="5D26E703"/>
    <w:rsid w:val="5D2895F7"/>
    <w:rsid w:val="5D35D54D"/>
    <w:rsid w:val="5D429124"/>
    <w:rsid w:val="5D4608A5"/>
    <w:rsid w:val="5D46F291"/>
    <w:rsid w:val="5D491D47"/>
    <w:rsid w:val="5D4A27C0"/>
    <w:rsid w:val="5D4F988D"/>
    <w:rsid w:val="5D51BD1B"/>
    <w:rsid w:val="5D524E39"/>
    <w:rsid w:val="5D5B3F8D"/>
    <w:rsid w:val="5D6AFD4E"/>
    <w:rsid w:val="5D7E2BC0"/>
    <w:rsid w:val="5D82D147"/>
    <w:rsid w:val="5D8A1D36"/>
    <w:rsid w:val="5D8CC686"/>
    <w:rsid w:val="5D8D0485"/>
    <w:rsid w:val="5D985686"/>
    <w:rsid w:val="5D9EEF9C"/>
    <w:rsid w:val="5DA01546"/>
    <w:rsid w:val="5DA5B558"/>
    <w:rsid w:val="5DAAA06E"/>
    <w:rsid w:val="5DAD7920"/>
    <w:rsid w:val="5DAE9B9B"/>
    <w:rsid w:val="5DAFD55A"/>
    <w:rsid w:val="5DB638DF"/>
    <w:rsid w:val="5DB6AD35"/>
    <w:rsid w:val="5DB6E313"/>
    <w:rsid w:val="5DB76173"/>
    <w:rsid w:val="5DBA6D64"/>
    <w:rsid w:val="5DC333FE"/>
    <w:rsid w:val="5DCD8A0C"/>
    <w:rsid w:val="5DD59539"/>
    <w:rsid w:val="5DD941A8"/>
    <w:rsid w:val="5DE08287"/>
    <w:rsid w:val="5DE4E03B"/>
    <w:rsid w:val="5DEB9A3F"/>
    <w:rsid w:val="5DF9E590"/>
    <w:rsid w:val="5DFD6F8E"/>
    <w:rsid w:val="5E00912B"/>
    <w:rsid w:val="5E02CC63"/>
    <w:rsid w:val="5E07CE5C"/>
    <w:rsid w:val="5E0934A8"/>
    <w:rsid w:val="5E0B7936"/>
    <w:rsid w:val="5E148B46"/>
    <w:rsid w:val="5E167F8C"/>
    <w:rsid w:val="5E26BC93"/>
    <w:rsid w:val="5E38865F"/>
    <w:rsid w:val="5E3C82EE"/>
    <w:rsid w:val="5E44C77D"/>
    <w:rsid w:val="5E4E5B06"/>
    <w:rsid w:val="5E51CB94"/>
    <w:rsid w:val="5E530B65"/>
    <w:rsid w:val="5E5398CC"/>
    <w:rsid w:val="5E5A1103"/>
    <w:rsid w:val="5E5A8550"/>
    <w:rsid w:val="5E6276DB"/>
    <w:rsid w:val="5E677479"/>
    <w:rsid w:val="5E6AEC8B"/>
    <w:rsid w:val="5E6CB920"/>
    <w:rsid w:val="5E7749B3"/>
    <w:rsid w:val="5E7798AD"/>
    <w:rsid w:val="5E7AEE41"/>
    <w:rsid w:val="5E7E0169"/>
    <w:rsid w:val="5E80203B"/>
    <w:rsid w:val="5E82BFAF"/>
    <w:rsid w:val="5E877D36"/>
    <w:rsid w:val="5E88835A"/>
    <w:rsid w:val="5E8CE09A"/>
    <w:rsid w:val="5E955D72"/>
    <w:rsid w:val="5E96AC2F"/>
    <w:rsid w:val="5E9798EE"/>
    <w:rsid w:val="5E9D6BBB"/>
    <w:rsid w:val="5EA087BC"/>
    <w:rsid w:val="5EA1922F"/>
    <w:rsid w:val="5EA25F70"/>
    <w:rsid w:val="5EAA9499"/>
    <w:rsid w:val="5EB1069E"/>
    <w:rsid w:val="5EB9BD72"/>
    <w:rsid w:val="5EBEC217"/>
    <w:rsid w:val="5EC9BAC9"/>
    <w:rsid w:val="5EC9EFFE"/>
    <w:rsid w:val="5ECA6F65"/>
    <w:rsid w:val="5ED63A45"/>
    <w:rsid w:val="5EDBB6D2"/>
    <w:rsid w:val="5EDE5EBA"/>
    <w:rsid w:val="5EE3B055"/>
    <w:rsid w:val="5EE60934"/>
    <w:rsid w:val="5EE87E32"/>
    <w:rsid w:val="5EF1D80E"/>
    <w:rsid w:val="5EF4DF74"/>
    <w:rsid w:val="5EF664D3"/>
    <w:rsid w:val="5EFF1422"/>
    <w:rsid w:val="5F00FFE9"/>
    <w:rsid w:val="5F06E16C"/>
    <w:rsid w:val="5F0F219B"/>
    <w:rsid w:val="5F125903"/>
    <w:rsid w:val="5F1BACF2"/>
    <w:rsid w:val="5F271414"/>
    <w:rsid w:val="5F27843E"/>
    <w:rsid w:val="5F4F6A49"/>
    <w:rsid w:val="5F53C726"/>
    <w:rsid w:val="5F564BE6"/>
    <w:rsid w:val="5F56BA08"/>
    <w:rsid w:val="5F5ABE7F"/>
    <w:rsid w:val="5F5AC1C1"/>
    <w:rsid w:val="5F61F45D"/>
    <w:rsid w:val="5F6365FF"/>
    <w:rsid w:val="5F681DB0"/>
    <w:rsid w:val="5F6AE0EC"/>
    <w:rsid w:val="5F6AE6BA"/>
    <w:rsid w:val="5F6B24EC"/>
    <w:rsid w:val="5F75C564"/>
    <w:rsid w:val="5F7C375D"/>
    <w:rsid w:val="5F807A61"/>
    <w:rsid w:val="5F8114E3"/>
    <w:rsid w:val="5F82FFC0"/>
    <w:rsid w:val="5F83CF61"/>
    <w:rsid w:val="5F89F018"/>
    <w:rsid w:val="5F8A5586"/>
    <w:rsid w:val="5F8B0C36"/>
    <w:rsid w:val="5F8D3244"/>
    <w:rsid w:val="5F8FF420"/>
    <w:rsid w:val="5F92B6D9"/>
    <w:rsid w:val="5F95DBE8"/>
    <w:rsid w:val="5F9C5E94"/>
    <w:rsid w:val="5FA5D801"/>
    <w:rsid w:val="5FA71604"/>
    <w:rsid w:val="5FAA5CB4"/>
    <w:rsid w:val="5FAB6D3B"/>
    <w:rsid w:val="5FB24DD8"/>
    <w:rsid w:val="5FB4536B"/>
    <w:rsid w:val="5FC3A912"/>
    <w:rsid w:val="5FC4D9D8"/>
    <w:rsid w:val="5FC56C19"/>
    <w:rsid w:val="5FC710E2"/>
    <w:rsid w:val="5FC8BDCC"/>
    <w:rsid w:val="5FD2BD47"/>
    <w:rsid w:val="5FE120D2"/>
    <w:rsid w:val="5FE4AC08"/>
    <w:rsid w:val="5FE65B61"/>
    <w:rsid w:val="5FEC803C"/>
    <w:rsid w:val="5FEDA015"/>
    <w:rsid w:val="5FEE644B"/>
    <w:rsid w:val="5FF06BF5"/>
    <w:rsid w:val="5FF27F1C"/>
    <w:rsid w:val="5FF3524E"/>
    <w:rsid w:val="60037F6F"/>
    <w:rsid w:val="6006FB55"/>
    <w:rsid w:val="600A0B5F"/>
    <w:rsid w:val="600D14C1"/>
    <w:rsid w:val="6011B8AF"/>
    <w:rsid w:val="601B0B3B"/>
    <w:rsid w:val="601D5BD7"/>
    <w:rsid w:val="601F9150"/>
    <w:rsid w:val="602658A7"/>
    <w:rsid w:val="6028486B"/>
    <w:rsid w:val="602E19A3"/>
    <w:rsid w:val="603382E1"/>
    <w:rsid w:val="6039DA0F"/>
    <w:rsid w:val="604134F0"/>
    <w:rsid w:val="604835CF"/>
    <w:rsid w:val="605AA510"/>
    <w:rsid w:val="605D4347"/>
    <w:rsid w:val="60620CEF"/>
    <w:rsid w:val="60665721"/>
    <w:rsid w:val="6068A3E9"/>
    <w:rsid w:val="60698C26"/>
    <w:rsid w:val="60781691"/>
    <w:rsid w:val="607CD132"/>
    <w:rsid w:val="60840901"/>
    <w:rsid w:val="608BE601"/>
    <w:rsid w:val="60913BB5"/>
    <w:rsid w:val="60969E93"/>
    <w:rsid w:val="609C4E22"/>
    <w:rsid w:val="609D32FE"/>
    <w:rsid w:val="609E06D6"/>
    <w:rsid w:val="60A50414"/>
    <w:rsid w:val="60A5A3F4"/>
    <w:rsid w:val="60A8709D"/>
    <w:rsid w:val="60A94EF2"/>
    <w:rsid w:val="60AC697B"/>
    <w:rsid w:val="60ACF3C8"/>
    <w:rsid w:val="60B0EAB2"/>
    <w:rsid w:val="60C088E8"/>
    <w:rsid w:val="60C3455B"/>
    <w:rsid w:val="60C5AA70"/>
    <w:rsid w:val="60C6B4A1"/>
    <w:rsid w:val="60C7053B"/>
    <w:rsid w:val="60D2B9BA"/>
    <w:rsid w:val="60E264F0"/>
    <w:rsid w:val="60EBF524"/>
    <w:rsid w:val="60F0D524"/>
    <w:rsid w:val="60F19DCA"/>
    <w:rsid w:val="60F6282E"/>
    <w:rsid w:val="60FA6BD9"/>
    <w:rsid w:val="610455C6"/>
    <w:rsid w:val="6104E007"/>
    <w:rsid w:val="610529A0"/>
    <w:rsid w:val="61063721"/>
    <w:rsid w:val="610D35FB"/>
    <w:rsid w:val="610F728F"/>
    <w:rsid w:val="611234A3"/>
    <w:rsid w:val="6115FEED"/>
    <w:rsid w:val="612DB51A"/>
    <w:rsid w:val="61307D1F"/>
    <w:rsid w:val="61310095"/>
    <w:rsid w:val="61351C12"/>
    <w:rsid w:val="61427362"/>
    <w:rsid w:val="6146224F"/>
    <w:rsid w:val="614CB031"/>
    <w:rsid w:val="6154C5AE"/>
    <w:rsid w:val="615A308B"/>
    <w:rsid w:val="615C9BF4"/>
    <w:rsid w:val="61687D9D"/>
    <w:rsid w:val="616E8290"/>
    <w:rsid w:val="617E6BB1"/>
    <w:rsid w:val="6182AF7A"/>
    <w:rsid w:val="618515CE"/>
    <w:rsid w:val="6187B3CA"/>
    <w:rsid w:val="6187FA44"/>
    <w:rsid w:val="61959545"/>
    <w:rsid w:val="6197B73A"/>
    <w:rsid w:val="6199128B"/>
    <w:rsid w:val="61A3FC91"/>
    <w:rsid w:val="61A4DF61"/>
    <w:rsid w:val="61AAA61E"/>
    <w:rsid w:val="61AC5DF7"/>
    <w:rsid w:val="61B0A972"/>
    <w:rsid w:val="61B22129"/>
    <w:rsid w:val="61B29109"/>
    <w:rsid w:val="61B7025F"/>
    <w:rsid w:val="61B831C6"/>
    <w:rsid w:val="61BBD83B"/>
    <w:rsid w:val="61BD2F5E"/>
    <w:rsid w:val="61C1E410"/>
    <w:rsid w:val="61C43F41"/>
    <w:rsid w:val="61C7AB2B"/>
    <w:rsid w:val="61D131E1"/>
    <w:rsid w:val="61DEB8DC"/>
    <w:rsid w:val="61E35931"/>
    <w:rsid w:val="61F835ED"/>
    <w:rsid w:val="61FA85BA"/>
    <w:rsid w:val="61FAE0D9"/>
    <w:rsid w:val="61FD881D"/>
    <w:rsid w:val="61FEB01C"/>
    <w:rsid w:val="61FFC7CF"/>
    <w:rsid w:val="62038582"/>
    <w:rsid w:val="62045CC5"/>
    <w:rsid w:val="6204B9D4"/>
    <w:rsid w:val="6206BDAA"/>
    <w:rsid w:val="620945AD"/>
    <w:rsid w:val="62102F86"/>
    <w:rsid w:val="62143BB3"/>
    <w:rsid w:val="62159EA3"/>
    <w:rsid w:val="62178651"/>
    <w:rsid w:val="621CB600"/>
    <w:rsid w:val="6223F64C"/>
    <w:rsid w:val="6229CC18"/>
    <w:rsid w:val="622BF4CD"/>
    <w:rsid w:val="62380499"/>
    <w:rsid w:val="623C4C51"/>
    <w:rsid w:val="6242FFE0"/>
    <w:rsid w:val="6246B957"/>
    <w:rsid w:val="624E46A8"/>
    <w:rsid w:val="6257C805"/>
    <w:rsid w:val="62617350"/>
    <w:rsid w:val="6264396B"/>
    <w:rsid w:val="626CD94C"/>
    <w:rsid w:val="626DD435"/>
    <w:rsid w:val="6273B09F"/>
    <w:rsid w:val="6276148D"/>
    <w:rsid w:val="62797225"/>
    <w:rsid w:val="6280A5EF"/>
    <w:rsid w:val="6284210C"/>
    <w:rsid w:val="6288BE02"/>
    <w:rsid w:val="62906E30"/>
    <w:rsid w:val="6292B4DF"/>
    <w:rsid w:val="62944B40"/>
    <w:rsid w:val="629ACFD1"/>
    <w:rsid w:val="62A849F4"/>
    <w:rsid w:val="62B0DB45"/>
    <w:rsid w:val="62B3D81F"/>
    <w:rsid w:val="62B5BB2D"/>
    <w:rsid w:val="62BE7092"/>
    <w:rsid w:val="62BF5B3F"/>
    <w:rsid w:val="62C457D7"/>
    <w:rsid w:val="62C5085E"/>
    <w:rsid w:val="62CB2BEB"/>
    <w:rsid w:val="62D07F4B"/>
    <w:rsid w:val="62D1DAF8"/>
    <w:rsid w:val="62D3BFC1"/>
    <w:rsid w:val="62D74CD6"/>
    <w:rsid w:val="62DB7990"/>
    <w:rsid w:val="62DD7E16"/>
    <w:rsid w:val="62E0A0A5"/>
    <w:rsid w:val="62EB73B9"/>
    <w:rsid w:val="62EB7A07"/>
    <w:rsid w:val="62EE614E"/>
    <w:rsid w:val="62FB4EFD"/>
    <w:rsid w:val="62FDB7CE"/>
    <w:rsid w:val="62FF5739"/>
    <w:rsid w:val="6301725B"/>
    <w:rsid w:val="630582E1"/>
    <w:rsid w:val="63089A06"/>
    <w:rsid w:val="630BA55D"/>
    <w:rsid w:val="63129B45"/>
    <w:rsid w:val="631DCFD6"/>
    <w:rsid w:val="631FC648"/>
    <w:rsid w:val="63255886"/>
    <w:rsid w:val="632B2EB1"/>
    <w:rsid w:val="632E5109"/>
    <w:rsid w:val="633060DA"/>
    <w:rsid w:val="6332E1FE"/>
    <w:rsid w:val="633910C7"/>
    <w:rsid w:val="63420F39"/>
    <w:rsid w:val="6346AF49"/>
    <w:rsid w:val="6348809F"/>
    <w:rsid w:val="63529F8A"/>
    <w:rsid w:val="63531095"/>
    <w:rsid w:val="6357FD80"/>
    <w:rsid w:val="6358C044"/>
    <w:rsid w:val="635BF609"/>
    <w:rsid w:val="635E5D0D"/>
    <w:rsid w:val="63632F48"/>
    <w:rsid w:val="63647033"/>
    <w:rsid w:val="6369AD4E"/>
    <w:rsid w:val="636AEEBE"/>
    <w:rsid w:val="6370D971"/>
    <w:rsid w:val="637B18CF"/>
    <w:rsid w:val="638BDAEE"/>
    <w:rsid w:val="638D366F"/>
    <w:rsid w:val="638E1E8A"/>
    <w:rsid w:val="63980D6B"/>
    <w:rsid w:val="63AA4D3C"/>
    <w:rsid w:val="63AAD6E3"/>
    <w:rsid w:val="63AD4CA7"/>
    <w:rsid w:val="63B1607A"/>
    <w:rsid w:val="63B1AFA3"/>
    <w:rsid w:val="63B21653"/>
    <w:rsid w:val="63B2885A"/>
    <w:rsid w:val="63B2D12D"/>
    <w:rsid w:val="63B77294"/>
    <w:rsid w:val="63B8E1ED"/>
    <w:rsid w:val="63C48CDE"/>
    <w:rsid w:val="63C5A7E4"/>
    <w:rsid w:val="63C6ADD7"/>
    <w:rsid w:val="63CA0EB1"/>
    <w:rsid w:val="63D052AA"/>
    <w:rsid w:val="63D0EEDF"/>
    <w:rsid w:val="63D303DC"/>
    <w:rsid w:val="63EF6167"/>
    <w:rsid w:val="63F3B52F"/>
    <w:rsid w:val="63F670E7"/>
    <w:rsid w:val="63F8C3AB"/>
    <w:rsid w:val="63FA0EED"/>
    <w:rsid w:val="64049877"/>
    <w:rsid w:val="640BF988"/>
    <w:rsid w:val="640CBB1A"/>
    <w:rsid w:val="64169EA4"/>
    <w:rsid w:val="64210CFC"/>
    <w:rsid w:val="64250FF1"/>
    <w:rsid w:val="642515E2"/>
    <w:rsid w:val="642B97F7"/>
    <w:rsid w:val="642E6E40"/>
    <w:rsid w:val="642FAE35"/>
    <w:rsid w:val="64349B04"/>
    <w:rsid w:val="643B19BB"/>
    <w:rsid w:val="643B2352"/>
    <w:rsid w:val="643B491E"/>
    <w:rsid w:val="643D84D1"/>
    <w:rsid w:val="6444D6BD"/>
    <w:rsid w:val="64462BC0"/>
    <w:rsid w:val="6447B062"/>
    <w:rsid w:val="64490985"/>
    <w:rsid w:val="644F25DF"/>
    <w:rsid w:val="64530415"/>
    <w:rsid w:val="64561895"/>
    <w:rsid w:val="646C84A0"/>
    <w:rsid w:val="64728E3E"/>
    <w:rsid w:val="6475F8A6"/>
    <w:rsid w:val="64776411"/>
    <w:rsid w:val="6478579D"/>
    <w:rsid w:val="64804640"/>
    <w:rsid w:val="64813BD3"/>
    <w:rsid w:val="648EF5C6"/>
    <w:rsid w:val="6494FEBD"/>
    <w:rsid w:val="6499A970"/>
    <w:rsid w:val="649E54A7"/>
    <w:rsid w:val="649E6AA1"/>
    <w:rsid w:val="64A36139"/>
    <w:rsid w:val="64A37AEE"/>
    <w:rsid w:val="64A3AEEC"/>
    <w:rsid w:val="64A42801"/>
    <w:rsid w:val="64AF5AD6"/>
    <w:rsid w:val="64B975AB"/>
    <w:rsid w:val="64BA68F1"/>
    <w:rsid w:val="64BBA944"/>
    <w:rsid w:val="64BFD0A5"/>
    <w:rsid w:val="64C83161"/>
    <w:rsid w:val="64D3CD4B"/>
    <w:rsid w:val="64DB7146"/>
    <w:rsid w:val="64DC8A7E"/>
    <w:rsid w:val="64DDDF9A"/>
    <w:rsid w:val="64DDE1B5"/>
    <w:rsid w:val="64DE7763"/>
    <w:rsid w:val="64E82641"/>
    <w:rsid w:val="64E98AE2"/>
    <w:rsid w:val="64EB3746"/>
    <w:rsid w:val="64F1801C"/>
    <w:rsid w:val="64F24BAF"/>
    <w:rsid w:val="64F8F5A8"/>
    <w:rsid w:val="64FA69C0"/>
    <w:rsid w:val="64FA8DBE"/>
    <w:rsid w:val="65118765"/>
    <w:rsid w:val="651B8BA6"/>
    <w:rsid w:val="6524656A"/>
    <w:rsid w:val="65277329"/>
    <w:rsid w:val="652BE0A9"/>
    <w:rsid w:val="652C9860"/>
    <w:rsid w:val="6532F41F"/>
    <w:rsid w:val="6533141D"/>
    <w:rsid w:val="6536FB81"/>
    <w:rsid w:val="65424E24"/>
    <w:rsid w:val="65458AB2"/>
    <w:rsid w:val="654F79AA"/>
    <w:rsid w:val="655456C2"/>
    <w:rsid w:val="65585E3E"/>
    <w:rsid w:val="655E3EDF"/>
    <w:rsid w:val="656AB6F7"/>
    <w:rsid w:val="656B6086"/>
    <w:rsid w:val="65783F20"/>
    <w:rsid w:val="6581F00F"/>
    <w:rsid w:val="65837393"/>
    <w:rsid w:val="6585C5B8"/>
    <w:rsid w:val="65865D9B"/>
    <w:rsid w:val="658D5B74"/>
    <w:rsid w:val="658E7421"/>
    <w:rsid w:val="658F5008"/>
    <w:rsid w:val="659621A8"/>
    <w:rsid w:val="65AB3F37"/>
    <w:rsid w:val="65AB93BD"/>
    <w:rsid w:val="65AEB121"/>
    <w:rsid w:val="65B526AA"/>
    <w:rsid w:val="65B5F0C8"/>
    <w:rsid w:val="65C6996D"/>
    <w:rsid w:val="65CB443E"/>
    <w:rsid w:val="65CF0C16"/>
    <w:rsid w:val="65D14960"/>
    <w:rsid w:val="65D19FBF"/>
    <w:rsid w:val="65D23D45"/>
    <w:rsid w:val="65D851F9"/>
    <w:rsid w:val="65DB4AFA"/>
    <w:rsid w:val="65DE2DB8"/>
    <w:rsid w:val="65E88B2C"/>
    <w:rsid w:val="65E92776"/>
    <w:rsid w:val="65F270B1"/>
    <w:rsid w:val="65F28546"/>
    <w:rsid w:val="65F310E5"/>
    <w:rsid w:val="65F618CB"/>
    <w:rsid w:val="65F7AB86"/>
    <w:rsid w:val="65F9D6A3"/>
    <w:rsid w:val="6603F751"/>
    <w:rsid w:val="6604B6B7"/>
    <w:rsid w:val="66053CF7"/>
    <w:rsid w:val="660C79A7"/>
    <w:rsid w:val="660CE1A7"/>
    <w:rsid w:val="66116E7D"/>
    <w:rsid w:val="66133472"/>
    <w:rsid w:val="661E02E4"/>
    <w:rsid w:val="66201998"/>
    <w:rsid w:val="662235D4"/>
    <w:rsid w:val="6631E112"/>
    <w:rsid w:val="66324E6F"/>
    <w:rsid w:val="663627D6"/>
    <w:rsid w:val="663D22B3"/>
    <w:rsid w:val="6642219C"/>
    <w:rsid w:val="6644458D"/>
    <w:rsid w:val="664A3B3F"/>
    <w:rsid w:val="66562629"/>
    <w:rsid w:val="665AE470"/>
    <w:rsid w:val="665B221F"/>
    <w:rsid w:val="665CB815"/>
    <w:rsid w:val="665E06E2"/>
    <w:rsid w:val="6667A515"/>
    <w:rsid w:val="6668FD6C"/>
    <w:rsid w:val="666A76A3"/>
    <w:rsid w:val="666B0B28"/>
    <w:rsid w:val="666DB072"/>
    <w:rsid w:val="6671B99E"/>
    <w:rsid w:val="66827593"/>
    <w:rsid w:val="66845D38"/>
    <w:rsid w:val="66866C7D"/>
    <w:rsid w:val="66868280"/>
    <w:rsid w:val="6687BB1D"/>
    <w:rsid w:val="668B615A"/>
    <w:rsid w:val="668C31EC"/>
    <w:rsid w:val="668F553F"/>
    <w:rsid w:val="66923C10"/>
    <w:rsid w:val="6692E39E"/>
    <w:rsid w:val="6696C36F"/>
    <w:rsid w:val="66974466"/>
    <w:rsid w:val="66A0DDB9"/>
    <w:rsid w:val="66A1B36A"/>
    <w:rsid w:val="66A5113D"/>
    <w:rsid w:val="66A79C42"/>
    <w:rsid w:val="66BBC455"/>
    <w:rsid w:val="66C1D3FC"/>
    <w:rsid w:val="66C78BDB"/>
    <w:rsid w:val="66CA9808"/>
    <w:rsid w:val="66CBFDD3"/>
    <w:rsid w:val="66D3129E"/>
    <w:rsid w:val="66D645C1"/>
    <w:rsid w:val="66D8CD29"/>
    <w:rsid w:val="66E4F95B"/>
    <w:rsid w:val="66EE3DA7"/>
    <w:rsid w:val="66EF2BEF"/>
    <w:rsid w:val="66EF6777"/>
    <w:rsid w:val="66F189CF"/>
    <w:rsid w:val="66F3EBEF"/>
    <w:rsid w:val="66F42323"/>
    <w:rsid w:val="66F5B1D1"/>
    <w:rsid w:val="6703A9C0"/>
    <w:rsid w:val="6706431B"/>
    <w:rsid w:val="6715CBAE"/>
    <w:rsid w:val="6715E52B"/>
    <w:rsid w:val="67167AEE"/>
    <w:rsid w:val="6716BFB1"/>
    <w:rsid w:val="6717EEA5"/>
    <w:rsid w:val="671B7548"/>
    <w:rsid w:val="671F43F4"/>
    <w:rsid w:val="672105FF"/>
    <w:rsid w:val="67212548"/>
    <w:rsid w:val="6726A135"/>
    <w:rsid w:val="673474B1"/>
    <w:rsid w:val="673E258C"/>
    <w:rsid w:val="673E799F"/>
    <w:rsid w:val="67430045"/>
    <w:rsid w:val="67480AA9"/>
    <w:rsid w:val="675182B4"/>
    <w:rsid w:val="6753585C"/>
    <w:rsid w:val="6758ADBE"/>
    <w:rsid w:val="675D394D"/>
    <w:rsid w:val="67602C78"/>
    <w:rsid w:val="676224F3"/>
    <w:rsid w:val="6764DA23"/>
    <w:rsid w:val="676C616C"/>
    <w:rsid w:val="67763400"/>
    <w:rsid w:val="6777436B"/>
    <w:rsid w:val="6778EADB"/>
    <w:rsid w:val="678DADC4"/>
    <w:rsid w:val="678EC2BE"/>
    <w:rsid w:val="67925FB3"/>
    <w:rsid w:val="679772BD"/>
    <w:rsid w:val="679B8061"/>
    <w:rsid w:val="67A1F0A2"/>
    <w:rsid w:val="67AD455D"/>
    <w:rsid w:val="67B23497"/>
    <w:rsid w:val="67B470FF"/>
    <w:rsid w:val="67B9BE7D"/>
    <w:rsid w:val="67BC84FD"/>
    <w:rsid w:val="67C63CC2"/>
    <w:rsid w:val="67CAB67F"/>
    <w:rsid w:val="67CF1730"/>
    <w:rsid w:val="67CF5107"/>
    <w:rsid w:val="67CF611A"/>
    <w:rsid w:val="67D4BB1B"/>
    <w:rsid w:val="67DFFA35"/>
    <w:rsid w:val="67EB5A38"/>
    <w:rsid w:val="67F4C179"/>
    <w:rsid w:val="67FCDB11"/>
    <w:rsid w:val="67FEACA2"/>
    <w:rsid w:val="680D1F55"/>
    <w:rsid w:val="680DD8BF"/>
    <w:rsid w:val="680F0BA6"/>
    <w:rsid w:val="68167A5B"/>
    <w:rsid w:val="681A16AF"/>
    <w:rsid w:val="681C0B56"/>
    <w:rsid w:val="681C3E7F"/>
    <w:rsid w:val="681CDE44"/>
    <w:rsid w:val="6830DBAF"/>
    <w:rsid w:val="683E9D7D"/>
    <w:rsid w:val="683F4514"/>
    <w:rsid w:val="68495FEE"/>
    <w:rsid w:val="68528C1D"/>
    <w:rsid w:val="6853B3D1"/>
    <w:rsid w:val="68561A69"/>
    <w:rsid w:val="6859B9D2"/>
    <w:rsid w:val="685A3428"/>
    <w:rsid w:val="68628DBA"/>
    <w:rsid w:val="6871B5A3"/>
    <w:rsid w:val="68787CB7"/>
    <w:rsid w:val="6878A032"/>
    <w:rsid w:val="6879774A"/>
    <w:rsid w:val="6881F55D"/>
    <w:rsid w:val="688C3C74"/>
    <w:rsid w:val="689200C4"/>
    <w:rsid w:val="689703DD"/>
    <w:rsid w:val="68973387"/>
    <w:rsid w:val="689C18C4"/>
    <w:rsid w:val="689D7E8E"/>
    <w:rsid w:val="68A04669"/>
    <w:rsid w:val="68A71797"/>
    <w:rsid w:val="68AD0A0A"/>
    <w:rsid w:val="68B0EE44"/>
    <w:rsid w:val="68B30450"/>
    <w:rsid w:val="68B69471"/>
    <w:rsid w:val="68B9515A"/>
    <w:rsid w:val="68C69F08"/>
    <w:rsid w:val="68D13A71"/>
    <w:rsid w:val="68D39E47"/>
    <w:rsid w:val="68E5362B"/>
    <w:rsid w:val="68E7805E"/>
    <w:rsid w:val="68E7C9C1"/>
    <w:rsid w:val="68F13CD6"/>
    <w:rsid w:val="68F53C87"/>
    <w:rsid w:val="68F84FDA"/>
    <w:rsid w:val="68F9E8A6"/>
    <w:rsid w:val="69045DB6"/>
    <w:rsid w:val="6905BEEB"/>
    <w:rsid w:val="6910C447"/>
    <w:rsid w:val="69145489"/>
    <w:rsid w:val="69182A4D"/>
    <w:rsid w:val="6918EFAF"/>
    <w:rsid w:val="6919C4DC"/>
    <w:rsid w:val="691D8D49"/>
    <w:rsid w:val="69222C50"/>
    <w:rsid w:val="692287B3"/>
    <w:rsid w:val="6928199E"/>
    <w:rsid w:val="692A6C32"/>
    <w:rsid w:val="692B39E1"/>
    <w:rsid w:val="692B8A3D"/>
    <w:rsid w:val="692DDDAE"/>
    <w:rsid w:val="6931A92A"/>
    <w:rsid w:val="693C3D3D"/>
    <w:rsid w:val="693D1F41"/>
    <w:rsid w:val="693D677B"/>
    <w:rsid w:val="693FB2CA"/>
    <w:rsid w:val="6946617E"/>
    <w:rsid w:val="69467850"/>
    <w:rsid w:val="69478194"/>
    <w:rsid w:val="6959F307"/>
    <w:rsid w:val="69697415"/>
    <w:rsid w:val="696BF843"/>
    <w:rsid w:val="696ED99F"/>
    <w:rsid w:val="696F28DE"/>
    <w:rsid w:val="6971ED6B"/>
    <w:rsid w:val="6973093A"/>
    <w:rsid w:val="69741723"/>
    <w:rsid w:val="697907A9"/>
    <w:rsid w:val="69811EA6"/>
    <w:rsid w:val="698D76D9"/>
    <w:rsid w:val="69970CAC"/>
    <w:rsid w:val="699BAACF"/>
    <w:rsid w:val="699D262C"/>
    <w:rsid w:val="699E3C04"/>
    <w:rsid w:val="69A0D459"/>
    <w:rsid w:val="69AD8AE2"/>
    <w:rsid w:val="69B17696"/>
    <w:rsid w:val="69B7A34C"/>
    <w:rsid w:val="69B991E1"/>
    <w:rsid w:val="69BCE55E"/>
    <w:rsid w:val="69C68DF1"/>
    <w:rsid w:val="69C6D718"/>
    <w:rsid w:val="69CC3958"/>
    <w:rsid w:val="69CF163B"/>
    <w:rsid w:val="69DF6747"/>
    <w:rsid w:val="69E1031E"/>
    <w:rsid w:val="69E588FE"/>
    <w:rsid w:val="69E58F01"/>
    <w:rsid w:val="69E5F79E"/>
    <w:rsid w:val="69E74F1C"/>
    <w:rsid w:val="69EAA810"/>
    <w:rsid w:val="69EEA294"/>
    <w:rsid w:val="69F0AA5B"/>
    <w:rsid w:val="69F30A52"/>
    <w:rsid w:val="69FB1CDD"/>
    <w:rsid w:val="6A03BDFA"/>
    <w:rsid w:val="6A07372E"/>
    <w:rsid w:val="6A0A10B1"/>
    <w:rsid w:val="6A0AF9CC"/>
    <w:rsid w:val="6A0F77FF"/>
    <w:rsid w:val="6A1350A8"/>
    <w:rsid w:val="6A18D48F"/>
    <w:rsid w:val="6A1CD15B"/>
    <w:rsid w:val="6A26D742"/>
    <w:rsid w:val="6A2D180B"/>
    <w:rsid w:val="6A2D41FE"/>
    <w:rsid w:val="6A312B31"/>
    <w:rsid w:val="6A3303E8"/>
    <w:rsid w:val="6A3316E2"/>
    <w:rsid w:val="6A33517D"/>
    <w:rsid w:val="6A36C90B"/>
    <w:rsid w:val="6A373FBE"/>
    <w:rsid w:val="6A37D06E"/>
    <w:rsid w:val="6A39D714"/>
    <w:rsid w:val="6A39F560"/>
    <w:rsid w:val="6A41EED0"/>
    <w:rsid w:val="6A464D77"/>
    <w:rsid w:val="6A4C544F"/>
    <w:rsid w:val="6A4C92BD"/>
    <w:rsid w:val="6A4E73AC"/>
    <w:rsid w:val="6A4FFA43"/>
    <w:rsid w:val="6A617753"/>
    <w:rsid w:val="6A66D842"/>
    <w:rsid w:val="6A68132B"/>
    <w:rsid w:val="6A721E8E"/>
    <w:rsid w:val="6A78A76E"/>
    <w:rsid w:val="6A7F489E"/>
    <w:rsid w:val="6A818E61"/>
    <w:rsid w:val="6A8DCAA5"/>
    <w:rsid w:val="6A8F4824"/>
    <w:rsid w:val="6A8FBCD9"/>
    <w:rsid w:val="6A9BC6B3"/>
    <w:rsid w:val="6AA557BC"/>
    <w:rsid w:val="6AB53AAD"/>
    <w:rsid w:val="6AB6F1E6"/>
    <w:rsid w:val="6ABF00FC"/>
    <w:rsid w:val="6ACCA583"/>
    <w:rsid w:val="6ACFE0CD"/>
    <w:rsid w:val="6AD26BF5"/>
    <w:rsid w:val="6AD46AFE"/>
    <w:rsid w:val="6AD4CFFE"/>
    <w:rsid w:val="6ADC2579"/>
    <w:rsid w:val="6ADD3788"/>
    <w:rsid w:val="6AE0DCFB"/>
    <w:rsid w:val="6AE508AC"/>
    <w:rsid w:val="6AE75BE5"/>
    <w:rsid w:val="6AE90498"/>
    <w:rsid w:val="6AEB2BB8"/>
    <w:rsid w:val="6AF952F6"/>
    <w:rsid w:val="6AF9A62C"/>
    <w:rsid w:val="6AFB53C4"/>
    <w:rsid w:val="6AFD06F5"/>
    <w:rsid w:val="6B01BAE3"/>
    <w:rsid w:val="6B08FC42"/>
    <w:rsid w:val="6B10F89E"/>
    <w:rsid w:val="6B148591"/>
    <w:rsid w:val="6B1ABBE9"/>
    <w:rsid w:val="6B1B4870"/>
    <w:rsid w:val="6B1F2788"/>
    <w:rsid w:val="6B200387"/>
    <w:rsid w:val="6B2DD0B4"/>
    <w:rsid w:val="6B3498FE"/>
    <w:rsid w:val="6B41A12C"/>
    <w:rsid w:val="6B45C948"/>
    <w:rsid w:val="6B49F95A"/>
    <w:rsid w:val="6B4AF446"/>
    <w:rsid w:val="6B4B0043"/>
    <w:rsid w:val="6B4BC1A7"/>
    <w:rsid w:val="6B4BFAF3"/>
    <w:rsid w:val="6B504A96"/>
    <w:rsid w:val="6B513DFC"/>
    <w:rsid w:val="6B5987D5"/>
    <w:rsid w:val="6B5D19BA"/>
    <w:rsid w:val="6B5E1212"/>
    <w:rsid w:val="6B62B5AE"/>
    <w:rsid w:val="6B6401F6"/>
    <w:rsid w:val="6B691634"/>
    <w:rsid w:val="6B6C4FFB"/>
    <w:rsid w:val="6B6F3059"/>
    <w:rsid w:val="6B6F67A9"/>
    <w:rsid w:val="6B71D93F"/>
    <w:rsid w:val="6B741378"/>
    <w:rsid w:val="6B7811F4"/>
    <w:rsid w:val="6B7A65CF"/>
    <w:rsid w:val="6B87DFDC"/>
    <w:rsid w:val="6B87F9B2"/>
    <w:rsid w:val="6B891DE5"/>
    <w:rsid w:val="6B91EC10"/>
    <w:rsid w:val="6B924D98"/>
    <w:rsid w:val="6B9833B4"/>
    <w:rsid w:val="6B9E3D61"/>
    <w:rsid w:val="6BAA16D3"/>
    <w:rsid w:val="6BAB146D"/>
    <w:rsid w:val="6BACC01C"/>
    <w:rsid w:val="6BBE9A3A"/>
    <w:rsid w:val="6BC7DF24"/>
    <w:rsid w:val="6BCCFB92"/>
    <w:rsid w:val="6BDD6FB6"/>
    <w:rsid w:val="6BE64727"/>
    <w:rsid w:val="6BEEB54D"/>
    <w:rsid w:val="6BEF5509"/>
    <w:rsid w:val="6BF84508"/>
    <w:rsid w:val="6BFDA460"/>
    <w:rsid w:val="6BFDDA85"/>
    <w:rsid w:val="6BFEDE54"/>
    <w:rsid w:val="6BFEE63B"/>
    <w:rsid w:val="6C00D347"/>
    <w:rsid w:val="6C01497E"/>
    <w:rsid w:val="6C10771A"/>
    <w:rsid w:val="6C1085CF"/>
    <w:rsid w:val="6C19D80E"/>
    <w:rsid w:val="6C1EDCD7"/>
    <w:rsid w:val="6C1FABFA"/>
    <w:rsid w:val="6C391481"/>
    <w:rsid w:val="6C3CF2EC"/>
    <w:rsid w:val="6C3D5D7C"/>
    <w:rsid w:val="6C3DAD8C"/>
    <w:rsid w:val="6C4190ED"/>
    <w:rsid w:val="6C48CE19"/>
    <w:rsid w:val="6C495708"/>
    <w:rsid w:val="6C5CBFCB"/>
    <w:rsid w:val="6C616CFB"/>
    <w:rsid w:val="6C671D37"/>
    <w:rsid w:val="6C679878"/>
    <w:rsid w:val="6C6C1948"/>
    <w:rsid w:val="6C75203D"/>
    <w:rsid w:val="6C786805"/>
    <w:rsid w:val="6C8275F6"/>
    <w:rsid w:val="6C8446C2"/>
    <w:rsid w:val="6C8D553F"/>
    <w:rsid w:val="6C91B8AE"/>
    <w:rsid w:val="6C92A07B"/>
    <w:rsid w:val="6CA07525"/>
    <w:rsid w:val="6CA230EA"/>
    <w:rsid w:val="6CB4026D"/>
    <w:rsid w:val="6CB47A34"/>
    <w:rsid w:val="6CB72297"/>
    <w:rsid w:val="6CCA63A3"/>
    <w:rsid w:val="6CD0D8BD"/>
    <w:rsid w:val="6CD19C8F"/>
    <w:rsid w:val="6CD209A9"/>
    <w:rsid w:val="6CD55B4E"/>
    <w:rsid w:val="6CD81C0C"/>
    <w:rsid w:val="6CD88B00"/>
    <w:rsid w:val="6CDAC15A"/>
    <w:rsid w:val="6CE9AFF2"/>
    <w:rsid w:val="6CEF93BD"/>
    <w:rsid w:val="6CF3924B"/>
    <w:rsid w:val="6CF3FD1A"/>
    <w:rsid w:val="6CF7933E"/>
    <w:rsid w:val="6CF951FB"/>
    <w:rsid w:val="6D00A912"/>
    <w:rsid w:val="6D040E10"/>
    <w:rsid w:val="6D135FC4"/>
    <w:rsid w:val="6D1545AF"/>
    <w:rsid w:val="6D15AB73"/>
    <w:rsid w:val="6D16F82F"/>
    <w:rsid w:val="6D191E73"/>
    <w:rsid w:val="6D1E97A6"/>
    <w:rsid w:val="6D211126"/>
    <w:rsid w:val="6D264A72"/>
    <w:rsid w:val="6D3977B5"/>
    <w:rsid w:val="6D39C846"/>
    <w:rsid w:val="6D444FD3"/>
    <w:rsid w:val="6D46E4CE"/>
    <w:rsid w:val="6D4ADD25"/>
    <w:rsid w:val="6D4FC46D"/>
    <w:rsid w:val="6D551E37"/>
    <w:rsid w:val="6D5AEE08"/>
    <w:rsid w:val="6D724D27"/>
    <w:rsid w:val="6D772338"/>
    <w:rsid w:val="6D779F72"/>
    <w:rsid w:val="6D77BAFA"/>
    <w:rsid w:val="6D798F92"/>
    <w:rsid w:val="6D80034D"/>
    <w:rsid w:val="6D8060A6"/>
    <w:rsid w:val="6D830EEB"/>
    <w:rsid w:val="6D8A0849"/>
    <w:rsid w:val="6D8AACCD"/>
    <w:rsid w:val="6D94E0AE"/>
    <w:rsid w:val="6D99AAE6"/>
    <w:rsid w:val="6D99B492"/>
    <w:rsid w:val="6D99E6AC"/>
    <w:rsid w:val="6D9CCD60"/>
    <w:rsid w:val="6D9CDFFD"/>
    <w:rsid w:val="6D9FED70"/>
    <w:rsid w:val="6DA97E63"/>
    <w:rsid w:val="6DB68C20"/>
    <w:rsid w:val="6DC22DD8"/>
    <w:rsid w:val="6DCAFB2A"/>
    <w:rsid w:val="6DCB3EBA"/>
    <w:rsid w:val="6DCCD26A"/>
    <w:rsid w:val="6DD0A448"/>
    <w:rsid w:val="6DD15149"/>
    <w:rsid w:val="6DD1ACA0"/>
    <w:rsid w:val="6DD44645"/>
    <w:rsid w:val="6DD4FB62"/>
    <w:rsid w:val="6DD7265B"/>
    <w:rsid w:val="6DD97DED"/>
    <w:rsid w:val="6DE13236"/>
    <w:rsid w:val="6DE2F766"/>
    <w:rsid w:val="6DEBC266"/>
    <w:rsid w:val="6DF1DC6D"/>
    <w:rsid w:val="6DFE83B4"/>
    <w:rsid w:val="6E0222AB"/>
    <w:rsid w:val="6E028A13"/>
    <w:rsid w:val="6E02B1B7"/>
    <w:rsid w:val="6E053428"/>
    <w:rsid w:val="6E08F8C9"/>
    <w:rsid w:val="6E0C884A"/>
    <w:rsid w:val="6E137AD9"/>
    <w:rsid w:val="6E208E46"/>
    <w:rsid w:val="6E2103A5"/>
    <w:rsid w:val="6E2246DE"/>
    <w:rsid w:val="6E2EAB87"/>
    <w:rsid w:val="6E3AC891"/>
    <w:rsid w:val="6E523E51"/>
    <w:rsid w:val="6E59117D"/>
    <w:rsid w:val="6E5FCDCB"/>
    <w:rsid w:val="6E62FA58"/>
    <w:rsid w:val="6E63D509"/>
    <w:rsid w:val="6E64C176"/>
    <w:rsid w:val="6E6B941D"/>
    <w:rsid w:val="6E6E028B"/>
    <w:rsid w:val="6E6F92B0"/>
    <w:rsid w:val="6E732060"/>
    <w:rsid w:val="6E741A3C"/>
    <w:rsid w:val="6E79B5B6"/>
    <w:rsid w:val="6E8D488E"/>
    <w:rsid w:val="6E92C10D"/>
    <w:rsid w:val="6E9944B6"/>
    <w:rsid w:val="6EA2A8DC"/>
    <w:rsid w:val="6EAAE6B5"/>
    <w:rsid w:val="6EAC1ACF"/>
    <w:rsid w:val="6EAFFABC"/>
    <w:rsid w:val="6EB125EB"/>
    <w:rsid w:val="6EBB8139"/>
    <w:rsid w:val="6EC483EB"/>
    <w:rsid w:val="6EC53545"/>
    <w:rsid w:val="6EC6DE18"/>
    <w:rsid w:val="6ED1FB47"/>
    <w:rsid w:val="6EE2F538"/>
    <w:rsid w:val="6EE608F0"/>
    <w:rsid w:val="6EF38C55"/>
    <w:rsid w:val="6EF92BAB"/>
    <w:rsid w:val="6F001FE7"/>
    <w:rsid w:val="6F00AB5D"/>
    <w:rsid w:val="6F02B02A"/>
    <w:rsid w:val="6F049C54"/>
    <w:rsid w:val="6F085A8B"/>
    <w:rsid w:val="6F141784"/>
    <w:rsid w:val="6F1CF0C0"/>
    <w:rsid w:val="6F1DEDF7"/>
    <w:rsid w:val="6F21BF2A"/>
    <w:rsid w:val="6F28C903"/>
    <w:rsid w:val="6F2A546E"/>
    <w:rsid w:val="6F2BEF4F"/>
    <w:rsid w:val="6F35EA50"/>
    <w:rsid w:val="6F3E22F6"/>
    <w:rsid w:val="6F412263"/>
    <w:rsid w:val="6F44BCAC"/>
    <w:rsid w:val="6F4E2A2A"/>
    <w:rsid w:val="6F4E5906"/>
    <w:rsid w:val="6F502E2D"/>
    <w:rsid w:val="6F589B1F"/>
    <w:rsid w:val="6F5B4B36"/>
    <w:rsid w:val="6F5CBBD8"/>
    <w:rsid w:val="6F5DFCFF"/>
    <w:rsid w:val="6F6047A7"/>
    <w:rsid w:val="6F6F1270"/>
    <w:rsid w:val="6F6FFD76"/>
    <w:rsid w:val="6F7351F4"/>
    <w:rsid w:val="6F7BC198"/>
    <w:rsid w:val="6F8145E5"/>
    <w:rsid w:val="6F87E40B"/>
    <w:rsid w:val="6F8AA014"/>
    <w:rsid w:val="6F8CDB99"/>
    <w:rsid w:val="6F8DB825"/>
    <w:rsid w:val="6F92508F"/>
    <w:rsid w:val="6F98C559"/>
    <w:rsid w:val="6F9EBDF9"/>
    <w:rsid w:val="6F9F9533"/>
    <w:rsid w:val="6FA14EB3"/>
    <w:rsid w:val="6FA340DB"/>
    <w:rsid w:val="6FA79EAF"/>
    <w:rsid w:val="6FB0554F"/>
    <w:rsid w:val="6FBDE419"/>
    <w:rsid w:val="6FBDF8D8"/>
    <w:rsid w:val="6FBDFD35"/>
    <w:rsid w:val="6FBFC683"/>
    <w:rsid w:val="6FC19688"/>
    <w:rsid w:val="6FC45401"/>
    <w:rsid w:val="6FC48505"/>
    <w:rsid w:val="6FC7A174"/>
    <w:rsid w:val="6FCE600F"/>
    <w:rsid w:val="6FDC5071"/>
    <w:rsid w:val="6FE739F5"/>
    <w:rsid w:val="6FEA0612"/>
    <w:rsid w:val="6FEE99C3"/>
    <w:rsid w:val="6FF04E61"/>
    <w:rsid w:val="6FFC7CBB"/>
    <w:rsid w:val="700346F0"/>
    <w:rsid w:val="7014934A"/>
    <w:rsid w:val="7014BD23"/>
    <w:rsid w:val="701F8AFF"/>
    <w:rsid w:val="7021D228"/>
    <w:rsid w:val="7026D65C"/>
    <w:rsid w:val="70480271"/>
    <w:rsid w:val="70484E5F"/>
    <w:rsid w:val="70493CA5"/>
    <w:rsid w:val="704E2355"/>
    <w:rsid w:val="704E4B67"/>
    <w:rsid w:val="70503562"/>
    <w:rsid w:val="7057519A"/>
    <w:rsid w:val="7057D03A"/>
    <w:rsid w:val="705B8AA0"/>
    <w:rsid w:val="705F7126"/>
    <w:rsid w:val="7061CBDF"/>
    <w:rsid w:val="7064A9DB"/>
    <w:rsid w:val="706512CE"/>
    <w:rsid w:val="707007B2"/>
    <w:rsid w:val="70798BC5"/>
    <w:rsid w:val="707F87AA"/>
    <w:rsid w:val="70819E2D"/>
    <w:rsid w:val="70860E4A"/>
    <w:rsid w:val="708AF896"/>
    <w:rsid w:val="708C6859"/>
    <w:rsid w:val="7096085D"/>
    <w:rsid w:val="709B327B"/>
    <w:rsid w:val="70A89961"/>
    <w:rsid w:val="70B54017"/>
    <w:rsid w:val="70BA066D"/>
    <w:rsid w:val="70BCC7FB"/>
    <w:rsid w:val="70C04659"/>
    <w:rsid w:val="70C0B226"/>
    <w:rsid w:val="70C624CF"/>
    <w:rsid w:val="70C85CB7"/>
    <w:rsid w:val="70CD25D0"/>
    <w:rsid w:val="70D3DDD2"/>
    <w:rsid w:val="70D55159"/>
    <w:rsid w:val="70DAECE5"/>
    <w:rsid w:val="70DE8C14"/>
    <w:rsid w:val="70DF91BC"/>
    <w:rsid w:val="70E19A7F"/>
    <w:rsid w:val="70E388B5"/>
    <w:rsid w:val="70E9DD35"/>
    <w:rsid w:val="70E9E586"/>
    <w:rsid w:val="70EB5C04"/>
    <w:rsid w:val="70ED1025"/>
    <w:rsid w:val="70EF5CB4"/>
    <w:rsid w:val="70F21A7E"/>
    <w:rsid w:val="70FA34E8"/>
    <w:rsid w:val="71010024"/>
    <w:rsid w:val="710C5F47"/>
    <w:rsid w:val="711021A5"/>
    <w:rsid w:val="71151E39"/>
    <w:rsid w:val="71188A07"/>
    <w:rsid w:val="711BD158"/>
    <w:rsid w:val="711C5BCB"/>
    <w:rsid w:val="711D1646"/>
    <w:rsid w:val="711E8714"/>
    <w:rsid w:val="7120EB3A"/>
    <w:rsid w:val="7123F13D"/>
    <w:rsid w:val="7125088B"/>
    <w:rsid w:val="7129BC2D"/>
    <w:rsid w:val="71355F5B"/>
    <w:rsid w:val="713B7F07"/>
    <w:rsid w:val="713CD4EA"/>
    <w:rsid w:val="713FC498"/>
    <w:rsid w:val="71428A5F"/>
    <w:rsid w:val="714327CD"/>
    <w:rsid w:val="7145C602"/>
    <w:rsid w:val="714608BE"/>
    <w:rsid w:val="714702AF"/>
    <w:rsid w:val="7147BB95"/>
    <w:rsid w:val="71500711"/>
    <w:rsid w:val="7152F709"/>
    <w:rsid w:val="715EE6BA"/>
    <w:rsid w:val="7168A0B3"/>
    <w:rsid w:val="71704D24"/>
    <w:rsid w:val="71716BF1"/>
    <w:rsid w:val="7180875B"/>
    <w:rsid w:val="71866CD5"/>
    <w:rsid w:val="718D739D"/>
    <w:rsid w:val="719035F9"/>
    <w:rsid w:val="71905F74"/>
    <w:rsid w:val="7190E971"/>
    <w:rsid w:val="7191EDFE"/>
    <w:rsid w:val="719A5CBE"/>
    <w:rsid w:val="719C5AE6"/>
    <w:rsid w:val="71B25C71"/>
    <w:rsid w:val="71B6929B"/>
    <w:rsid w:val="71BE00E3"/>
    <w:rsid w:val="71C962C8"/>
    <w:rsid w:val="71CB3A03"/>
    <w:rsid w:val="71CEBFE4"/>
    <w:rsid w:val="71D1B8CC"/>
    <w:rsid w:val="71D55CF8"/>
    <w:rsid w:val="71D72D7A"/>
    <w:rsid w:val="71E55C97"/>
    <w:rsid w:val="71E89787"/>
    <w:rsid w:val="71EFC356"/>
    <w:rsid w:val="71FE3CF8"/>
    <w:rsid w:val="720D8FAC"/>
    <w:rsid w:val="720DF69C"/>
    <w:rsid w:val="721A21DC"/>
    <w:rsid w:val="721FA042"/>
    <w:rsid w:val="7224D84B"/>
    <w:rsid w:val="7234F64E"/>
    <w:rsid w:val="72360397"/>
    <w:rsid w:val="723C02F1"/>
    <w:rsid w:val="7246D47E"/>
    <w:rsid w:val="72484E15"/>
    <w:rsid w:val="7248DA19"/>
    <w:rsid w:val="724B1959"/>
    <w:rsid w:val="724BB846"/>
    <w:rsid w:val="7252ED3F"/>
    <w:rsid w:val="7253D2E3"/>
    <w:rsid w:val="725B0BD1"/>
    <w:rsid w:val="725CEA47"/>
    <w:rsid w:val="7266128B"/>
    <w:rsid w:val="726684FC"/>
    <w:rsid w:val="7272AE2C"/>
    <w:rsid w:val="72733078"/>
    <w:rsid w:val="727402A9"/>
    <w:rsid w:val="727F6CFD"/>
    <w:rsid w:val="728544B0"/>
    <w:rsid w:val="7285E2B4"/>
    <w:rsid w:val="728AF166"/>
    <w:rsid w:val="728D64ED"/>
    <w:rsid w:val="7295EB4A"/>
    <w:rsid w:val="729FB7E3"/>
    <w:rsid w:val="72A25F76"/>
    <w:rsid w:val="72B4EF62"/>
    <w:rsid w:val="72BB8634"/>
    <w:rsid w:val="72BD75F8"/>
    <w:rsid w:val="72C127BF"/>
    <w:rsid w:val="72CC09FA"/>
    <w:rsid w:val="72D3DB59"/>
    <w:rsid w:val="72D88F1D"/>
    <w:rsid w:val="72D95D99"/>
    <w:rsid w:val="72DAC269"/>
    <w:rsid w:val="72DE94E4"/>
    <w:rsid w:val="72E382E2"/>
    <w:rsid w:val="72E4A41B"/>
    <w:rsid w:val="72EE0F25"/>
    <w:rsid w:val="72EE10C1"/>
    <w:rsid w:val="72F0BC72"/>
    <w:rsid w:val="72F17C44"/>
    <w:rsid w:val="72F77604"/>
    <w:rsid w:val="72FD0BE6"/>
    <w:rsid w:val="730863A4"/>
    <w:rsid w:val="731740BF"/>
    <w:rsid w:val="732CFFC0"/>
    <w:rsid w:val="7334780D"/>
    <w:rsid w:val="73381906"/>
    <w:rsid w:val="7339ED6E"/>
    <w:rsid w:val="73429E48"/>
    <w:rsid w:val="73438656"/>
    <w:rsid w:val="734F949A"/>
    <w:rsid w:val="7355522F"/>
    <w:rsid w:val="7356D38C"/>
    <w:rsid w:val="735FA518"/>
    <w:rsid w:val="735FBD71"/>
    <w:rsid w:val="73663864"/>
    <w:rsid w:val="73749997"/>
    <w:rsid w:val="73756F58"/>
    <w:rsid w:val="7375C957"/>
    <w:rsid w:val="737FCD22"/>
    <w:rsid w:val="7386672A"/>
    <w:rsid w:val="73897D9D"/>
    <w:rsid w:val="738B0223"/>
    <w:rsid w:val="738D33AD"/>
    <w:rsid w:val="739C7F92"/>
    <w:rsid w:val="739F10B0"/>
    <w:rsid w:val="73A0787E"/>
    <w:rsid w:val="73A19D80"/>
    <w:rsid w:val="73A1B692"/>
    <w:rsid w:val="73A9F261"/>
    <w:rsid w:val="73ABA4CF"/>
    <w:rsid w:val="73B9EE49"/>
    <w:rsid w:val="73C36473"/>
    <w:rsid w:val="73C63264"/>
    <w:rsid w:val="73C9D928"/>
    <w:rsid w:val="73CFE2E7"/>
    <w:rsid w:val="73D03B40"/>
    <w:rsid w:val="73D17C03"/>
    <w:rsid w:val="73E7F45D"/>
    <w:rsid w:val="73EB5D0B"/>
    <w:rsid w:val="73EDE722"/>
    <w:rsid w:val="73EF0ACF"/>
    <w:rsid w:val="73EF9F2D"/>
    <w:rsid w:val="73FDC591"/>
    <w:rsid w:val="74015705"/>
    <w:rsid w:val="740387F2"/>
    <w:rsid w:val="74074962"/>
    <w:rsid w:val="7407C217"/>
    <w:rsid w:val="740BEB67"/>
    <w:rsid w:val="74100C47"/>
    <w:rsid w:val="7416F10D"/>
    <w:rsid w:val="7417EFC2"/>
    <w:rsid w:val="7419E6BF"/>
    <w:rsid w:val="741AFE5B"/>
    <w:rsid w:val="74204F60"/>
    <w:rsid w:val="7421B315"/>
    <w:rsid w:val="74268303"/>
    <w:rsid w:val="742A37F0"/>
    <w:rsid w:val="742CB54B"/>
    <w:rsid w:val="74316E22"/>
    <w:rsid w:val="743BE7ED"/>
    <w:rsid w:val="7442DB06"/>
    <w:rsid w:val="744389F7"/>
    <w:rsid w:val="744E4F6C"/>
    <w:rsid w:val="74510305"/>
    <w:rsid w:val="7455F9E7"/>
    <w:rsid w:val="7455FFD4"/>
    <w:rsid w:val="74610024"/>
    <w:rsid w:val="74706813"/>
    <w:rsid w:val="74745F7E"/>
    <w:rsid w:val="7476BAA2"/>
    <w:rsid w:val="747DBB1F"/>
    <w:rsid w:val="747ECD4D"/>
    <w:rsid w:val="7485AD69"/>
    <w:rsid w:val="7489E122"/>
    <w:rsid w:val="748C2C86"/>
    <w:rsid w:val="748FBB27"/>
    <w:rsid w:val="748FC96D"/>
    <w:rsid w:val="748FEDF8"/>
    <w:rsid w:val="7492AF84"/>
    <w:rsid w:val="749DEFFC"/>
    <w:rsid w:val="74A8D295"/>
    <w:rsid w:val="74A9625A"/>
    <w:rsid w:val="74A989B1"/>
    <w:rsid w:val="74A9932C"/>
    <w:rsid w:val="74B14E03"/>
    <w:rsid w:val="74B6CC08"/>
    <w:rsid w:val="74B91BA3"/>
    <w:rsid w:val="74BC3144"/>
    <w:rsid w:val="74C46F0D"/>
    <w:rsid w:val="74C9D100"/>
    <w:rsid w:val="74CA1707"/>
    <w:rsid w:val="74DBB7F1"/>
    <w:rsid w:val="74E1992A"/>
    <w:rsid w:val="74E5189E"/>
    <w:rsid w:val="74EC7FE0"/>
    <w:rsid w:val="74ECFC95"/>
    <w:rsid w:val="74F1D564"/>
    <w:rsid w:val="74F72215"/>
    <w:rsid w:val="74FF09B7"/>
    <w:rsid w:val="74FF7D89"/>
    <w:rsid w:val="7502D550"/>
    <w:rsid w:val="75048054"/>
    <w:rsid w:val="75077B13"/>
    <w:rsid w:val="7509373B"/>
    <w:rsid w:val="7509D193"/>
    <w:rsid w:val="751132B6"/>
    <w:rsid w:val="751648EF"/>
    <w:rsid w:val="751AAF0C"/>
    <w:rsid w:val="751F224F"/>
    <w:rsid w:val="7530FA49"/>
    <w:rsid w:val="753E699D"/>
    <w:rsid w:val="7540BECE"/>
    <w:rsid w:val="7542BBF9"/>
    <w:rsid w:val="7544C6F5"/>
    <w:rsid w:val="7546F4A8"/>
    <w:rsid w:val="7551E4A9"/>
    <w:rsid w:val="755950D0"/>
    <w:rsid w:val="755AB5BC"/>
    <w:rsid w:val="755B3B5D"/>
    <w:rsid w:val="75697E54"/>
    <w:rsid w:val="756C2DDC"/>
    <w:rsid w:val="756C7D94"/>
    <w:rsid w:val="7574B303"/>
    <w:rsid w:val="757BD19E"/>
    <w:rsid w:val="757E49BA"/>
    <w:rsid w:val="757EEF05"/>
    <w:rsid w:val="757F5C9F"/>
    <w:rsid w:val="7581257F"/>
    <w:rsid w:val="7581A5B8"/>
    <w:rsid w:val="758341D8"/>
    <w:rsid w:val="758BAA17"/>
    <w:rsid w:val="75929055"/>
    <w:rsid w:val="75967FED"/>
    <w:rsid w:val="7596CF44"/>
    <w:rsid w:val="75983500"/>
    <w:rsid w:val="759E81FB"/>
    <w:rsid w:val="759F985A"/>
    <w:rsid w:val="759FECFF"/>
    <w:rsid w:val="75A023A8"/>
    <w:rsid w:val="75A1E9C9"/>
    <w:rsid w:val="75A2502D"/>
    <w:rsid w:val="75A67A08"/>
    <w:rsid w:val="75A6AB05"/>
    <w:rsid w:val="75ADA050"/>
    <w:rsid w:val="75AFE855"/>
    <w:rsid w:val="75B9AC5A"/>
    <w:rsid w:val="75BADA02"/>
    <w:rsid w:val="75BC26FA"/>
    <w:rsid w:val="75BEC216"/>
    <w:rsid w:val="75BF4B24"/>
    <w:rsid w:val="75C97013"/>
    <w:rsid w:val="75D122A5"/>
    <w:rsid w:val="75D40A4A"/>
    <w:rsid w:val="75D79B66"/>
    <w:rsid w:val="75DDDBBC"/>
    <w:rsid w:val="75E0EC1E"/>
    <w:rsid w:val="75E626EF"/>
    <w:rsid w:val="75E68C8C"/>
    <w:rsid w:val="75E81971"/>
    <w:rsid w:val="75EA87BC"/>
    <w:rsid w:val="75EAB7E6"/>
    <w:rsid w:val="75EEE12D"/>
    <w:rsid w:val="75F0F820"/>
    <w:rsid w:val="75F6E211"/>
    <w:rsid w:val="75F81A07"/>
    <w:rsid w:val="760140DD"/>
    <w:rsid w:val="760307E6"/>
    <w:rsid w:val="760A78BD"/>
    <w:rsid w:val="760AC4ED"/>
    <w:rsid w:val="760CFD96"/>
    <w:rsid w:val="760EE0CC"/>
    <w:rsid w:val="76184328"/>
    <w:rsid w:val="762C6539"/>
    <w:rsid w:val="762F6DC2"/>
    <w:rsid w:val="76324030"/>
    <w:rsid w:val="7633833E"/>
    <w:rsid w:val="7633D6BB"/>
    <w:rsid w:val="76399A7C"/>
    <w:rsid w:val="763FD08B"/>
    <w:rsid w:val="764230FB"/>
    <w:rsid w:val="76458D96"/>
    <w:rsid w:val="764A8044"/>
    <w:rsid w:val="764AD07D"/>
    <w:rsid w:val="764ADF37"/>
    <w:rsid w:val="76505DE2"/>
    <w:rsid w:val="7654FCE7"/>
    <w:rsid w:val="7657892F"/>
    <w:rsid w:val="76584364"/>
    <w:rsid w:val="765B056D"/>
    <w:rsid w:val="765ED256"/>
    <w:rsid w:val="7664DA83"/>
    <w:rsid w:val="76659410"/>
    <w:rsid w:val="766CFDDB"/>
    <w:rsid w:val="7674E235"/>
    <w:rsid w:val="76765B1B"/>
    <w:rsid w:val="767FD814"/>
    <w:rsid w:val="76863D7D"/>
    <w:rsid w:val="76906AA1"/>
    <w:rsid w:val="76A4C129"/>
    <w:rsid w:val="76A6BA45"/>
    <w:rsid w:val="76AB0667"/>
    <w:rsid w:val="76AB26CC"/>
    <w:rsid w:val="76AC1C17"/>
    <w:rsid w:val="76B70183"/>
    <w:rsid w:val="76BA7966"/>
    <w:rsid w:val="76BF66C1"/>
    <w:rsid w:val="76C2B388"/>
    <w:rsid w:val="76C6A7B3"/>
    <w:rsid w:val="76C79ADF"/>
    <w:rsid w:val="76C97323"/>
    <w:rsid w:val="76CA7C85"/>
    <w:rsid w:val="76CC0162"/>
    <w:rsid w:val="76D300C7"/>
    <w:rsid w:val="76DC5CD6"/>
    <w:rsid w:val="76E1353B"/>
    <w:rsid w:val="76E533A0"/>
    <w:rsid w:val="76E67AA2"/>
    <w:rsid w:val="76EBCC9B"/>
    <w:rsid w:val="76F00108"/>
    <w:rsid w:val="76F0BF2C"/>
    <w:rsid w:val="76F58F20"/>
    <w:rsid w:val="76F7A73A"/>
    <w:rsid w:val="7705D10E"/>
    <w:rsid w:val="7706A94A"/>
    <w:rsid w:val="770B3A88"/>
    <w:rsid w:val="770B5E5A"/>
    <w:rsid w:val="77153DDF"/>
    <w:rsid w:val="7719F84B"/>
    <w:rsid w:val="771ADBEF"/>
    <w:rsid w:val="772228DA"/>
    <w:rsid w:val="772389A7"/>
    <w:rsid w:val="772496F9"/>
    <w:rsid w:val="77249C72"/>
    <w:rsid w:val="77292204"/>
    <w:rsid w:val="77313E90"/>
    <w:rsid w:val="773D53D9"/>
    <w:rsid w:val="773F9496"/>
    <w:rsid w:val="77408D2C"/>
    <w:rsid w:val="7741A95C"/>
    <w:rsid w:val="7741CFBD"/>
    <w:rsid w:val="7745E140"/>
    <w:rsid w:val="774660AA"/>
    <w:rsid w:val="774FDF38"/>
    <w:rsid w:val="7758EC3A"/>
    <w:rsid w:val="775F6F76"/>
    <w:rsid w:val="7769DFE1"/>
    <w:rsid w:val="776A2708"/>
    <w:rsid w:val="776A5620"/>
    <w:rsid w:val="776D3550"/>
    <w:rsid w:val="77743A12"/>
    <w:rsid w:val="77748290"/>
    <w:rsid w:val="7774F691"/>
    <w:rsid w:val="7775AD54"/>
    <w:rsid w:val="7778D416"/>
    <w:rsid w:val="7779D843"/>
    <w:rsid w:val="777CB526"/>
    <w:rsid w:val="7783FD28"/>
    <w:rsid w:val="778430FD"/>
    <w:rsid w:val="7787E9D1"/>
    <w:rsid w:val="778C2644"/>
    <w:rsid w:val="77905979"/>
    <w:rsid w:val="7799326C"/>
    <w:rsid w:val="77A070C7"/>
    <w:rsid w:val="77BB15BD"/>
    <w:rsid w:val="77BC6570"/>
    <w:rsid w:val="77C76006"/>
    <w:rsid w:val="77C861AA"/>
    <w:rsid w:val="77D4CE41"/>
    <w:rsid w:val="77D85F53"/>
    <w:rsid w:val="77DB917C"/>
    <w:rsid w:val="77DCD19D"/>
    <w:rsid w:val="77E15DF7"/>
    <w:rsid w:val="77E1C866"/>
    <w:rsid w:val="77E8431F"/>
    <w:rsid w:val="77EB8960"/>
    <w:rsid w:val="77EC6E05"/>
    <w:rsid w:val="77F742A2"/>
    <w:rsid w:val="78009C14"/>
    <w:rsid w:val="78029309"/>
    <w:rsid w:val="7803639A"/>
    <w:rsid w:val="7804A886"/>
    <w:rsid w:val="7806E2F6"/>
    <w:rsid w:val="780B691B"/>
    <w:rsid w:val="780D67E7"/>
    <w:rsid w:val="781110D1"/>
    <w:rsid w:val="781A613F"/>
    <w:rsid w:val="781D3520"/>
    <w:rsid w:val="781D74AE"/>
    <w:rsid w:val="7822C714"/>
    <w:rsid w:val="782A44AF"/>
    <w:rsid w:val="782EE577"/>
    <w:rsid w:val="7834501F"/>
    <w:rsid w:val="78379A55"/>
    <w:rsid w:val="783891D0"/>
    <w:rsid w:val="783D2F83"/>
    <w:rsid w:val="783D5D11"/>
    <w:rsid w:val="78484D62"/>
    <w:rsid w:val="7848B57B"/>
    <w:rsid w:val="7849BE60"/>
    <w:rsid w:val="7851D430"/>
    <w:rsid w:val="78597A2E"/>
    <w:rsid w:val="786B6ACE"/>
    <w:rsid w:val="787498B2"/>
    <w:rsid w:val="787DDA5C"/>
    <w:rsid w:val="7882322C"/>
    <w:rsid w:val="7886C9D0"/>
    <w:rsid w:val="78892242"/>
    <w:rsid w:val="788A1C5B"/>
    <w:rsid w:val="788C3A61"/>
    <w:rsid w:val="788DDBF5"/>
    <w:rsid w:val="78909E0F"/>
    <w:rsid w:val="7895A535"/>
    <w:rsid w:val="789A8BF4"/>
    <w:rsid w:val="78ABF19C"/>
    <w:rsid w:val="78AD0732"/>
    <w:rsid w:val="78B10E40"/>
    <w:rsid w:val="78BFF1A5"/>
    <w:rsid w:val="78C9DAAC"/>
    <w:rsid w:val="78CBC3FB"/>
    <w:rsid w:val="78CE2EDB"/>
    <w:rsid w:val="78D2CD91"/>
    <w:rsid w:val="78D85086"/>
    <w:rsid w:val="78DF0E55"/>
    <w:rsid w:val="78E10F6B"/>
    <w:rsid w:val="78EA7807"/>
    <w:rsid w:val="78F4E183"/>
    <w:rsid w:val="78F52438"/>
    <w:rsid w:val="78FA0DB0"/>
    <w:rsid w:val="79013936"/>
    <w:rsid w:val="790172F5"/>
    <w:rsid w:val="7904DF45"/>
    <w:rsid w:val="7907F35B"/>
    <w:rsid w:val="790C2056"/>
    <w:rsid w:val="790EB222"/>
    <w:rsid w:val="791052F1"/>
    <w:rsid w:val="79184091"/>
    <w:rsid w:val="7920F650"/>
    <w:rsid w:val="792948EC"/>
    <w:rsid w:val="792FE9AE"/>
    <w:rsid w:val="7932CC8C"/>
    <w:rsid w:val="79363E4F"/>
    <w:rsid w:val="793A0016"/>
    <w:rsid w:val="793A6807"/>
    <w:rsid w:val="793D9029"/>
    <w:rsid w:val="795045E3"/>
    <w:rsid w:val="7954C661"/>
    <w:rsid w:val="79570BCC"/>
    <w:rsid w:val="7957A098"/>
    <w:rsid w:val="795971F6"/>
    <w:rsid w:val="7964B974"/>
    <w:rsid w:val="796A1D87"/>
    <w:rsid w:val="79760C67"/>
    <w:rsid w:val="79769E66"/>
    <w:rsid w:val="797FC63F"/>
    <w:rsid w:val="7984769B"/>
    <w:rsid w:val="7985957F"/>
    <w:rsid w:val="7993BE02"/>
    <w:rsid w:val="799F3802"/>
    <w:rsid w:val="79A0C4A1"/>
    <w:rsid w:val="79AB79DD"/>
    <w:rsid w:val="79AFE70A"/>
    <w:rsid w:val="79B1A1FB"/>
    <w:rsid w:val="79B90B80"/>
    <w:rsid w:val="79B9A4D5"/>
    <w:rsid w:val="79BC470C"/>
    <w:rsid w:val="79BFC5CA"/>
    <w:rsid w:val="79C4272F"/>
    <w:rsid w:val="79C4F9A7"/>
    <w:rsid w:val="79CA0B70"/>
    <w:rsid w:val="79CFE474"/>
    <w:rsid w:val="79D11A89"/>
    <w:rsid w:val="79D65F59"/>
    <w:rsid w:val="79D6AC45"/>
    <w:rsid w:val="79DEF2DF"/>
    <w:rsid w:val="79E94CB6"/>
    <w:rsid w:val="79EF0C00"/>
    <w:rsid w:val="79EF896A"/>
    <w:rsid w:val="79F13EE9"/>
    <w:rsid w:val="79F542A2"/>
    <w:rsid w:val="79F882C0"/>
    <w:rsid w:val="79FC7531"/>
    <w:rsid w:val="79FEFC5B"/>
    <w:rsid w:val="7A00B032"/>
    <w:rsid w:val="7A018A44"/>
    <w:rsid w:val="7A01C835"/>
    <w:rsid w:val="7A03A224"/>
    <w:rsid w:val="7A046AAD"/>
    <w:rsid w:val="7A1A5788"/>
    <w:rsid w:val="7A1D4C15"/>
    <w:rsid w:val="7A20096F"/>
    <w:rsid w:val="7A238266"/>
    <w:rsid w:val="7A2EFBFF"/>
    <w:rsid w:val="7A4CDEA1"/>
    <w:rsid w:val="7A4DFC7C"/>
    <w:rsid w:val="7A4F3BAE"/>
    <w:rsid w:val="7A554141"/>
    <w:rsid w:val="7A5550A9"/>
    <w:rsid w:val="7A56CA2B"/>
    <w:rsid w:val="7A6467D6"/>
    <w:rsid w:val="7A675BAE"/>
    <w:rsid w:val="7A75B87D"/>
    <w:rsid w:val="7A75BC81"/>
    <w:rsid w:val="7A765780"/>
    <w:rsid w:val="7A77058F"/>
    <w:rsid w:val="7A8AE402"/>
    <w:rsid w:val="7A96D163"/>
    <w:rsid w:val="7A97B048"/>
    <w:rsid w:val="7A996FF2"/>
    <w:rsid w:val="7A9F02EF"/>
    <w:rsid w:val="7AA8F90F"/>
    <w:rsid w:val="7AAB1B89"/>
    <w:rsid w:val="7AB3391F"/>
    <w:rsid w:val="7AC10E5A"/>
    <w:rsid w:val="7AC1B4F7"/>
    <w:rsid w:val="7AC36CD7"/>
    <w:rsid w:val="7AC3F88C"/>
    <w:rsid w:val="7AC51DF2"/>
    <w:rsid w:val="7AC85F85"/>
    <w:rsid w:val="7ADB423F"/>
    <w:rsid w:val="7AEE23F3"/>
    <w:rsid w:val="7AEEAFB9"/>
    <w:rsid w:val="7AF3F23E"/>
    <w:rsid w:val="7AF76517"/>
    <w:rsid w:val="7B00B8DD"/>
    <w:rsid w:val="7B0595FC"/>
    <w:rsid w:val="7B09CE5C"/>
    <w:rsid w:val="7B106C5A"/>
    <w:rsid w:val="7B1B0717"/>
    <w:rsid w:val="7B31F6D0"/>
    <w:rsid w:val="7B3A6B97"/>
    <w:rsid w:val="7B40F151"/>
    <w:rsid w:val="7B45F670"/>
    <w:rsid w:val="7B46B319"/>
    <w:rsid w:val="7B4CE5E6"/>
    <w:rsid w:val="7B50532F"/>
    <w:rsid w:val="7B50F971"/>
    <w:rsid w:val="7B548EBC"/>
    <w:rsid w:val="7B557536"/>
    <w:rsid w:val="7B57F9A4"/>
    <w:rsid w:val="7B591F94"/>
    <w:rsid w:val="7B5B028F"/>
    <w:rsid w:val="7B64A119"/>
    <w:rsid w:val="7B6D2F8C"/>
    <w:rsid w:val="7B77F378"/>
    <w:rsid w:val="7B7B5E97"/>
    <w:rsid w:val="7B7E80F0"/>
    <w:rsid w:val="7B916E60"/>
    <w:rsid w:val="7B999A51"/>
    <w:rsid w:val="7B9F548B"/>
    <w:rsid w:val="7BAADA2E"/>
    <w:rsid w:val="7BB09423"/>
    <w:rsid w:val="7BB2CCF6"/>
    <w:rsid w:val="7BB371A4"/>
    <w:rsid w:val="7BBA0B58"/>
    <w:rsid w:val="7BBE83D3"/>
    <w:rsid w:val="7BC73B44"/>
    <w:rsid w:val="7BD3C9DE"/>
    <w:rsid w:val="7BD79BDE"/>
    <w:rsid w:val="7BD8675F"/>
    <w:rsid w:val="7BDDC63C"/>
    <w:rsid w:val="7BDE5ED9"/>
    <w:rsid w:val="7BE51741"/>
    <w:rsid w:val="7BE60BEA"/>
    <w:rsid w:val="7BECE7FD"/>
    <w:rsid w:val="7BFEC53A"/>
    <w:rsid w:val="7C11D204"/>
    <w:rsid w:val="7C12D5F0"/>
    <w:rsid w:val="7C1BD260"/>
    <w:rsid w:val="7C1DC8AE"/>
    <w:rsid w:val="7C2670E7"/>
    <w:rsid w:val="7C267EE7"/>
    <w:rsid w:val="7C27D46E"/>
    <w:rsid w:val="7C2BA915"/>
    <w:rsid w:val="7C2E3115"/>
    <w:rsid w:val="7C364D8B"/>
    <w:rsid w:val="7C38FFDC"/>
    <w:rsid w:val="7C3BA430"/>
    <w:rsid w:val="7C47D9E1"/>
    <w:rsid w:val="7C482625"/>
    <w:rsid w:val="7C49F33C"/>
    <w:rsid w:val="7C4BAD81"/>
    <w:rsid w:val="7C4C13FF"/>
    <w:rsid w:val="7C5208E0"/>
    <w:rsid w:val="7C596A1B"/>
    <w:rsid w:val="7C5A0AD4"/>
    <w:rsid w:val="7C5C6DF9"/>
    <w:rsid w:val="7C67B416"/>
    <w:rsid w:val="7C685A3F"/>
    <w:rsid w:val="7C68A1BF"/>
    <w:rsid w:val="7C6B4101"/>
    <w:rsid w:val="7C797A8A"/>
    <w:rsid w:val="7C7BE025"/>
    <w:rsid w:val="7C7CF67B"/>
    <w:rsid w:val="7C7DCBB0"/>
    <w:rsid w:val="7C7DD32E"/>
    <w:rsid w:val="7C809CBC"/>
    <w:rsid w:val="7C8DB555"/>
    <w:rsid w:val="7C933578"/>
    <w:rsid w:val="7C93AF5B"/>
    <w:rsid w:val="7C96AC23"/>
    <w:rsid w:val="7C99C7FB"/>
    <w:rsid w:val="7C99F2BF"/>
    <w:rsid w:val="7C9A68B0"/>
    <w:rsid w:val="7C9BCD3B"/>
    <w:rsid w:val="7C9EDE93"/>
    <w:rsid w:val="7CA7D5D1"/>
    <w:rsid w:val="7CB5C82F"/>
    <w:rsid w:val="7CB857E9"/>
    <w:rsid w:val="7CC09CE6"/>
    <w:rsid w:val="7CCA5985"/>
    <w:rsid w:val="7CCE18FB"/>
    <w:rsid w:val="7CCF0E4F"/>
    <w:rsid w:val="7CD273E0"/>
    <w:rsid w:val="7CD3ECF7"/>
    <w:rsid w:val="7CD508EB"/>
    <w:rsid w:val="7CD95239"/>
    <w:rsid w:val="7CE34443"/>
    <w:rsid w:val="7CED7C59"/>
    <w:rsid w:val="7CF82306"/>
    <w:rsid w:val="7CF853F9"/>
    <w:rsid w:val="7CFB4320"/>
    <w:rsid w:val="7D00584D"/>
    <w:rsid w:val="7D00850C"/>
    <w:rsid w:val="7D0554D4"/>
    <w:rsid w:val="7D09D67C"/>
    <w:rsid w:val="7D11B921"/>
    <w:rsid w:val="7D15E9AF"/>
    <w:rsid w:val="7D192CEC"/>
    <w:rsid w:val="7D197803"/>
    <w:rsid w:val="7D23ED49"/>
    <w:rsid w:val="7D265476"/>
    <w:rsid w:val="7D2AABDE"/>
    <w:rsid w:val="7D2B1156"/>
    <w:rsid w:val="7D301644"/>
    <w:rsid w:val="7D31EA1F"/>
    <w:rsid w:val="7D3275FD"/>
    <w:rsid w:val="7D3A6F45"/>
    <w:rsid w:val="7D3FD187"/>
    <w:rsid w:val="7D43FA23"/>
    <w:rsid w:val="7D466474"/>
    <w:rsid w:val="7D4BFCF6"/>
    <w:rsid w:val="7D54E9AC"/>
    <w:rsid w:val="7D575AD3"/>
    <w:rsid w:val="7D57E4A7"/>
    <w:rsid w:val="7D5B3B07"/>
    <w:rsid w:val="7D62A022"/>
    <w:rsid w:val="7D7E5C6E"/>
    <w:rsid w:val="7D8863A2"/>
    <w:rsid w:val="7D961984"/>
    <w:rsid w:val="7D98A92E"/>
    <w:rsid w:val="7DA973C4"/>
    <w:rsid w:val="7DAA05A7"/>
    <w:rsid w:val="7DAAF0E0"/>
    <w:rsid w:val="7DAB261F"/>
    <w:rsid w:val="7DAEC560"/>
    <w:rsid w:val="7DB0C6C8"/>
    <w:rsid w:val="7DB43A96"/>
    <w:rsid w:val="7DC27676"/>
    <w:rsid w:val="7DC2E338"/>
    <w:rsid w:val="7DC59299"/>
    <w:rsid w:val="7DC5AC99"/>
    <w:rsid w:val="7DC67B0F"/>
    <w:rsid w:val="7DC91283"/>
    <w:rsid w:val="7DC92E92"/>
    <w:rsid w:val="7DC93972"/>
    <w:rsid w:val="7DD2AD1A"/>
    <w:rsid w:val="7DD87A7C"/>
    <w:rsid w:val="7DDA70D4"/>
    <w:rsid w:val="7DDC4467"/>
    <w:rsid w:val="7DE20D66"/>
    <w:rsid w:val="7DE270F1"/>
    <w:rsid w:val="7DE5649A"/>
    <w:rsid w:val="7DF955B9"/>
    <w:rsid w:val="7DF9DF97"/>
    <w:rsid w:val="7E04D33F"/>
    <w:rsid w:val="7E0C24E1"/>
    <w:rsid w:val="7E0CEAED"/>
    <w:rsid w:val="7E14D2FB"/>
    <w:rsid w:val="7E154B4B"/>
    <w:rsid w:val="7E17D5D0"/>
    <w:rsid w:val="7E1B41C4"/>
    <w:rsid w:val="7E22E9CC"/>
    <w:rsid w:val="7E27A159"/>
    <w:rsid w:val="7E27F4BF"/>
    <w:rsid w:val="7E2E18B5"/>
    <w:rsid w:val="7E4E3843"/>
    <w:rsid w:val="7E6034FD"/>
    <w:rsid w:val="7E65E570"/>
    <w:rsid w:val="7E6F0900"/>
    <w:rsid w:val="7E6FBD58"/>
    <w:rsid w:val="7E747A44"/>
    <w:rsid w:val="7E7B9B10"/>
    <w:rsid w:val="7E7DA721"/>
    <w:rsid w:val="7E82D5AA"/>
    <w:rsid w:val="7E85D19F"/>
    <w:rsid w:val="7E917FD5"/>
    <w:rsid w:val="7E9650DC"/>
    <w:rsid w:val="7E9E7742"/>
    <w:rsid w:val="7EA391A3"/>
    <w:rsid w:val="7EA5E66B"/>
    <w:rsid w:val="7EB25CF2"/>
    <w:rsid w:val="7EB5CC04"/>
    <w:rsid w:val="7EB6D342"/>
    <w:rsid w:val="7EBC660D"/>
    <w:rsid w:val="7EBCCAB4"/>
    <w:rsid w:val="7EBDBB33"/>
    <w:rsid w:val="7EBE4D5F"/>
    <w:rsid w:val="7EC224D7"/>
    <w:rsid w:val="7EC26826"/>
    <w:rsid w:val="7EC2F304"/>
    <w:rsid w:val="7EC4B181"/>
    <w:rsid w:val="7EC623BC"/>
    <w:rsid w:val="7ED003D7"/>
    <w:rsid w:val="7ED0CE3B"/>
    <w:rsid w:val="7ED3F91F"/>
    <w:rsid w:val="7ED52CAD"/>
    <w:rsid w:val="7EDB80B4"/>
    <w:rsid w:val="7EDBAF9A"/>
    <w:rsid w:val="7EDDD648"/>
    <w:rsid w:val="7EDF232B"/>
    <w:rsid w:val="7EDF4311"/>
    <w:rsid w:val="7EDFAD7A"/>
    <w:rsid w:val="7EE6B736"/>
    <w:rsid w:val="7EE80617"/>
    <w:rsid w:val="7EF9441F"/>
    <w:rsid w:val="7EFF2625"/>
    <w:rsid w:val="7F02C93C"/>
    <w:rsid w:val="7F13FAE4"/>
    <w:rsid w:val="7F1914D2"/>
    <w:rsid w:val="7F1AD3B8"/>
    <w:rsid w:val="7F1BF0EA"/>
    <w:rsid w:val="7F229620"/>
    <w:rsid w:val="7F2845E1"/>
    <w:rsid w:val="7F2C31E4"/>
    <w:rsid w:val="7F34D1FC"/>
    <w:rsid w:val="7F37388F"/>
    <w:rsid w:val="7F3FFFAC"/>
    <w:rsid w:val="7F42978D"/>
    <w:rsid w:val="7F4865BE"/>
    <w:rsid w:val="7F493115"/>
    <w:rsid w:val="7F4BDF19"/>
    <w:rsid w:val="7F4E9210"/>
    <w:rsid w:val="7F507FAE"/>
    <w:rsid w:val="7F52DFD7"/>
    <w:rsid w:val="7F5BDC2C"/>
    <w:rsid w:val="7F679C7E"/>
    <w:rsid w:val="7F68D0F6"/>
    <w:rsid w:val="7F693B8F"/>
    <w:rsid w:val="7F769650"/>
    <w:rsid w:val="7F7A7365"/>
    <w:rsid w:val="7F81B288"/>
    <w:rsid w:val="7F87F33D"/>
    <w:rsid w:val="7F898C0A"/>
    <w:rsid w:val="7F8C7257"/>
    <w:rsid w:val="7F922F20"/>
    <w:rsid w:val="7F9ED03D"/>
    <w:rsid w:val="7FA36A4C"/>
    <w:rsid w:val="7FAACF84"/>
    <w:rsid w:val="7FAC3670"/>
    <w:rsid w:val="7FB56C72"/>
    <w:rsid w:val="7FC219B4"/>
    <w:rsid w:val="7FC421F7"/>
    <w:rsid w:val="7FC90DE9"/>
    <w:rsid w:val="7FCAAFF7"/>
    <w:rsid w:val="7FD28890"/>
    <w:rsid w:val="7FD30B3B"/>
    <w:rsid w:val="7FD3B1EE"/>
    <w:rsid w:val="7FD3EE87"/>
    <w:rsid w:val="7FD470D4"/>
    <w:rsid w:val="7FD8CF4A"/>
    <w:rsid w:val="7FDAB6A7"/>
    <w:rsid w:val="7FDD800E"/>
    <w:rsid w:val="7FE23E2E"/>
    <w:rsid w:val="7FED3EB1"/>
    <w:rsid w:val="7FF1DD97"/>
    <w:rsid w:val="7FF41562"/>
    <w:rsid w:val="7FFEB7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79E3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94"/>
    <w:rPr>
      <w:rFonts w:ascii="Arial" w:hAnsi="Arial" w:cs="Arial"/>
      <w:sz w:val="22"/>
      <w:szCs w:val="24"/>
    </w:rPr>
  </w:style>
  <w:style w:type="paragraph" w:styleId="Heading1">
    <w:name w:val="heading 1"/>
    <w:basedOn w:val="HeadingBase"/>
    <w:next w:val="NumberLevel1"/>
    <w:link w:val="Heading1Char"/>
    <w:qFormat/>
    <w:pPr>
      <w:keepNext/>
      <w:keepLines/>
      <w:outlineLvl w:val="0"/>
    </w:pPr>
    <w:rPr>
      <w:b/>
      <w:bCs/>
      <w:caps/>
      <w:kern w:val="32"/>
      <w:szCs w:val="32"/>
    </w:rPr>
  </w:style>
  <w:style w:type="paragraph" w:styleId="Heading2">
    <w:name w:val="heading 2"/>
    <w:basedOn w:val="HeadingBase"/>
    <w:next w:val="NumberLevel1"/>
    <w:link w:val="Heading2Char"/>
    <w:uiPriority w:val="9"/>
    <w:qFormat/>
    <w:pPr>
      <w:keepNext/>
      <w:keepLines/>
      <w:outlineLvl w:val="1"/>
    </w:pPr>
    <w:rPr>
      <w:b/>
      <w:bCs/>
      <w:iCs/>
      <w:sz w:val="22"/>
      <w:szCs w:val="28"/>
    </w:rPr>
  </w:style>
  <w:style w:type="paragraph" w:styleId="Heading3">
    <w:name w:val="heading 3"/>
    <w:basedOn w:val="HeadingBase"/>
    <w:next w:val="NumberLevel1"/>
    <w:link w:val="Heading3Char"/>
    <w:qFormat/>
    <w:pPr>
      <w:keepNext/>
      <w:keepLines/>
      <w:outlineLvl w:val="2"/>
    </w:pPr>
    <w:rPr>
      <w:b/>
      <w:bCs/>
      <w:i/>
      <w:szCs w:val="26"/>
    </w:rPr>
  </w:style>
  <w:style w:type="paragraph" w:styleId="Heading4">
    <w:name w:val="heading 4"/>
    <w:basedOn w:val="HeadingBase"/>
    <w:next w:val="NumberLevel1"/>
    <w:link w:val="Heading4Char"/>
    <w:uiPriority w:val="9"/>
    <w:qFormat/>
    <w:pPr>
      <w:keepNext/>
      <w:keepLines/>
      <w:outlineLvl w:val="3"/>
    </w:pPr>
    <w:rPr>
      <w:bCs/>
      <w:i/>
      <w:szCs w:val="28"/>
    </w:rPr>
  </w:style>
  <w:style w:type="paragraph" w:styleId="Heading5">
    <w:name w:val="heading 5"/>
    <w:basedOn w:val="HeadingBase"/>
    <w:next w:val="NumberLevel1"/>
    <w:link w:val="Heading5Char"/>
    <w:uiPriority w:val="9"/>
    <w:qFormat/>
    <w:pPr>
      <w:keepNext/>
      <w:keepLines/>
      <w:outlineLvl w:val="4"/>
    </w:pPr>
    <w:rPr>
      <w:b/>
      <w:bCs/>
      <w:iCs/>
      <w:sz w:val="18"/>
      <w:szCs w:val="26"/>
    </w:rPr>
  </w:style>
  <w:style w:type="paragraph" w:styleId="Heading6">
    <w:name w:val="heading 6"/>
    <w:basedOn w:val="Normal"/>
    <w:next w:val="Normal"/>
    <w:qFormat/>
    <w:pPr>
      <w:keepNext/>
      <w:outlineLvl w:val="5"/>
    </w:pPr>
    <w:rPr>
      <w:b/>
      <w:szCs w:val="22"/>
    </w:rPr>
  </w:style>
  <w:style w:type="paragraph" w:styleId="Heading7">
    <w:name w:val="heading 7"/>
    <w:basedOn w:val="Normal"/>
    <w:next w:val="Normal"/>
    <w:qFormat/>
    <w:pPr>
      <w:keepNext/>
      <w:widowControl w:val="0"/>
      <w:jc w:val="center"/>
      <w:outlineLvl w:val="6"/>
    </w:pPr>
    <w:rPr>
      <w:b/>
      <w:szCs w:val="22"/>
    </w:rPr>
  </w:style>
  <w:style w:type="paragraph" w:styleId="Heading8">
    <w:name w:val="heading 8"/>
    <w:basedOn w:val="Normal"/>
    <w:next w:val="Normal"/>
    <w:qFormat/>
    <w:pPr>
      <w:keepNext/>
      <w:outlineLvl w:val="7"/>
    </w:pPr>
    <w:rPr>
      <w:b/>
      <w:szCs w:val="22"/>
    </w:rPr>
  </w:style>
  <w:style w:type="paragraph" w:styleId="Heading9">
    <w:name w:val="heading 9"/>
    <w:basedOn w:val="Normal"/>
    <w:next w:val="Normal"/>
    <w:qFormat/>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pPr>
      <w:spacing w:before="140" w:after="140" w:line="280" w:lineRule="atLeast"/>
    </w:pPr>
    <w:rPr>
      <w:rFonts w:ascii="Arial" w:hAnsi="Arial" w:cs="Arial"/>
      <w:sz w:val="22"/>
      <w:szCs w:val="22"/>
    </w:rPr>
  </w:style>
  <w:style w:type="paragraph" w:customStyle="1" w:styleId="HeadingBase">
    <w:name w:val="Heading Base"/>
    <w:link w:val="HeadingBaseChar"/>
    <w:semiHidden/>
    <w:pPr>
      <w:spacing w:before="200" w:line="280" w:lineRule="atLeast"/>
    </w:pPr>
    <w:rPr>
      <w:rFonts w:ascii="Arial" w:hAnsi="Arial" w:cs="Arial"/>
      <w:szCs w:val="22"/>
    </w:rPr>
  </w:style>
  <w:style w:type="paragraph" w:customStyle="1" w:styleId="PlainParagraph">
    <w:name w:val="Plain Paragraph"/>
    <w:basedOn w:val="NormalBase"/>
    <w:link w:val="PlainParagraphChar2"/>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link w:val="FooterChar1"/>
    <w:uiPriority w:val="99"/>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link w:val="HeaderChar"/>
    <w:uiPriority w:val="99"/>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3"/>
      </w:numPr>
      <w:spacing w:before="0" w:line="260" w:lineRule="atLeast"/>
    </w:pPr>
    <w:rPr>
      <w:sz w:val="20"/>
    </w:rPr>
  </w:style>
  <w:style w:type="paragraph" w:customStyle="1" w:styleId="Quotation1">
    <w:name w:val="Quotation 1"/>
    <w:basedOn w:val="PlainParagraph"/>
    <w:link w:val="Quotation1Char1"/>
    <w:pPr>
      <w:numPr>
        <w:ilvl w:val="1"/>
        <w:numId w:val="13"/>
      </w:numPr>
      <w:spacing w:before="0" w:line="260" w:lineRule="atLeast"/>
    </w:pPr>
    <w:rPr>
      <w:sz w:val="20"/>
    </w:rPr>
  </w:style>
  <w:style w:type="paragraph" w:customStyle="1" w:styleId="Quotation2">
    <w:name w:val="Quotation 2"/>
    <w:basedOn w:val="PlainParagraph"/>
    <w:semiHidden/>
    <w:pPr>
      <w:numPr>
        <w:ilvl w:val="2"/>
        <w:numId w:val="13"/>
      </w:numPr>
      <w:spacing w:before="0" w:line="260" w:lineRule="atLeast"/>
    </w:pPr>
    <w:rPr>
      <w:sz w:val="20"/>
    </w:rPr>
  </w:style>
  <w:style w:type="paragraph" w:customStyle="1" w:styleId="Quotation3">
    <w:name w:val="Quotation 3"/>
    <w:basedOn w:val="PlainParagraph"/>
    <w:semiHidden/>
    <w:pPr>
      <w:numPr>
        <w:ilvl w:val="3"/>
        <w:numId w:val="13"/>
      </w:numPr>
      <w:spacing w:before="0" w:line="260" w:lineRule="atLeast"/>
    </w:pPr>
    <w:rPr>
      <w:sz w:val="20"/>
    </w:rPr>
  </w:style>
  <w:style w:type="paragraph" w:customStyle="1" w:styleId="Quotation4">
    <w:name w:val="Quotation 4"/>
    <w:basedOn w:val="PlainParagraph"/>
    <w:semiHidden/>
    <w:pPr>
      <w:numPr>
        <w:ilvl w:val="4"/>
        <w:numId w:val="13"/>
      </w:numPr>
      <w:spacing w:before="0" w:line="260" w:lineRule="atLeast"/>
    </w:pPr>
    <w:rPr>
      <w:sz w:val="20"/>
    </w:rPr>
  </w:style>
  <w:style w:type="paragraph" w:customStyle="1" w:styleId="Quotation5">
    <w:name w:val="Quotation 5"/>
    <w:basedOn w:val="PlainParagraph"/>
    <w:semiHidden/>
    <w:pPr>
      <w:numPr>
        <w:ilvl w:val="5"/>
        <w:numId w:val="13"/>
      </w:numPr>
      <w:spacing w:before="0" w:line="260" w:lineRule="atLeast"/>
    </w:pPr>
    <w:rPr>
      <w:sz w:val="20"/>
    </w:rPr>
  </w:style>
  <w:style w:type="paragraph" w:customStyle="1" w:styleId="Quotation6">
    <w:name w:val="Quotation 6"/>
    <w:basedOn w:val="PlainParagraph"/>
    <w:semiHidden/>
    <w:pPr>
      <w:numPr>
        <w:ilvl w:val="6"/>
        <w:numId w:val="13"/>
      </w:numPr>
      <w:spacing w:before="0" w:line="260" w:lineRule="atLeast"/>
    </w:pPr>
    <w:rPr>
      <w:sz w:val="20"/>
    </w:rPr>
  </w:style>
  <w:style w:type="paragraph" w:customStyle="1" w:styleId="Quotation7">
    <w:name w:val="Quotation 7"/>
    <w:basedOn w:val="PlainParagraph"/>
    <w:semiHidden/>
    <w:pPr>
      <w:numPr>
        <w:ilvl w:val="7"/>
        <w:numId w:val="13"/>
      </w:numPr>
      <w:spacing w:before="0" w:line="260" w:lineRule="atLeast"/>
    </w:pPr>
    <w:rPr>
      <w:sz w:val="20"/>
    </w:rPr>
  </w:style>
  <w:style w:type="paragraph" w:customStyle="1" w:styleId="Quotation8">
    <w:name w:val="Quotation 8"/>
    <w:basedOn w:val="PlainParagraph"/>
    <w:semiHidden/>
    <w:pPr>
      <w:numPr>
        <w:ilvl w:val="8"/>
        <w:numId w:val="13"/>
      </w:numPr>
      <w:spacing w:before="0" w:line="260" w:lineRule="atLeast"/>
    </w:pPr>
    <w:rPr>
      <w:sz w:val="20"/>
    </w:rPr>
  </w:style>
  <w:style w:type="paragraph" w:customStyle="1" w:styleId="NumberLevel1">
    <w:name w:val="Number Level 1"/>
    <w:basedOn w:val="PlainParagraph"/>
    <w:link w:val="NumberLevel1Char1"/>
  </w:style>
  <w:style w:type="paragraph" w:customStyle="1" w:styleId="NumberLevel2">
    <w:name w:val="Number Level 2"/>
    <w:basedOn w:val="PlainParagraph"/>
    <w:link w:val="NumberLevel2Char"/>
  </w:style>
  <w:style w:type="paragraph" w:customStyle="1" w:styleId="NumberLevel3">
    <w:name w:val="Number Level 3"/>
    <w:basedOn w:val="PlainParagraph"/>
  </w:style>
  <w:style w:type="paragraph" w:customStyle="1" w:styleId="NumberLevel4">
    <w:name w:val="Number Level 4"/>
    <w:basedOn w:val="PlainParagraph"/>
    <w:pPr>
      <w:spacing w:before="0"/>
    </w:pPr>
  </w:style>
  <w:style w:type="paragraph" w:customStyle="1" w:styleId="NumberLevel5">
    <w:name w:val="Number Level 5"/>
    <w:basedOn w:val="PlainParagraph"/>
    <w:semiHidden/>
    <w:pPr>
      <w:spacing w:before="0"/>
    </w:pPr>
  </w:style>
  <w:style w:type="paragraph" w:customStyle="1" w:styleId="NumberLevel6">
    <w:name w:val="Number Level 6"/>
    <w:basedOn w:val="NumberLevel5"/>
    <w:semiHidden/>
  </w:style>
  <w:style w:type="paragraph" w:customStyle="1" w:styleId="NumberLevel7">
    <w:name w:val="Number Level 7"/>
    <w:basedOn w:val="NumberLevel6"/>
    <w:semiHidden/>
  </w:style>
  <w:style w:type="paragraph" w:customStyle="1" w:styleId="NumberLevel8">
    <w:name w:val="Number Level 8"/>
    <w:basedOn w:val="NumberLevel7"/>
    <w:semiHidden/>
  </w:style>
  <w:style w:type="paragraph" w:customStyle="1" w:styleId="NumberLevel9">
    <w:name w:val="Number Level 9"/>
    <w:basedOn w:val="NumberLevel8"/>
    <w:semiHidden/>
  </w:style>
  <w:style w:type="paragraph" w:customStyle="1" w:styleId="DashEm">
    <w:name w:val="Dash: Em"/>
    <w:basedOn w:val="PlainParagraph"/>
    <w:semiHidden/>
    <w:pPr>
      <w:numPr>
        <w:numId w:val="14"/>
      </w:numPr>
      <w:spacing w:before="0"/>
    </w:pPr>
  </w:style>
  <w:style w:type="paragraph" w:customStyle="1" w:styleId="DashEm1">
    <w:name w:val="Dash: Em 1"/>
    <w:basedOn w:val="PlainParagraph"/>
    <w:pPr>
      <w:numPr>
        <w:ilvl w:val="1"/>
        <w:numId w:val="14"/>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15"/>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16"/>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17"/>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18"/>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link w:val="FootnoteTextChar"/>
    <w:uiPriority w:val="99"/>
    <w:semiHidden/>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uiPriority w:val="99"/>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pPr>
      <w:spacing w:before="360"/>
    </w:pPr>
    <w:rPr>
      <w:rFonts w:ascii="Arial" w:hAnsi="Arial" w:cs="Arial"/>
      <w:b/>
      <w:bCs/>
      <w:caps/>
      <w:sz w:val="24"/>
      <w:szCs w:val="24"/>
    </w:rPr>
  </w:style>
  <w:style w:type="paragraph" w:styleId="TOC2">
    <w:name w:val="toc 2"/>
    <w:basedOn w:val="TOC1"/>
    <w:next w:val="Normal"/>
    <w:autoRedefine/>
    <w:uiPriority w:val="39"/>
    <w:rsid w:val="00302638"/>
    <w:pPr>
      <w:tabs>
        <w:tab w:val="right" w:leader="dot" w:pos="8777"/>
      </w:tabs>
      <w:spacing w:before="240"/>
    </w:pPr>
    <w:rPr>
      <w:sz w:val="20"/>
      <w:szCs w:val="20"/>
    </w:rPr>
  </w:style>
  <w:style w:type="paragraph" w:styleId="TOC3">
    <w:name w:val="toc 3"/>
    <w:basedOn w:val="TOC2"/>
    <w:next w:val="Normal"/>
    <w:uiPriority w:val="39"/>
    <w:pPr>
      <w:spacing w:before="0"/>
      <w:ind w:left="220"/>
    </w:pPr>
    <w:rPr>
      <w:b w:val="0"/>
      <w:bCs w:val="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19"/>
      </w:numPr>
    </w:pPr>
  </w:style>
  <w:style w:type="paragraph" w:customStyle="1" w:styleId="TableNumberLevel2">
    <w:name w:val="Table: Number Level 2"/>
    <w:basedOn w:val="TablePlainParagraph"/>
    <w:pPr>
      <w:numPr>
        <w:ilvl w:val="1"/>
        <w:numId w:val="19"/>
      </w:numPr>
    </w:pPr>
  </w:style>
  <w:style w:type="paragraph" w:customStyle="1" w:styleId="TableNumberLevel3">
    <w:name w:val="Table: Number Level 3"/>
    <w:basedOn w:val="TablePlainParagraph"/>
    <w:pPr>
      <w:numPr>
        <w:ilvl w:val="2"/>
        <w:numId w:val="19"/>
      </w:numPr>
    </w:pPr>
  </w:style>
  <w:style w:type="paragraph" w:customStyle="1" w:styleId="TableNumberLevel4">
    <w:name w:val="Table: Number Level 4"/>
    <w:basedOn w:val="TablePlainParagraph"/>
    <w:pPr>
      <w:numPr>
        <w:ilvl w:val="3"/>
        <w:numId w:val="19"/>
      </w:numPr>
      <w:spacing w:before="0"/>
    </w:pPr>
  </w:style>
  <w:style w:type="paragraph" w:customStyle="1" w:styleId="TableNumberLevel5">
    <w:name w:val="Table: Number Level 5"/>
    <w:basedOn w:val="TablePlainParagraph"/>
    <w:semiHidden/>
    <w:pPr>
      <w:numPr>
        <w:ilvl w:val="4"/>
        <w:numId w:val="19"/>
      </w:numPr>
      <w:spacing w:before="0"/>
    </w:pPr>
  </w:style>
  <w:style w:type="paragraph" w:customStyle="1" w:styleId="TableNumberLevel6">
    <w:name w:val="Table: Number Level 6"/>
    <w:basedOn w:val="TablePlainParagraph"/>
    <w:semiHidden/>
    <w:pPr>
      <w:numPr>
        <w:ilvl w:val="5"/>
        <w:numId w:val="19"/>
      </w:numPr>
      <w:spacing w:before="0"/>
    </w:pPr>
  </w:style>
  <w:style w:type="paragraph" w:customStyle="1" w:styleId="TableNumberLevel7">
    <w:name w:val="Table: Number Level 7"/>
    <w:basedOn w:val="TablePlainParagraph"/>
    <w:semiHidden/>
    <w:pPr>
      <w:numPr>
        <w:ilvl w:val="6"/>
        <w:numId w:val="19"/>
      </w:numPr>
      <w:spacing w:before="0"/>
    </w:pPr>
  </w:style>
  <w:style w:type="paragraph" w:customStyle="1" w:styleId="TableNumberLevel8">
    <w:name w:val="Table: Number Level 8"/>
    <w:basedOn w:val="TablePlainParagraph"/>
    <w:semiHidden/>
    <w:pPr>
      <w:numPr>
        <w:ilvl w:val="7"/>
        <w:numId w:val="19"/>
      </w:numPr>
      <w:spacing w:before="0"/>
    </w:pPr>
  </w:style>
  <w:style w:type="paragraph" w:customStyle="1" w:styleId="TableNumberLevel9">
    <w:name w:val="Table: Number Level 9"/>
    <w:basedOn w:val="TablePlainParagraph"/>
    <w:semiHidden/>
    <w:pPr>
      <w:numPr>
        <w:ilvl w:val="8"/>
        <w:numId w:val="19"/>
      </w:numPr>
      <w:spacing w:before="0"/>
    </w:pPr>
  </w:style>
  <w:style w:type="paragraph" w:customStyle="1" w:styleId="TableDashEm">
    <w:name w:val="Table: Dash: Em"/>
    <w:basedOn w:val="TablePlainParagraph"/>
    <w:semiHidden/>
    <w:pPr>
      <w:numPr>
        <w:numId w:val="20"/>
      </w:numPr>
      <w:spacing w:before="0"/>
    </w:pPr>
  </w:style>
  <w:style w:type="paragraph" w:customStyle="1" w:styleId="TableDashEm1">
    <w:name w:val="Table: Dash: Em 1"/>
    <w:basedOn w:val="TablePlainParagraph"/>
    <w:pPr>
      <w:numPr>
        <w:ilvl w:val="1"/>
        <w:numId w:val="20"/>
      </w:numPr>
      <w:spacing w:before="0"/>
    </w:pPr>
  </w:style>
  <w:style w:type="paragraph" w:customStyle="1" w:styleId="TableDashEn1">
    <w:name w:val="Table: Dash: En 1"/>
    <w:basedOn w:val="TablePlainParagraph"/>
    <w:pPr>
      <w:numPr>
        <w:ilvl w:val="2"/>
        <w:numId w:val="20"/>
      </w:numPr>
      <w:spacing w:before="0"/>
    </w:pPr>
  </w:style>
  <w:style w:type="paragraph" w:customStyle="1" w:styleId="TableDashEn2">
    <w:name w:val="Table: Dash: En 2"/>
    <w:basedOn w:val="TablePlainParagraph"/>
    <w:semiHidden/>
    <w:pPr>
      <w:numPr>
        <w:ilvl w:val="3"/>
        <w:numId w:val="20"/>
      </w:numPr>
      <w:spacing w:before="0"/>
    </w:pPr>
  </w:style>
  <w:style w:type="paragraph" w:customStyle="1" w:styleId="TableDashEn3">
    <w:name w:val="Table: Dash: En 3"/>
    <w:basedOn w:val="TablePlainParagraph"/>
    <w:semiHidden/>
    <w:pPr>
      <w:numPr>
        <w:ilvl w:val="4"/>
        <w:numId w:val="20"/>
      </w:numPr>
      <w:spacing w:before="0"/>
    </w:pPr>
  </w:style>
  <w:style w:type="paragraph" w:customStyle="1" w:styleId="TableDashEn4">
    <w:name w:val="Table: Dash: En 4"/>
    <w:basedOn w:val="TablePlainParagraph"/>
    <w:semiHidden/>
    <w:pPr>
      <w:numPr>
        <w:ilvl w:val="5"/>
        <w:numId w:val="20"/>
      </w:numPr>
      <w:spacing w:before="0"/>
    </w:pPr>
  </w:style>
  <w:style w:type="paragraph" w:customStyle="1" w:styleId="TableDashEn5">
    <w:name w:val="Table: Dash: En 5"/>
    <w:basedOn w:val="TablePlainParagraph"/>
    <w:semiHidden/>
    <w:pPr>
      <w:numPr>
        <w:ilvl w:val="6"/>
        <w:numId w:val="20"/>
      </w:numPr>
      <w:spacing w:before="0"/>
    </w:pPr>
  </w:style>
  <w:style w:type="paragraph" w:customStyle="1" w:styleId="TableDashEn6">
    <w:name w:val="Table: Dash: En 6"/>
    <w:basedOn w:val="TablePlainParagraph"/>
    <w:semiHidden/>
    <w:pPr>
      <w:numPr>
        <w:ilvl w:val="7"/>
        <w:numId w:val="20"/>
      </w:numPr>
      <w:spacing w:before="0"/>
    </w:pPr>
  </w:style>
  <w:style w:type="paragraph" w:customStyle="1" w:styleId="TableDashEn7">
    <w:name w:val="Table: Dash: En 7"/>
    <w:basedOn w:val="TablePlainParagraph"/>
    <w:semiHidden/>
    <w:pPr>
      <w:numPr>
        <w:ilvl w:val="8"/>
        <w:numId w:val="20"/>
      </w:numPr>
      <w:spacing w:before="0"/>
    </w:pPr>
  </w:style>
  <w:style w:type="paragraph" w:customStyle="1" w:styleId="TableIndentHanging">
    <w:name w:val="Table: Indent: Hanging"/>
    <w:basedOn w:val="TablePlainParagraph"/>
    <w:semiHidden/>
    <w:pPr>
      <w:numPr>
        <w:numId w:val="21"/>
      </w:numPr>
      <w:tabs>
        <w:tab w:val="left" w:pos="283"/>
      </w:tabs>
      <w:spacing w:before="0"/>
    </w:pPr>
  </w:style>
  <w:style w:type="paragraph" w:customStyle="1" w:styleId="TableIndentHanging1">
    <w:name w:val="Table: Indent: Hanging 1"/>
    <w:basedOn w:val="TablePlainParagraph"/>
    <w:pPr>
      <w:numPr>
        <w:ilvl w:val="1"/>
        <w:numId w:val="21"/>
      </w:numPr>
      <w:tabs>
        <w:tab w:val="left" w:pos="283"/>
      </w:tabs>
      <w:spacing w:before="0"/>
    </w:pPr>
  </w:style>
  <w:style w:type="paragraph" w:customStyle="1" w:styleId="TableIndentHanging2">
    <w:name w:val="Table: Indent: Hanging 2"/>
    <w:basedOn w:val="TablePlainParagraph"/>
    <w:semiHidden/>
    <w:pPr>
      <w:numPr>
        <w:ilvl w:val="2"/>
        <w:numId w:val="21"/>
      </w:numPr>
      <w:tabs>
        <w:tab w:val="left" w:pos="567"/>
      </w:tabs>
      <w:spacing w:before="0"/>
    </w:pPr>
  </w:style>
  <w:style w:type="paragraph" w:customStyle="1" w:styleId="TableIndentHanging3">
    <w:name w:val="Table: Indent: Hanging 3"/>
    <w:basedOn w:val="TablePlainParagraph"/>
    <w:semiHidden/>
    <w:pPr>
      <w:numPr>
        <w:ilvl w:val="3"/>
        <w:numId w:val="21"/>
      </w:numPr>
      <w:tabs>
        <w:tab w:val="left" w:pos="850"/>
      </w:tabs>
      <w:spacing w:before="0"/>
    </w:pPr>
  </w:style>
  <w:style w:type="paragraph" w:customStyle="1" w:styleId="TableIndentHanging4">
    <w:name w:val="Table: Indent: Hanging 4"/>
    <w:basedOn w:val="TablePlainParagraph"/>
    <w:semiHidden/>
    <w:pPr>
      <w:numPr>
        <w:ilvl w:val="4"/>
        <w:numId w:val="21"/>
      </w:numPr>
      <w:tabs>
        <w:tab w:val="left" w:pos="1134"/>
      </w:tabs>
      <w:spacing w:before="0"/>
    </w:pPr>
  </w:style>
  <w:style w:type="paragraph" w:customStyle="1" w:styleId="TableIndentHanging5">
    <w:name w:val="Table: Indent: Hanging 5"/>
    <w:basedOn w:val="TablePlainParagraph"/>
    <w:semiHidden/>
    <w:pPr>
      <w:numPr>
        <w:ilvl w:val="5"/>
        <w:numId w:val="21"/>
      </w:numPr>
      <w:tabs>
        <w:tab w:val="left" w:pos="1417"/>
      </w:tabs>
      <w:spacing w:before="0"/>
    </w:pPr>
  </w:style>
  <w:style w:type="paragraph" w:customStyle="1" w:styleId="TableIndentHanging6">
    <w:name w:val="Table: Indent: Hanging 6"/>
    <w:basedOn w:val="TablePlainParagraph"/>
    <w:semiHidden/>
    <w:pPr>
      <w:numPr>
        <w:ilvl w:val="6"/>
        <w:numId w:val="21"/>
      </w:numPr>
      <w:tabs>
        <w:tab w:val="left" w:pos="1701"/>
      </w:tabs>
      <w:spacing w:before="0"/>
    </w:pPr>
  </w:style>
  <w:style w:type="paragraph" w:customStyle="1" w:styleId="TableIndentHanging7">
    <w:name w:val="Table: Indent: Hanging 7"/>
    <w:basedOn w:val="TablePlainParagraph"/>
    <w:semiHidden/>
    <w:pPr>
      <w:numPr>
        <w:ilvl w:val="7"/>
        <w:numId w:val="21"/>
      </w:numPr>
      <w:tabs>
        <w:tab w:val="left" w:pos="1984"/>
      </w:tabs>
      <w:spacing w:before="0"/>
    </w:pPr>
  </w:style>
  <w:style w:type="paragraph" w:customStyle="1" w:styleId="TableIndentHanging8">
    <w:name w:val="Table: Indent: Hanging 8"/>
    <w:basedOn w:val="TablePlainParagraph"/>
    <w:semiHidden/>
    <w:pPr>
      <w:numPr>
        <w:ilvl w:val="8"/>
        <w:numId w:val="21"/>
      </w:numPr>
      <w:tabs>
        <w:tab w:val="left" w:pos="2268"/>
      </w:tabs>
      <w:spacing w:before="0"/>
    </w:pPr>
  </w:style>
  <w:style w:type="paragraph" w:customStyle="1" w:styleId="TableIndentFull">
    <w:name w:val="Table: Indent: Full"/>
    <w:basedOn w:val="TablePlainParagraph"/>
    <w:semiHidden/>
    <w:pPr>
      <w:numPr>
        <w:numId w:val="22"/>
      </w:numPr>
      <w:spacing w:before="0"/>
    </w:pPr>
  </w:style>
  <w:style w:type="paragraph" w:customStyle="1" w:styleId="TableIndentFull1">
    <w:name w:val="Table: Indent: Full 1"/>
    <w:basedOn w:val="TablePlainParagraph"/>
    <w:pPr>
      <w:numPr>
        <w:ilvl w:val="1"/>
        <w:numId w:val="22"/>
      </w:numPr>
      <w:spacing w:before="0"/>
    </w:pPr>
  </w:style>
  <w:style w:type="paragraph" w:customStyle="1" w:styleId="TableIndentFull2">
    <w:name w:val="Table: Indent: Full 2"/>
    <w:basedOn w:val="TablePlainParagraph"/>
    <w:semiHidden/>
    <w:pPr>
      <w:numPr>
        <w:ilvl w:val="2"/>
        <w:numId w:val="22"/>
      </w:numPr>
      <w:spacing w:before="0"/>
    </w:pPr>
  </w:style>
  <w:style w:type="paragraph" w:customStyle="1" w:styleId="TableIndentFull3">
    <w:name w:val="Table: Indent: Full 3"/>
    <w:basedOn w:val="TablePlainParagraph"/>
    <w:semiHidden/>
    <w:pPr>
      <w:numPr>
        <w:ilvl w:val="3"/>
        <w:numId w:val="22"/>
      </w:numPr>
      <w:spacing w:before="0"/>
    </w:pPr>
  </w:style>
  <w:style w:type="paragraph" w:customStyle="1" w:styleId="TableIndentFull4">
    <w:name w:val="Table: Indent: Full 4"/>
    <w:basedOn w:val="TablePlainParagraph"/>
    <w:semiHidden/>
    <w:pPr>
      <w:numPr>
        <w:ilvl w:val="4"/>
        <w:numId w:val="22"/>
      </w:numPr>
      <w:spacing w:before="0"/>
    </w:pPr>
  </w:style>
  <w:style w:type="paragraph" w:customStyle="1" w:styleId="TableIndentFull5">
    <w:name w:val="Table: Indent: Full 5"/>
    <w:basedOn w:val="TablePlainParagraph"/>
    <w:semiHidden/>
    <w:pPr>
      <w:numPr>
        <w:ilvl w:val="5"/>
        <w:numId w:val="22"/>
      </w:numPr>
      <w:spacing w:before="0"/>
    </w:pPr>
  </w:style>
  <w:style w:type="paragraph" w:customStyle="1" w:styleId="TableIndentFull6">
    <w:name w:val="Table: Indent: Full 6"/>
    <w:basedOn w:val="TablePlainParagraph"/>
    <w:semiHidden/>
    <w:pPr>
      <w:numPr>
        <w:ilvl w:val="6"/>
        <w:numId w:val="22"/>
      </w:numPr>
      <w:spacing w:before="0"/>
    </w:pPr>
  </w:style>
  <w:style w:type="paragraph" w:customStyle="1" w:styleId="TableIndentFull7">
    <w:name w:val="Table: Indent: Full 7"/>
    <w:basedOn w:val="TablePlainParagraph"/>
    <w:semiHidden/>
    <w:pPr>
      <w:numPr>
        <w:ilvl w:val="7"/>
        <w:numId w:val="22"/>
      </w:numPr>
      <w:spacing w:before="0"/>
    </w:pPr>
  </w:style>
  <w:style w:type="paragraph" w:customStyle="1" w:styleId="TableIndentFull8">
    <w:name w:val="Table: Indent: Full 8"/>
    <w:basedOn w:val="TablePlainParagraph"/>
    <w:semiHidden/>
    <w:pPr>
      <w:numPr>
        <w:ilvl w:val="8"/>
        <w:numId w:val="22"/>
      </w:numPr>
      <w:spacing w:before="0"/>
    </w:pPr>
  </w:style>
  <w:style w:type="paragraph" w:customStyle="1" w:styleId="TableNumberedList1">
    <w:name w:val="Table: Numbered List: 1)"/>
    <w:basedOn w:val="TablePlainParagraph"/>
    <w:semiHidden/>
    <w:pPr>
      <w:numPr>
        <w:numId w:val="23"/>
      </w:numPr>
      <w:spacing w:before="0"/>
    </w:pPr>
  </w:style>
  <w:style w:type="paragraph" w:customStyle="1" w:styleId="TableNumberedList11">
    <w:name w:val="Table: Numbered List: 1) 1"/>
    <w:basedOn w:val="TablePlainParagraph"/>
    <w:pPr>
      <w:numPr>
        <w:ilvl w:val="1"/>
        <w:numId w:val="23"/>
      </w:numPr>
      <w:spacing w:before="0"/>
    </w:pPr>
  </w:style>
  <w:style w:type="paragraph" w:customStyle="1" w:styleId="TableNumberedList12">
    <w:name w:val="Table: Numbered List: 1) 2"/>
    <w:basedOn w:val="TablePlainParagraph"/>
    <w:semiHidden/>
    <w:pPr>
      <w:numPr>
        <w:ilvl w:val="2"/>
        <w:numId w:val="23"/>
      </w:numPr>
      <w:spacing w:before="0"/>
    </w:pPr>
  </w:style>
  <w:style w:type="paragraph" w:customStyle="1" w:styleId="TableNumberedList13">
    <w:name w:val="Table: Numbered List: 1) 3"/>
    <w:basedOn w:val="TablePlainParagraph"/>
    <w:semiHidden/>
    <w:pPr>
      <w:numPr>
        <w:ilvl w:val="3"/>
        <w:numId w:val="23"/>
      </w:numPr>
      <w:spacing w:before="0"/>
    </w:pPr>
  </w:style>
  <w:style w:type="paragraph" w:customStyle="1" w:styleId="TableNumberedList14">
    <w:name w:val="Table: Numbered List: 1) 4"/>
    <w:basedOn w:val="TablePlainParagraph"/>
    <w:semiHidden/>
    <w:pPr>
      <w:numPr>
        <w:ilvl w:val="4"/>
        <w:numId w:val="23"/>
      </w:numPr>
      <w:spacing w:before="0"/>
    </w:pPr>
  </w:style>
  <w:style w:type="paragraph" w:customStyle="1" w:styleId="TableNumberedList15">
    <w:name w:val="Table: Numbered List: 1) 5"/>
    <w:basedOn w:val="TablePlainParagraph"/>
    <w:semiHidden/>
    <w:pPr>
      <w:numPr>
        <w:ilvl w:val="5"/>
        <w:numId w:val="23"/>
      </w:numPr>
      <w:spacing w:before="0"/>
    </w:pPr>
  </w:style>
  <w:style w:type="paragraph" w:customStyle="1" w:styleId="TableNumberedList16">
    <w:name w:val="Table: Numbered List: 1) 6"/>
    <w:basedOn w:val="TablePlainParagraph"/>
    <w:semiHidden/>
    <w:pPr>
      <w:numPr>
        <w:ilvl w:val="6"/>
        <w:numId w:val="23"/>
      </w:numPr>
      <w:spacing w:before="0"/>
    </w:pPr>
  </w:style>
  <w:style w:type="paragraph" w:customStyle="1" w:styleId="TableNumberedList17">
    <w:name w:val="Table: Numbered List: 1) 7"/>
    <w:basedOn w:val="TablePlainParagraph"/>
    <w:semiHidden/>
    <w:pPr>
      <w:numPr>
        <w:ilvl w:val="7"/>
        <w:numId w:val="23"/>
      </w:numPr>
      <w:spacing w:before="0"/>
    </w:pPr>
  </w:style>
  <w:style w:type="paragraph" w:customStyle="1" w:styleId="TableNumberedList18">
    <w:name w:val="Table: Numbered List: 1) 8"/>
    <w:basedOn w:val="TablePlainParagraph"/>
    <w:semiHidden/>
    <w:pPr>
      <w:numPr>
        <w:ilvl w:val="8"/>
        <w:numId w:val="23"/>
      </w:numPr>
      <w:spacing w:before="0"/>
    </w:pPr>
  </w:style>
  <w:style w:type="paragraph" w:customStyle="1" w:styleId="TableNumberedLista">
    <w:name w:val="Table: Numbered List: a)"/>
    <w:basedOn w:val="TablePlainParagraph"/>
    <w:semiHidden/>
    <w:pPr>
      <w:numPr>
        <w:numId w:val="24"/>
      </w:numPr>
      <w:spacing w:before="0"/>
    </w:pPr>
  </w:style>
  <w:style w:type="paragraph" w:customStyle="1" w:styleId="TableNumberedLista1">
    <w:name w:val="Table: Numbered List: a) 1"/>
    <w:basedOn w:val="TablePlainParagraph"/>
    <w:pPr>
      <w:numPr>
        <w:ilvl w:val="1"/>
        <w:numId w:val="24"/>
      </w:numPr>
      <w:spacing w:before="0"/>
    </w:pPr>
  </w:style>
  <w:style w:type="paragraph" w:customStyle="1" w:styleId="TableNumberedLista2">
    <w:name w:val="Table: Numbered List: a) 2"/>
    <w:basedOn w:val="TablePlainParagraph"/>
    <w:semiHidden/>
    <w:pPr>
      <w:numPr>
        <w:ilvl w:val="2"/>
        <w:numId w:val="24"/>
      </w:numPr>
      <w:spacing w:before="0"/>
    </w:pPr>
  </w:style>
  <w:style w:type="paragraph" w:customStyle="1" w:styleId="TableNumberedLista3">
    <w:name w:val="Table: Numbered List: a) 3"/>
    <w:basedOn w:val="TablePlainParagraph"/>
    <w:semiHidden/>
    <w:pPr>
      <w:numPr>
        <w:ilvl w:val="3"/>
        <w:numId w:val="24"/>
      </w:numPr>
      <w:spacing w:before="0"/>
    </w:pPr>
  </w:style>
  <w:style w:type="paragraph" w:customStyle="1" w:styleId="TableNumberedLista4">
    <w:name w:val="Table: Numbered List: a) 4"/>
    <w:basedOn w:val="TablePlainParagraph"/>
    <w:semiHidden/>
    <w:pPr>
      <w:numPr>
        <w:ilvl w:val="4"/>
        <w:numId w:val="24"/>
      </w:numPr>
      <w:spacing w:before="0"/>
    </w:pPr>
  </w:style>
  <w:style w:type="paragraph" w:customStyle="1" w:styleId="TableNumberedLista5">
    <w:name w:val="Table: Numbered List: a) 5"/>
    <w:basedOn w:val="TablePlainParagraph"/>
    <w:semiHidden/>
    <w:pPr>
      <w:numPr>
        <w:ilvl w:val="5"/>
        <w:numId w:val="24"/>
      </w:numPr>
      <w:spacing w:before="0"/>
    </w:pPr>
  </w:style>
  <w:style w:type="paragraph" w:customStyle="1" w:styleId="TableNumberedLista6">
    <w:name w:val="Table: Numbered List: a) 6"/>
    <w:basedOn w:val="TablePlainParagraph"/>
    <w:semiHidden/>
    <w:pPr>
      <w:numPr>
        <w:ilvl w:val="6"/>
        <w:numId w:val="24"/>
      </w:numPr>
      <w:spacing w:before="0"/>
    </w:pPr>
  </w:style>
  <w:style w:type="paragraph" w:customStyle="1" w:styleId="TableNumberedLista7">
    <w:name w:val="Table: Numbered List: a) 7"/>
    <w:basedOn w:val="TablePlainParagraph"/>
    <w:semiHidden/>
    <w:pPr>
      <w:numPr>
        <w:ilvl w:val="7"/>
        <w:numId w:val="24"/>
      </w:numPr>
      <w:spacing w:before="0"/>
    </w:pPr>
  </w:style>
  <w:style w:type="paragraph" w:customStyle="1" w:styleId="TableNumberedLista8">
    <w:name w:val="Table: Numbered List: a) 8"/>
    <w:basedOn w:val="TablePlainParagraph"/>
    <w:semiHidden/>
    <w:pPr>
      <w:numPr>
        <w:ilvl w:val="8"/>
        <w:numId w:val="24"/>
      </w:numPr>
      <w:spacing w:before="0"/>
    </w:pPr>
  </w:style>
  <w:style w:type="paragraph" w:customStyle="1" w:styleId="Subrand">
    <w:name w:val="Subrand"/>
    <w:semiHidden/>
    <w:pPr>
      <w:spacing w:line="200" w:lineRule="atLeast"/>
      <w:jc w:val="right"/>
    </w:pPr>
    <w:rPr>
      <w:rFonts w:ascii="Arial" w:hAnsi="Arial" w:cs="Arial"/>
      <w:b/>
      <w:i/>
      <w:szCs w:val="22"/>
    </w:rPr>
  </w:style>
  <w:style w:type="table" w:styleId="TableGrid">
    <w:name w:val="Table Grid"/>
    <w:basedOn w:val="TableNormal"/>
    <w:tblPr/>
  </w:style>
  <w:style w:type="paragraph" w:styleId="BodyTextIndent">
    <w:name w:val="Body Text Indent"/>
    <w:basedOn w:val="Normal"/>
    <w:pPr>
      <w:ind w:left="2160"/>
      <w:jc w:val="both"/>
    </w:pPr>
    <w:rPr>
      <w:i/>
      <w:szCs w:val="22"/>
    </w:rPr>
  </w:style>
  <w:style w:type="paragraph" w:styleId="TOC4">
    <w:name w:val="toc 4"/>
    <w:basedOn w:val="Normal"/>
    <w:next w:val="Normal"/>
    <w:uiPriority w:val="39"/>
    <w:pPr>
      <w:ind w:left="440"/>
    </w:pPr>
    <w:rPr>
      <w:rFonts w:ascii="Times New Roman" w:hAnsi="Times New Roman" w:cs="Times New Roman"/>
      <w:sz w:val="20"/>
      <w:szCs w:val="20"/>
    </w:rPr>
  </w:style>
  <w:style w:type="paragraph" w:styleId="TOC5">
    <w:name w:val="toc 5"/>
    <w:basedOn w:val="Normal"/>
    <w:next w:val="Normal"/>
    <w:pPr>
      <w:ind w:left="660"/>
    </w:pPr>
    <w:rPr>
      <w:rFonts w:ascii="Times New Roman" w:hAnsi="Times New Roman" w:cs="Times New Roman"/>
      <w:sz w:val="20"/>
      <w:szCs w:val="20"/>
    </w:rPr>
  </w:style>
  <w:style w:type="paragraph" w:customStyle="1" w:styleId="Number1">
    <w:name w:val="Number 1"/>
    <w:basedOn w:val="Normal"/>
    <w:pPr>
      <w:tabs>
        <w:tab w:val="num" w:pos="360"/>
      </w:tabs>
      <w:spacing w:before="120" w:after="120" w:line="300" w:lineRule="atLeast"/>
      <w:ind w:left="360" w:hanging="360"/>
      <w:jc w:val="both"/>
    </w:pPr>
    <w:rPr>
      <w:color w:val="000000"/>
      <w:szCs w:val="22"/>
    </w:rPr>
  </w:style>
  <w:style w:type="paragraph" w:customStyle="1" w:styleId="Numbera">
    <w:name w:val="Number(a)"/>
    <w:basedOn w:val="Normal"/>
    <w:pPr>
      <w:spacing w:before="80" w:after="80" w:line="280" w:lineRule="atLeast"/>
      <w:jc w:val="both"/>
    </w:pPr>
    <w:rPr>
      <w:color w:val="000000"/>
      <w:szCs w:val="22"/>
    </w:rPr>
  </w:style>
  <w:style w:type="paragraph" w:customStyle="1" w:styleId="Numberi">
    <w:name w:val="Number(i)"/>
    <w:basedOn w:val="Normal"/>
    <w:pPr>
      <w:spacing w:before="80" w:after="80" w:line="280" w:lineRule="atLeast"/>
      <w:jc w:val="both"/>
    </w:pPr>
    <w:rPr>
      <w:color w:val="000000"/>
      <w:szCs w:val="22"/>
    </w:rPr>
  </w:style>
  <w:style w:type="paragraph" w:styleId="BodyText">
    <w:name w:val="Body Text"/>
    <w:basedOn w:val="Normal"/>
    <w:link w:val="BodyTextChar"/>
    <w:uiPriority w:val="99"/>
    <w:pPr>
      <w:widowControl w:val="0"/>
      <w:jc w:val="center"/>
    </w:pPr>
    <w:rPr>
      <w:szCs w:val="22"/>
    </w:rPr>
  </w:style>
  <w:style w:type="paragraph" w:customStyle="1" w:styleId="p2">
    <w:name w:val="p2"/>
    <w:basedOn w:val="Normal"/>
    <w:pPr>
      <w:tabs>
        <w:tab w:val="left" w:pos="720"/>
      </w:tabs>
      <w:spacing w:line="320" w:lineRule="atLeast"/>
    </w:pPr>
    <w:rPr>
      <w:szCs w:val="22"/>
    </w:rPr>
  </w:style>
  <w:style w:type="paragraph" w:customStyle="1" w:styleId="p6">
    <w:name w:val="p6"/>
    <w:basedOn w:val="Normal"/>
    <w:pPr>
      <w:spacing w:line="320" w:lineRule="atLeast"/>
    </w:pPr>
    <w:rPr>
      <w:szCs w:val="22"/>
    </w:rPr>
  </w:style>
  <w:style w:type="paragraph" w:customStyle="1" w:styleId="p4">
    <w:name w:val="p4"/>
    <w:basedOn w:val="Normal"/>
    <w:pPr>
      <w:tabs>
        <w:tab w:val="left" w:pos="720"/>
      </w:tabs>
      <w:spacing w:line="320" w:lineRule="atLeast"/>
    </w:pPr>
    <w:rPr>
      <w:szCs w:val="22"/>
    </w:rPr>
  </w:style>
  <w:style w:type="paragraph" w:styleId="BlockText">
    <w:name w:val="Block Text"/>
    <w:basedOn w:val="Normal"/>
    <w:pPr>
      <w:ind w:left="3119" w:right="3119"/>
      <w:jc w:val="center"/>
    </w:pPr>
    <w:rPr>
      <w:szCs w:val="22"/>
    </w:rPr>
  </w:style>
  <w:style w:type="paragraph" w:styleId="BodyText2">
    <w:name w:val="Body Text 2"/>
    <w:basedOn w:val="Normal"/>
    <w:pPr>
      <w:jc w:val="both"/>
    </w:pPr>
    <w:rPr>
      <w:szCs w:val="22"/>
    </w:rPr>
  </w:style>
  <w:style w:type="paragraph" w:styleId="Title">
    <w:name w:val="Title"/>
    <w:basedOn w:val="Normal"/>
    <w:qFormat/>
    <w:pPr>
      <w:tabs>
        <w:tab w:val="left" w:pos="1170"/>
      </w:tabs>
      <w:jc w:val="center"/>
    </w:pPr>
    <w:rPr>
      <w:b/>
      <w:szCs w:val="22"/>
    </w:rPr>
  </w:style>
  <w:style w:type="paragraph" w:styleId="BodyText3">
    <w:name w:val="Body Text 3"/>
    <w:basedOn w:val="Normal"/>
    <w:pPr>
      <w:jc w:val="both"/>
    </w:pPr>
    <w:rPr>
      <w:color w:val="0000FF"/>
      <w:szCs w:val="22"/>
    </w:rPr>
  </w:style>
  <w:style w:type="paragraph" w:customStyle="1" w:styleId="TxtParagraph">
    <w:name w:val="Txt  Paragraph"/>
    <w:basedOn w:val="Normal"/>
    <w:pPr>
      <w:tabs>
        <w:tab w:val="left" w:pos="567"/>
      </w:tabs>
      <w:spacing w:before="120" w:after="120" w:line="300" w:lineRule="atLeast"/>
      <w:jc w:val="both"/>
    </w:pPr>
    <w:rPr>
      <w:color w:val="000000"/>
      <w:szCs w:val="22"/>
    </w:rPr>
  </w:style>
  <w:style w:type="paragraph" w:styleId="BodyTextIndent2">
    <w:name w:val="Body Text Indent 2"/>
    <w:basedOn w:val="Normal"/>
    <w:pPr>
      <w:ind w:left="720"/>
    </w:pPr>
    <w:rPr>
      <w:szCs w:val="22"/>
    </w:rPr>
  </w:style>
  <w:style w:type="paragraph" w:styleId="BodyTextIndent3">
    <w:name w:val="Body Text Indent 3"/>
    <w:basedOn w:val="Normal"/>
    <w:pPr>
      <w:spacing w:before="120" w:after="120" w:line="300" w:lineRule="atLeast"/>
      <w:ind w:left="720"/>
      <w:jc w:val="both"/>
    </w:pPr>
    <w:rPr>
      <w:szCs w:val="22"/>
    </w:rPr>
  </w:style>
  <w:style w:type="paragraph" w:customStyle="1" w:styleId="Quotation1Char">
    <w:name w:val="Quotation 1 Char"/>
    <w:basedOn w:val="PlainParagraph"/>
    <w:link w:val="Quotation1CharChar"/>
    <w:pPr>
      <w:spacing w:before="0" w:line="260" w:lineRule="atLeast"/>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Subbrand">
    <w:name w:val="Subbrand"/>
    <w:pPr>
      <w:spacing w:line="200" w:lineRule="atLeast"/>
      <w:jc w:val="right"/>
    </w:pPr>
    <w:rPr>
      <w:rFonts w:ascii="Arial" w:hAnsi="Arial" w:cs="Arial"/>
      <w:b/>
      <w:i/>
      <w:sz w:val="22"/>
      <w:szCs w:val="24"/>
    </w:r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NormalBaseChar">
    <w:name w:val="Normal Base Char"/>
    <w:rPr>
      <w:rFonts w:ascii="Arial" w:hAnsi="Arial" w:cs="Arial"/>
      <w:sz w:val="22"/>
      <w:szCs w:val="22"/>
      <w:lang w:val="en-AU" w:eastAsia="en-AU" w:bidi="ar-SA"/>
    </w:rPr>
  </w:style>
  <w:style w:type="character" w:customStyle="1" w:styleId="PlainParagraphChar">
    <w:name w:val="Plain Paragraph Char"/>
    <w:rPr>
      <w:rFonts w:ascii="Arial" w:hAnsi="Arial" w:cs="Arial"/>
      <w:sz w:val="22"/>
      <w:szCs w:val="22"/>
      <w:lang w:val="en-AU" w:eastAsia="en-AU" w:bidi="ar-SA"/>
    </w:rPr>
  </w:style>
  <w:style w:type="character" w:customStyle="1" w:styleId="DashEmChar">
    <w:name w:val="Dash: Em Char"/>
    <w:rPr>
      <w:rFonts w:ascii="Arial" w:hAnsi="Arial" w:cs="Arial"/>
      <w:sz w:val="22"/>
      <w:szCs w:val="22"/>
      <w:lang w:val="en-AU" w:eastAsia="en-AU" w:bidi="ar-SA"/>
    </w:rPr>
  </w:style>
  <w:style w:type="character" w:customStyle="1" w:styleId="DashEn1Char">
    <w:name w:val="Dash: En 1 Char"/>
    <w:rPr>
      <w:rFonts w:ascii="Arial" w:hAnsi="Arial" w:cs="Arial"/>
      <w:sz w:val="22"/>
      <w:szCs w:val="22"/>
      <w:lang w:val="en-AU" w:eastAsia="en-AU" w:bidi="ar-SA"/>
    </w:rPr>
  </w:style>
  <w:style w:type="character" w:customStyle="1" w:styleId="NormalBaseChar1">
    <w:name w:val="Normal Base Char1"/>
    <w:rPr>
      <w:rFonts w:ascii="Arial" w:hAnsi="Arial" w:cs="Arial"/>
      <w:sz w:val="22"/>
      <w:szCs w:val="22"/>
      <w:lang w:val="en-AU" w:eastAsia="en-AU" w:bidi="ar-SA"/>
    </w:rPr>
  </w:style>
  <w:style w:type="character" w:customStyle="1" w:styleId="PlainParagraphChar1">
    <w:name w:val="Plain Paragraph Char1"/>
    <w:rPr>
      <w:rFonts w:ascii="Arial" w:hAnsi="Arial" w:cs="Arial"/>
      <w:sz w:val="22"/>
      <w:szCs w:val="22"/>
      <w:lang w:val="en-AU" w:eastAsia="en-AU" w:bidi="ar-SA"/>
    </w:rPr>
  </w:style>
  <w:style w:type="character" w:customStyle="1" w:styleId="NumberLevel1Char">
    <w:name w:val="Number Level 1 Char"/>
    <w:rPr>
      <w:rFonts w:ascii="Arial" w:hAnsi="Arial" w:cs="Arial"/>
      <w:sz w:val="22"/>
      <w:szCs w:val="22"/>
      <w:lang w:val="en-AU" w:eastAsia="en-AU" w:bidi="ar-SA"/>
    </w:rPr>
  </w:style>
  <w:style w:type="character" w:customStyle="1" w:styleId="CharAmSchNo">
    <w:name w:val="CharAmSchNo"/>
    <w:rPr>
      <w:rFonts w:ascii="Arial" w:hAnsi="Arial" w:cs="Arial"/>
      <w:sz w:val="22"/>
    </w:rPr>
  </w:style>
  <w:style w:type="character" w:customStyle="1" w:styleId="CharSectno">
    <w:name w:val="CharSectno"/>
    <w:rPr>
      <w:rFonts w:ascii="Arial" w:hAnsi="Arial" w:cs="Arial"/>
      <w:sz w:val="22"/>
    </w:rPr>
  </w:style>
  <w:style w:type="paragraph" w:customStyle="1" w:styleId="notetext">
    <w:name w:val="note(text)"/>
    <w:aliases w:val="n"/>
    <w:pPr>
      <w:spacing w:before="122" w:line="198" w:lineRule="exact"/>
      <w:ind w:left="1985" w:hanging="851"/>
    </w:pPr>
    <w:rPr>
      <w:rFonts w:ascii="Arial" w:hAnsi="Arial" w:cs="Arial"/>
      <w:sz w:val="22"/>
      <w:szCs w:val="24"/>
    </w:rPr>
  </w:style>
  <w:style w:type="paragraph" w:customStyle="1" w:styleId="subsection">
    <w:name w:val="subsection"/>
    <w:aliases w:val="ss"/>
    <w:pPr>
      <w:tabs>
        <w:tab w:val="right" w:pos="1021"/>
      </w:tabs>
      <w:spacing w:before="180"/>
      <w:ind w:left="1134" w:hanging="1134"/>
    </w:pPr>
    <w:rPr>
      <w:rFonts w:ascii="Arial" w:hAnsi="Arial" w:cs="Arial"/>
      <w:sz w:val="22"/>
      <w:szCs w:val="24"/>
    </w:rPr>
  </w:style>
  <w:style w:type="paragraph" w:customStyle="1" w:styleId="paragraph">
    <w:name w:val="paragraph"/>
    <w:aliases w:val="a"/>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rPr>
  </w:style>
  <w:style w:type="paragraph" w:styleId="CommentText">
    <w:name w:val="annotation text"/>
    <w:basedOn w:val="Normal"/>
    <w:link w:val="CommentTextChar"/>
    <w:uiPriority w:val="99"/>
    <w:semiHidden/>
    <w:rPr>
      <w:szCs w:val="22"/>
    </w:rPr>
  </w:style>
  <w:style w:type="character" w:styleId="Strong">
    <w:name w:val="Strong"/>
    <w:qFormat/>
    <w:rPr>
      <w:rFonts w:ascii="Arial" w:hAnsi="Arial" w:cs="Arial"/>
      <w:b/>
      <w:bCs/>
      <w:sz w:val="22"/>
    </w:rPr>
  </w:style>
  <w:style w:type="character" w:styleId="FollowedHyperlink">
    <w:name w:val="FollowedHyperlink"/>
    <w:uiPriority w:val="99"/>
    <w:rPr>
      <w:rFonts w:ascii="Arial" w:hAnsi="Arial" w:cs="Arial"/>
      <w:color w:val="800080"/>
      <w:sz w:val="22"/>
      <w:u w:val="single"/>
    </w:rPr>
  </w:style>
  <w:style w:type="paragraph" w:styleId="BalloonText">
    <w:name w:val="Balloon Text"/>
    <w:basedOn w:val="Normal"/>
    <w:link w:val="BalloonTextChar"/>
    <w:uiPriority w:val="99"/>
    <w:semiHidden/>
    <w:rPr>
      <w:szCs w:val="16"/>
    </w:rPr>
  </w:style>
  <w:style w:type="character" w:styleId="CommentReference">
    <w:name w:val="annotation reference"/>
    <w:uiPriority w:val="99"/>
    <w:semiHidden/>
    <w:rPr>
      <w:rFonts w:ascii="Arial" w:hAnsi="Arial" w:cs="Arial"/>
      <w:sz w:val="22"/>
      <w:szCs w:val="16"/>
    </w:rPr>
  </w:style>
  <w:style w:type="character" w:customStyle="1" w:styleId="Quotation1CharChar">
    <w:name w:val="Quotation 1 Char Char"/>
    <w:link w:val="Quotation1Char"/>
    <w:rPr>
      <w:rFonts w:ascii="Arial" w:hAnsi="Arial" w:cs="Arial"/>
      <w:sz w:val="22"/>
      <w:szCs w:val="22"/>
      <w:lang w:val="en-AU" w:eastAsia="en-AU" w:bidi="ar-SA"/>
    </w:rPr>
  </w:style>
  <w:style w:type="paragraph" w:styleId="CommentSubject">
    <w:name w:val="annotation subject"/>
    <w:basedOn w:val="CommentText"/>
    <w:next w:val="CommentText"/>
    <w:link w:val="CommentSubjectChar"/>
    <w:uiPriority w:val="99"/>
    <w:semiHidden/>
    <w:rPr>
      <w:b/>
      <w:bCs/>
      <w:szCs w:val="20"/>
    </w:rPr>
  </w:style>
  <w:style w:type="character" w:customStyle="1" w:styleId="FooterChar1">
    <w:name w:val="Footer Char1"/>
    <w:link w:val="Footer"/>
    <w:uiPriority w:val="99"/>
    <w:rPr>
      <w:rFonts w:ascii="Arial" w:hAnsi="Arial" w:cs="Arial"/>
      <w:sz w:val="16"/>
      <w:szCs w:val="22"/>
      <w:lang w:val="en-AU" w:eastAsia="en-AU" w:bidi="ar-SA"/>
    </w:rPr>
  </w:style>
  <w:style w:type="paragraph" w:styleId="NormalWeb">
    <w:name w:val="Normal (Web)"/>
    <w:basedOn w:val="Normal"/>
    <w:uiPriority w:val="99"/>
    <w:pPr>
      <w:spacing w:after="240" w:line="312" w:lineRule="atLeast"/>
    </w:pPr>
    <w:rPr>
      <w:color w:val="3B3B3B"/>
      <w:szCs w:val="22"/>
    </w:rPr>
  </w:style>
  <w:style w:type="numbering" w:styleId="111111">
    <w:name w:val="Outline List 2"/>
    <w:basedOn w:val="NoList"/>
    <w:pPr>
      <w:numPr>
        <w:numId w:val="25"/>
      </w:numPr>
    </w:p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odyTextFirstIndent">
    <w:name w:val="Body Text First Indent"/>
    <w:basedOn w:val="BodyText"/>
    <w:pPr>
      <w:widowControl/>
      <w:spacing w:after="120"/>
      <w:ind w:firstLine="210"/>
      <w:jc w:val="left"/>
    </w:pPr>
    <w:rPr>
      <w:szCs w:val="24"/>
    </w:rPr>
  </w:style>
  <w:style w:type="paragraph" w:styleId="BodyTextFirstIndent2">
    <w:name w:val="Body Text First Indent 2"/>
    <w:basedOn w:val="BodyTextIndent"/>
    <w:pPr>
      <w:spacing w:after="120"/>
      <w:ind w:left="283" w:firstLine="210"/>
      <w:jc w:val="left"/>
    </w:pPr>
    <w:rPr>
      <w:i w:val="0"/>
      <w:szCs w:val="24"/>
    </w:rPr>
  </w:style>
  <w:style w:type="paragraph" w:styleId="Caption">
    <w:name w:val="caption"/>
    <w:basedOn w:val="Normal"/>
    <w:next w:val="Normal"/>
    <w:qFormat/>
    <w:rsid w:val="00C40C18"/>
    <w:pPr>
      <w:spacing w:after="120"/>
    </w:pPr>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szCs w:val="20"/>
    </w:rPr>
  </w:style>
  <w:style w:type="paragraph" w:styleId="E-mailSignature">
    <w:name w:val="E-mail Signature"/>
    <w:basedOn w:val="Normal"/>
  </w:style>
  <w:style w:type="character" w:styleId="Emphasis">
    <w:name w:val="Emphasis"/>
    <w:uiPriority w:val="20"/>
    <w:qFormat/>
    <w:rPr>
      <w:rFonts w:ascii="Arial" w:hAnsi="Arial" w:cs="Arial"/>
      <w:i/>
      <w:iCs/>
      <w:sz w:val="22"/>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Cs w:val="20"/>
    </w:rPr>
  </w:style>
  <w:style w:type="character" w:styleId="HTMLAcronym">
    <w:name w:val="HTML Acronym"/>
    <w:rPr>
      <w:rFonts w:ascii="Arial" w:hAnsi="Arial" w:cs="Arial"/>
      <w:sz w:val="22"/>
    </w:rPr>
  </w:style>
  <w:style w:type="paragraph" w:styleId="HTMLAddress">
    <w:name w:val="HTML Address"/>
    <w:basedOn w:val="Normal"/>
    <w:rPr>
      <w:i/>
      <w:iCs/>
    </w:rPr>
  </w:style>
  <w:style w:type="character" w:styleId="HTMLCite">
    <w:name w:val="HTML Cite"/>
    <w:rPr>
      <w:rFonts w:ascii="Arial" w:hAnsi="Arial" w:cs="Arial"/>
      <w:i/>
      <w:iCs/>
      <w:sz w:val="22"/>
    </w:rPr>
  </w:style>
  <w:style w:type="character" w:styleId="HTMLCode">
    <w:name w:val="HTML Code"/>
    <w:rPr>
      <w:rFonts w:ascii="Courier New" w:hAnsi="Courier New" w:cs="Courier New"/>
      <w:sz w:val="22"/>
      <w:szCs w:val="20"/>
    </w:rPr>
  </w:style>
  <w:style w:type="character" w:styleId="HTMLDefinition">
    <w:name w:val="HTML Definition"/>
    <w:rPr>
      <w:rFonts w:ascii="Arial" w:hAnsi="Arial" w:cs="Arial"/>
      <w:i/>
      <w:iCs/>
      <w:sz w:val="22"/>
    </w:rPr>
  </w:style>
  <w:style w:type="character" w:styleId="HTMLKeyboard">
    <w:name w:val="HTML Keyboard"/>
    <w:rPr>
      <w:rFonts w:ascii="Courier New" w:hAnsi="Courier New" w:cs="Courier New"/>
      <w:sz w:val="22"/>
      <w:szCs w:val="20"/>
    </w:rPr>
  </w:style>
  <w:style w:type="paragraph" w:styleId="HTMLPreformatted">
    <w:name w:val="HTML Preformatted"/>
    <w:basedOn w:val="Normal"/>
    <w:rPr>
      <w:szCs w:val="20"/>
    </w:rPr>
  </w:style>
  <w:style w:type="character" w:styleId="HTMLSample">
    <w:name w:val="HTML Sample"/>
    <w:rPr>
      <w:rFonts w:ascii="Courier New" w:hAnsi="Courier New" w:cs="Courier New"/>
      <w:sz w:val="22"/>
    </w:rPr>
  </w:style>
  <w:style w:type="character" w:styleId="HTMLTypewriter">
    <w:name w:val="HTML Typewriter"/>
    <w:rPr>
      <w:rFonts w:ascii="Courier New" w:hAnsi="Courier New" w:cs="Courier New"/>
      <w:sz w:val="22"/>
      <w:szCs w:val="20"/>
    </w:rPr>
  </w:style>
  <w:style w:type="character" w:styleId="HTMLVariable">
    <w:name w:val="HTML Variable"/>
    <w:rPr>
      <w:rFonts w:ascii="Arial" w:hAnsi="Arial" w:cs="Arial"/>
      <w:i/>
      <w:iCs/>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rPr>
      <w:rFonts w:ascii="Arial" w:hAnsi="Arial" w:cs="Arial"/>
      <w:sz w:val="22"/>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425"/>
    </w:pPr>
  </w:style>
  <w:style w:type="paragraph" w:styleId="NoteHeading">
    <w:name w:val="Note Heading"/>
    <w:basedOn w:val="Normal"/>
    <w:next w:val="Normal"/>
  </w:style>
  <w:style w:type="paragraph" w:styleId="PlainText">
    <w:name w:val="Plain Text"/>
    <w:basedOn w:val="Normal"/>
    <w:rPr>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uiPriority w:val="11"/>
    <w:qFormat/>
    <w:pPr>
      <w:spacing w:after="60"/>
      <w:jc w:val="center"/>
      <w:outlineLvl w:val="1"/>
    </w:pPr>
  </w:style>
  <w:style w:type="table" w:styleId="Table3Deffects1">
    <w:name w:val="Table 3D effects 1"/>
    <w:basedOn w:val="TableNormal"/>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uiPriority w:val="99"/>
  </w:style>
  <w:style w:type="table" w:styleId="TableProfessional">
    <w:name w:val="Table Professional"/>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rPr>
  </w:style>
  <w:style w:type="paragraph" w:styleId="TOC6">
    <w:name w:val="toc 6"/>
    <w:basedOn w:val="Normal"/>
    <w:next w:val="Normal"/>
    <w:autoRedefine/>
    <w:semiHidden/>
    <w:pPr>
      <w:ind w:left="880"/>
    </w:pPr>
    <w:rPr>
      <w:rFonts w:ascii="Times New Roman" w:hAnsi="Times New Roman" w:cs="Times New Roman"/>
      <w:sz w:val="20"/>
      <w:szCs w:val="20"/>
    </w:rPr>
  </w:style>
  <w:style w:type="paragraph" w:styleId="TOC7">
    <w:name w:val="toc 7"/>
    <w:basedOn w:val="Normal"/>
    <w:next w:val="Normal"/>
    <w:autoRedefine/>
    <w:semiHidden/>
    <w:pPr>
      <w:ind w:left="1100"/>
    </w:pPr>
    <w:rPr>
      <w:rFonts w:ascii="Times New Roman" w:hAnsi="Times New Roman" w:cs="Times New Roman"/>
      <w:sz w:val="20"/>
      <w:szCs w:val="20"/>
    </w:rPr>
  </w:style>
  <w:style w:type="paragraph" w:styleId="TOC8">
    <w:name w:val="toc 8"/>
    <w:basedOn w:val="Normal"/>
    <w:next w:val="Normal"/>
    <w:autoRedefine/>
    <w:semiHidden/>
    <w:pPr>
      <w:ind w:left="1320"/>
    </w:pPr>
    <w:rPr>
      <w:rFonts w:ascii="Times New Roman" w:hAnsi="Times New Roman" w:cs="Times New Roman"/>
      <w:sz w:val="20"/>
      <w:szCs w:val="20"/>
    </w:rPr>
  </w:style>
  <w:style w:type="paragraph" w:styleId="TOC9">
    <w:name w:val="toc 9"/>
    <w:basedOn w:val="Normal"/>
    <w:next w:val="Normal"/>
    <w:autoRedefine/>
    <w:semiHidden/>
    <w:pPr>
      <w:ind w:left="1540"/>
    </w:pPr>
    <w:rPr>
      <w:rFonts w:ascii="Times New Roman" w:hAnsi="Times New Roman" w:cs="Times New Roman"/>
      <w:sz w:val="20"/>
      <w:szCs w:val="20"/>
    </w:rPr>
  </w:style>
  <w:style w:type="paragraph" w:customStyle="1" w:styleId="paragraphsub">
    <w:name w:val="paragraphsub"/>
    <w:basedOn w:val="Normal"/>
    <w:pPr>
      <w:spacing w:before="100" w:beforeAutospacing="1" w:after="100" w:afterAutospacing="1"/>
    </w:pPr>
    <w:rPr>
      <w:rFonts w:ascii="Times New Roman" w:hAnsi="Times New Roman" w:cs="Times New Roman"/>
      <w:sz w:val="24"/>
    </w:rPr>
  </w:style>
  <w:style w:type="numbering" w:customStyle="1" w:styleId="Style1">
    <w:name w:val="Style1"/>
    <w:basedOn w:val="NoList"/>
    <w:pPr>
      <w:numPr>
        <w:numId w:val="28"/>
      </w:numPr>
    </w:pPr>
  </w:style>
  <w:style w:type="character" w:customStyle="1" w:styleId="NormalBaseChar2">
    <w:name w:val="Normal Base Char2"/>
    <w:link w:val="NormalBase"/>
    <w:rPr>
      <w:rFonts w:ascii="Arial" w:hAnsi="Arial" w:cs="Arial"/>
      <w:sz w:val="22"/>
      <w:szCs w:val="22"/>
      <w:lang w:val="en-AU" w:eastAsia="en-AU" w:bidi="ar-SA"/>
    </w:rPr>
  </w:style>
  <w:style w:type="character" w:customStyle="1" w:styleId="PlainParagraphChar2">
    <w:name w:val="Plain Paragraph Char2"/>
    <w:link w:val="PlainParagraph"/>
    <w:rPr>
      <w:rFonts w:ascii="Arial" w:hAnsi="Arial" w:cs="Arial"/>
      <w:sz w:val="22"/>
      <w:szCs w:val="22"/>
      <w:lang w:val="en-AU" w:eastAsia="en-AU" w:bidi="ar-SA"/>
    </w:rPr>
  </w:style>
  <w:style w:type="character" w:customStyle="1" w:styleId="NumberLevel1Char1">
    <w:name w:val="Number Level 1 Char1"/>
    <w:link w:val="NumberLevel1"/>
    <w:rPr>
      <w:rFonts w:ascii="Arial" w:hAnsi="Arial" w:cs="Arial"/>
      <w:sz w:val="22"/>
      <w:szCs w:val="22"/>
      <w:lang w:val="en-AU" w:eastAsia="en-AU" w:bidi="ar-SA"/>
    </w:rPr>
  </w:style>
  <w:style w:type="character" w:customStyle="1" w:styleId="Heading2Char">
    <w:name w:val="Heading 2 Char"/>
    <w:link w:val="Heading2"/>
    <w:uiPriority w:val="9"/>
    <w:rPr>
      <w:rFonts w:ascii="Arial" w:hAnsi="Arial" w:cs="Arial"/>
      <w:b/>
      <w:bCs/>
      <w:iCs/>
      <w:sz w:val="22"/>
      <w:szCs w:val="28"/>
      <w:lang w:val="en-AU" w:eastAsia="en-AU" w:bidi="ar-SA"/>
    </w:rPr>
  </w:style>
  <w:style w:type="character" w:customStyle="1" w:styleId="Heading3Char">
    <w:name w:val="Heading 3 Char"/>
    <w:link w:val="Heading3"/>
    <w:rPr>
      <w:rFonts w:ascii="Arial" w:hAnsi="Arial" w:cs="Arial"/>
      <w:b/>
      <w:bCs/>
      <w:i/>
      <w:szCs w:val="26"/>
      <w:lang w:val="en-AU" w:eastAsia="en-AU"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Quotation1Char1">
    <w:name w:val="Quotation 1 Char1"/>
    <w:link w:val="Quotation1"/>
    <w:rPr>
      <w:rFonts w:ascii="Arial" w:hAnsi="Arial" w:cs="Arial"/>
      <w:szCs w:val="22"/>
    </w:rPr>
  </w:style>
  <w:style w:type="character" w:customStyle="1" w:styleId="HeadingBaseChar">
    <w:name w:val="Heading Base Char"/>
    <w:link w:val="HeadingBase"/>
    <w:rPr>
      <w:rFonts w:ascii="Arial" w:hAnsi="Arial" w:cs="Arial"/>
      <w:szCs w:val="22"/>
      <w:lang w:val="en-AU" w:eastAsia="en-AU" w:bidi="ar-SA"/>
    </w:rPr>
  </w:style>
  <w:style w:type="character" w:customStyle="1" w:styleId="Heading1Char">
    <w:name w:val="Heading 1 Char"/>
    <w:link w:val="Heading1"/>
    <w:uiPriority w:val="9"/>
    <w:rPr>
      <w:rFonts w:ascii="Arial" w:hAnsi="Arial" w:cs="Arial"/>
      <w:b/>
      <w:bCs/>
      <w:caps/>
      <w:kern w:val="32"/>
      <w:szCs w:val="32"/>
      <w:lang w:val="en-AU" w:eastAsia="en-AU" w:bidi="ar-SA"/>
    </w:rPr>
  </w:style>
  <w:style w:type="character" w:customStyle="1" w:styleId="CommentTextChar">
    <w:name w:val="Comment Text Char"/>
    <w:link w:val="CommentText"/>
    <w:uiPriority w:val="99"/>
    <w:semiHidden/>
    <w:locked/>
    <w:rPr>
      <w:rFonts w:ascii="Arial" w:hAnsi="Arial" w:cs="Arial"/>
      <w:sz w:val="22"/>
      <w:szCs w:val="22"/>
      <w:lang w:val="en-AU" w:eastAsia="en-AU" w:bidi="ar-SA"/>
    </w:rPr>
  </w:style>
  <w:style w:type="character" w:customStyle="1" w:styleId="FootnoteTextChar">
    <w:name w:val="Footnote Text Char"/>
    <w:link w:val="FootnoteText"/>
    <w:uiPriority w:val="99"/>
    <w:semiHidden/>
    <w:locked/>
    <w:rPr>
      <w:rFonts w:ascii="Arial" w:hAnsi="Arial" w:cs="Arial"/>
      <w:sz w:val="18"/>
      <w:lang w:val="en-AU" w:eastAsia="en-AU" w:bidi="ar-SA"/>
    </w:rPr>
  </w:style>
  <w:style w:type="paragraph" w:customStyle="1" w:styleId="Level1">
    <w:name w:val="Level 1"/>
    <w:basedOn w:val="Heading2"/>
    <w:rPr>
      <w:snapToGrid w:val="0"/>
      <w:lang w:val="en-US" w:eastAsia="en-US"/>
    </w:rPr>
  </w:style>
  <w:style w:type="character" w:customStyle="1" w:styleId="name">
    <w:name w:val="name"/>
    <w:basedOn w:val="DefaultParagraphFont"/>
  </w:style>
  <w:style w:type="paragraph" w:customStyle="1" w:styleId="Keryl">
    <w:name w:val="Keryl"/>
    <w:basedOn w:val="Normal"/>
    <w:pPr>
      <w:numPr>
        <w:numId w:val="29"/>
      </w:numPr>
    </w:pPr>
    <w:rPr>
      <w:rFonts w:ascii="Times New Roman" w:hAnsi="Times New Roman" w:cs="Times New Roman"/>
      <w:sz w:val="24"/>
    </w:rPr>
  </w:style>
  <w:style w:type="character" w:customStyle="1" w:styleId="Heading4Char">
    <w:name w:val="Heading 4 Char"/>
    <w:link w:val="Heading4"/>
    <w:uiPriority w:val="9"/>
    <w:rPr>
      <w:rFonts w:ascii="Arial" w:hAnsi="Arial" w:cs="Arial"/>
      <w:bCs/>
      <w:i/>
      <w:szCs w:val="28"/>
      <w:lang w:val="en-AU" w:eastAsia="en-AU" w:bidi="ar-SA"/>
    </w:rPr>
  </w:style>
  <w:style w:type="character" w:customStyle="1" w:styleId="HeaderChar">
    <w:name w:val="Header Char"/>
    <w:link w:val="Header"/>
    <w:uiPriority w:val="99"/>
    <w:locked/>
    <w:rPr>
      <w:rFonts w:ascii="Arial" w:hAnsi="Arial" w:cs="Arial"/>
      <w:szCs w:val="22"/>
      <w:lang w:val="en-AU" w:eastAsia="en-AU" w:bidi="ar-SA"/>
    </w:rPr>
  </w:style>
  <w:style w:type="character" w:customStyle="1" w:styleId="FooterChar">
    <w:name w:val="Footer Char"/>
    <w:uiPriority w:val="99"/>
    <w:locked/>
    <w:rPr>
      <w:rFonts w:ascii="Times" w:hAnsi="Times" w:cs="Times"/>
      <w:sz w:val="24"/>
      <w:lang w:val="en-AU" w:eastAsia="en-AU" w:bidi="ar-SA"/>
    </w:rPr>
  </w:style>
  <w:style w:type="character" w:customStyle="1" w:styleId="highlight">
    <w:name w:val="highlight"/>
    <w:basedOn w:val="DefaultParagraphFont"/>
  </w:style>
  <w:style w:type="paragraph" w:customStyle="1" w:styleId="CM14">
    <w:name w:val="CM14"/>
    <w:basedOn w:val="Default"/>
    <w:next w:val="Default"/>
    <w:rPr>
      <w:rFonts w:ascii="Times New Roman" w:hAnsi="Times New Roman" w:cs="Times New Roman"/>
      <w:color w:val="auto"/>
    </w:rPr>
  </w:style>
  <w:style w:type="character" w:customStyle="1" w:styleId="CharChar2">
    <w:name w:val="Char Char2"/>
    <w:semiHidden/>
    <w:locked/>
    <w:rPr>
      <w:rFonts w:ascii="Arial" w:hAnsi="Arial" w:cs="Arial"/>
      <w:sz w:val="18"/>
      <w:szCs w:val="18"/>
      <w:lang w:val="en-AU" w:eastAsia="en-AU" w:bidi="ar-SA"/>
    </w:rPr>
  </w:style>
  <w:style w:type="character" w:customStyle="1" w:styleId="NumberLevel2Char">
    <w:name w:val="Number Level 2 Char"/>
    <w:link w:val="NumberLevel2"/>
    <w:locked/>
    <w:rPr>
      <w:rFonts w:ascii="Arial" w:hAnsi="Arial" w:cs="Arial"/>
      <w:sz w:val="22"/>
      <w:szCs w:val="22"/>
      <w:lang w:val="en-AU" w:eastAsia="en-AU" w:bidi="ar-SA"/>
    </w:rPr>
  </w:style>
  <w:style w:type="character" w:customStyle="1" w:styleId="EmailStyle371">
    <w:name w:val="EmailStyle371"/>
    <w:semiHidden/>
    <w:rPr>
      <w:rFonts w:ascii="Times New Roman" w:hAnsi="Times New Roman" w:cs="Times New Roman"/>
      <w:b w:val="0"/>
      <w:bCs w:val="0"/>
      <w:i w:val="0"/>
      <w:iCs w:val="0"/>
      <w:strike w:val="0"/>
      <w:color w:val="000000"/>
      <w:sz w:val="24"/>
      <w:szCs w:val="24"/>
      <w:u w:val="none"/>
    </w:rPr>
  </w:style>
  <w:style w:type="character" w:customStyle="1" w:styleId="CharChar4">
    <w:name w:val="Char Char4"/>
    <w:rPr>
      <w:rFonts w:ascii="Arial" w:hAnsi="Arial" w:cs="Arial"/>
      <w:sz w:val="16"/>
      <w:szCs w:val="22"/>
      <w:lang w:val="en-AU" w:eastAsia="en-AU" w:bidi="ar-SA"/>
    </w:rPr>
  </w:style>
  <w:style w:type="character" w:customStyle="1" w:styleId="CharChar7">
    <w:name w:val="Char Char7"/>
    <w:rPr>
      <w:rFonts w:ascii="Arial" w:hAnsi="Arial" w:cs="Arial"/>
      <w:b/>
      <w:bCs/>
      <w:iCs/>
      <w:sz w:val="22"/>
      <w:szCs w:val="28"/>
      <w:lang w:val="en-AU" w:eastAsia="en-AU" w:bidi="ar-SA"/>
    </w:rPr>
  </w:style>
  <w:style w:type="character" w:customStyle="1" w:styleId="CharChar6">
    <w:name w:val="Char Char6"/>
    <w:rPr>
      <w:rFonts w:ascii="Arial" w:hAnsi="Arial" w:cs="Arial"/>
      <w:b/>
      <w:bCs/>
      <w:i/>
      <w:szCs w:val="26"/>
      <w:lang w:val="en-AU" w:eastAsia="en-AU" w:bidi="ar-SA"/>
    </w:rPr>
  </w:style>
  <w:style w:type="character" w:customStyle="1" w:styleId="CharChar8">
    <w:name w:val="Char Char8"/>
    <w:rPr>
      <w:rFonts w:ascii="Arial" w:hAnsi="Arial" w:cs="Arial"/>
      <w:b/>
      <w:bCs/>
      <w:caps/>
      <w:kern w:val="32"/>
      <w:szCs w:val="32"/>
      <w:lang w:val="en-AU" w:eastAsia="en-AU" w:bidi="ar-SA"/>
    </w:rPr>
  </w:style>
  <w:style w:type="character" w:customStyle="1" w:styleId="CharChar1">
    <w:name w:val="Char Char1"/>
    <w:semiHidden/>
    <w:locked/>
    <w:rPr>
      <w:rFonts w:ascii="Arial" w:hAnsi="Arial" w:cs="Arial"/>
      <w:sz w:val="18"/>
      <w:lang w:val="en-AU" w:eastAsia="en-AU" w:bidi="ar-SA"/>
    </w:rPr>
  </w:style>
  <w:style w:type="character" w:customStyle="1" w:styleId="CharChar5">
    <w:name w:val="Char Char5"/>
    <w:rPr>
      <w:rFonts w:ascii="Arial" w:hAnsi="Arial" w:cs="Arial"/>
      <w:bCs/>
      <w:i/>
      <w:szCs w:val="28"/>
      <w:lang w:val="en-AU" w:eastAsia="en-AU" w:bidi="ar-SA"/>
    </w:rPr>
  </w:style>
  <w:style w:type="character" w:customStyle="1" w:styleId="CharChar3">
    <w:name w:val="Char Char3"/>
    <w:semiHidden/>
    <w:locked/>
    <w:rPr>
      <w:rFonts w:ascii="Arial" w:hAnsi="Arial" w:cs="Arial"/>
      <w:szCs w:val="22"/>
      <w:lang w:val="en-AU" w:eastAsia="en-AU" w:bidi="ar-SA"/>
    </w:rPr>
  </w:style>
  <w:style w:type="paragraph" w:customStyle="1" w:styleId="style6">
    <w:name w:val="style6"/>
    <w:basedOn w:val="Normal"/>
    <w:rPr>
      <w:rFonts w:ascii="Times New Roman" w:hAnsi="Times New Roman" w:cs="Times New Roman"/>
      <w:color w:val="000000"/>
      <w:sz w:val="20"/>
      <w:szCs w:val="20"/>
    </w:rPr>
  </w:style>
  <w:style w:type="character" w:customStyle="1" w:styleId="CharChar10">
    <w:name w:val="Char Char10"/>
    <w:semiHidden/>
    <w:locked/>
    <w:rPr>
      <w:rFonts w:ascii="Arial" w:hAnsi="Arial" w:cs="Arial"/>
      <w:sz w:val="18"/>
      <w:lang w:val="en-AU" w:eastAsia="en-AU" w:bidi="ar-SA"/>
    </w:rPr>
  </w:style>
  <w:style w:type="paragraph" w:customStyle="1" w:styleId="numberlevel10">
    <w:name w:val="numberlevel1"/>
    <w:basedOn w:val="Normal"/>
    <w:pPr>
      <w:spacing w:before="100" w:beforeAutospacing="1" w:after="100" w:afterAutospacing="1"/>
    </w:pPr>
    <w:rPr>
      <w:rFonts w:ascii="Times New Roman" w:hAnsi="Times New Roman" w:cs="Times New Roman"/>
      <w:sz w:val="24"/>
    </w:rPr>
  </w:style>
  <w:style w:type="paragraph" w:styleId="ListParagraph">
    <w:name w:val="List Paragraph"/>
    <w:basedOn w:val="Normal"/>
    <w:link w:val="ListParagraphChar"/>
    <w:uiPriority w:val="34"/>
    <w:qFormat/>
    <w:rsid w:val="006D4FE9"/>
    <w:pPr>
      <w:ind w:left="709"/>
    </w:pPr>
  </w:style>
  <w:style w:type="paragraph" w:customStyle="1" w:styleId="footnote">
    <w:name w:val="footnote"/>
    <w:basedOn w:val="Normal"/>
    <w:link w:val="footnoteChar"/>
    <w:qFormat/>
    <w:rsid w:val="007304B0"/>
    <w:pPr>
      <w:contextualSpacing/>
    </w:pPr>
    <w:rPr>
      <w:rFonts w:cs="Times New Roman"/>
      <w:sz w:val="18"/>
      <w:szCs w:val="20"/>
    </w:rPr>
  </w:style>
  <w:style w:type="character" w:customStyle="1" w:styleId="footnoteChar">
    <w:name w:val="footnote Char"/>
    <w:link w:val="footnote"/>
    <w:rsid w:val="007304B0"/>
    <w:rPr>
      <w:rFonts w:ascii="Arial" w:hAnsi="Arial"/>
      <w:sz w:val="18"/>
    </w:rPr>
  </w:style>
  <w:style w:type="paragraph" w:styleId="TOCHeading">
    <w:name w:val="TOC Heading"/>
    <w:basedOn w:val="Heading1"/>
    <w:next w:val="Normal"/>
    <w:uiPriority w:val="39"/>
    <w:unhideWhenUsed/>
    <w:qFormat/>
    <w:rsid w:val="00D74783"/>
    <w:pPr>
      <w:spacing w:before="480" w:line="276" w:lineRule="auto"/>
      <w:outlineLvl w:val="9"/>
    </w:pPr>
    <w:rPr>
      <w:rFonts w:ascii="Cambria" w:eastAsia="MS Gothic" w:hAnsi="Cambria" w:cs="Times New Roman"/>
      <w:caps w:val="0"/>
      <w:color w:val="365F91"/>
      <w:kern w:val="0"/>
      <w:sz w:val="28"/>
      <w:szCs w:val="28"/>
      <w:lang w:val="en-US" w:eastAsia="ja-JP"/>
    </w:rPr>
  </w:style>
  <w:style w:type="numbering" w:customStyle="1" w:styleId="NoList1">
    <w:name w:val="No List1"/>
    <w:next w:val="NoList"/>
    <w:uiPriority w:val="99"/>
    <w:semiHidden/>
    <w:unhideWhenUsed/>
    <w:rsid w:val="00B24EBA"/>
  </w:style>
  <w:style w:type="character" w:customStyle="1" w:styleId="Heading5Char">
    <w:name w:val="Heading 5 Char"/>
    <w:link w:val="Heading5"/>
    <w:uiPriority w:val="9"/>
    <w:rsid w:val="00B24EBA"/>
    <w:rPr>
      <w:rFonts w:ascii="Arial" w:hAnsi="Arial" w:cs="Arial"/>
      <w:b/>
      <w:bCs/>
      <w:iCs/>
      <w:sz w:val="18"/>
      <w:szCs w:val="26"/>
    </w:rPr>
  </w:style>
  <w:style w:type="character" w:customStyle="1" w:styleId="SubtitleChar">
    <w:name w:val="Subtitle Char"/>
    <w:link w:val="Subtitle"/>
    <w:uiPriority w:val="11"/>
    <w:rsid w:val="00B24EBA"/>
    <w:rPr>
      <w:rFonts w:ascii="Arial" w:hAnsi="Arial" w:cs="Arial"/>
      <w:sz w:val="22"/>
      <w:szCs w:val="24"/>
    </w:rPr>
  </w:style>
  <w:style w:type="character" w:styleId="IntenseEmphasis">
    <w:name w:val="Intense Emphasis"/>
    <w:uiPriority w:val="21"/>
    <w:qFormat/>
    <w:rsid w:val="00B24EBA"/>
    <w:rPr>
      <w:b/>
      <w:bCs/>
      <w:i/>
      <w:iCs/>
      <w:color w:val="4F81BD"/>
    </w:rPr>
  </w:style>
  <w:style w:type="character" w:customStyle="1" w:styleId="BalloonTextChar">
    <w:name w:val="Balloon Text Char"/>
    <w:link w:val="BalloonText"/>
    <w:uiPriority w:val="99"/>
    <w:semiHidden/>
    <w:rsid w:val="00B24EBA"/>
    <w:rPr>
      <w:rFonts w:ascii="Arial" w:hAnsi="Arial" w:cs="Arial"/>
      <w:sz w:val="22"/>
      <w:szCs w:val="16"/>
    </w:rPr>
  </w:style>
  <w:style w:type="table" w:customStyle="1" w:styleId="TableGrid10">
    <w:name w:val="Table Grid1"/>
    <w:basedOn w:val="TableNormal"/>
    <w:next w:val="TableGrid"/>
    <w:uiPriority w:val="59"/>
    <w:rsid w:val="00B24E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uiPriority w:val="99"/>
    <w:semiHidden/>
    <w:rsid w:val="00B24EBA"/>
    <w:rPr>
      <w:rFonts w:ascii="Arial" w:hAnsi="Arial" w:cs="Arial"/>
      <w:b/>
      <w:bCs/>
      <w:sz w:val="22"/>
    </w:rPr>
  </w:style>
  <w:style w:type="paragraph" w:customStyle="1" w:styleId="reference">
    <w:name w:val="reference"/>
    <w:basedOn w:val="Normal"/>
    <w:link w:val="referenceChar"/>
    <w:qFormat/>
    <w:rsid w:val="00B24EBA"/>
    <w:rPr>
      <w:rFonts w:eastAsia="Calibri"/>
      <w:vertAlign w:val="superscript"/>
      <w:lang w:eastAsia="en-US"/>
    </w:rPr>
  </w:style>
  <w:style w:type="character" w:customStyle="1" w:styleId="referenceChar">
    <w:name w:val="reference Char"/>
    <w:link w:val="reference"/>
    <w:rsid w:val="00B24EBA"/>
    <w:rPr>
      <w:rFonts w:ascii="Arial" w:eastAsia="Calibri" w:hAnsi="Arial" w:cs="Arial"/>
      <w:sz w:val="22"/>
      <w:szCs w:val="24"/>
      <w:vertAlign w:val="superscript"/>
      <w:lang w:eastAsia="en-US"/>
    </w:rPr>
  </w:style>
  <w:style w:type="character" w:customStyle="1" w:styleId="BodyTextChar">
    <w:name w:val="Body Text Char"/>
    <w:link w:val="BodyText"/>
    <w:uiPriority w:val="99"/>
    <w:rsid w:val="00B24EBA"/>
    <w:rPr>
      <w:rFonts w:ascii="Arial" w:hAnsi="Arial" w:cs="Arial"/>
      <w:sz w:val="22"/>
      <w:szCs w:val="22"/>
    </w:rPr>
  </w:style>
  <w:style w:type="paragraph" w:customStyle="1" w:styleId="Body">
    <w:name w:val="Body"/>
    <w:basedOn w:val="Normal"/>
    <w:qFormat/>
    <w:rsid w:val="00B24EBA"/>
    <w:pPr>
      <w:numPr>
        <w:numId w:val="34"/>
      </w:numPr>
      <w:shd w:val="clear" w:color="auto" w:fill="FFFFFF"/>
      <w:tabs>
        <w:tab w:val="num" w:pos="567"/>
      </w:tabs>
      <w:spacing w:before="240" w:after="120" w:line="360" w:lineRule="auto"/>
      <w:ind w:left="567" w:hanging="567"/>
    </w:pPr>
    <w:rPr>
      <w:rFonts w:eastAsia="Calibri" w:cs="Times New Roman"/>
      <w:sz w:val="24"/>
      <w:szCs w:val="22"/>
      <w:lang w:eastAsia="en-US"/>
    </w:rPr>
  </w:style>
  <w:style w:type="paragraph" w:customStyle="1" w:styleId="ReferenceLine">
    <w:name w:val="Reference Line"/>
    <w:basedOn w:val="BodyText"/>
    <w:rsid w:val="00B24EBA"/>
  </w:style>
  <w:style w:type="paragraph" w:styleId="Revision">
    <w:name w:val="Revision"/>
    <w:hidden/>
    <w:uiPriority w:val="99"/>
    <w:semiHidden/>
    <w:rsid w:val="00B24EBA"/>
    <w:rPr>
      <w:rFonts w:ascii="Arial" w:eastAsia="Calibri" w:hAnsi="Arial"/>
      <w:sz w:val="24"/>
      <w:szCs w:val="22"/>
      <w:lang w:eastAsia="en-US"/>
    </w:rPr>
  </w:style>
  <w:style w:type="table" w:customStyle="1" w:styleId="TableGrid20">
    <w:name w:val="Table Grid2"/>
    <w:basedOn w:val="TableNormal"/>
    <w:next w:val="TableGrid"/>
    <w:uiPriority w:val="59"/>
    <w:rsid w:val="00D73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F0F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rPr>
  </w:style>
  <w:style w:type="paragraph" w:customStyle="1" w:styleId="xl64">
    <w:name w:val="xl64"/>
    <w:basedOn w:val="Normal"/>
    <w:rsid w:val="00FF0F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rPr>
  </w:style>
  <w:style w:type="paragraph" w:customStyle="1" w:styleId="msonormal0">
    <w:name w:val="msonormal"/>
    <w:basedOn w:val="Normal"/>
    <w:rsid w:val="00FF0F9B"/>
    <w:pPr>
      <w:spacing w:before="100" w:beforeAutospacing="1" w:after="100" w:afterAutospacing="1"/>
    </w:pPr>
    <w:rPr>
      <w:rFonts w:ascii="Times New Roman" w:hAnsi="Times New Roman" w:cs="Times New Roman"/>
      <w:sz w:val="24"/>
    </w:rPr>
  </w:style>
  <w:style w:type="paragraph" w:customStyle="1" w:styleId="NormalNumbered">
    <w:name w:val="NormalNumbered"/>
    <w:basedOn w:val="Normal"/>
    <w:link w:val="NormalNumberedChar"/>
    <w:qFormat/>
    <w:rsid w:val="00763884"/>
    <w:pPr>
      <w:spacing w:after="160" w:line="360" w:lineRule="auto"/>
    </w:pPr>
    <w:rPr>
      <w:rFonts w:ascii="Calibri" w:hAnsi="Calibri" w:cs="Times New Roman"/>
      <w:szCs w:val="22"/>
      <w:lang w:eastAsia="en-US"/>
    </w:rPr>
  </w:style>
  <w:style w:type="character" w:customStyle="1" w:styleId="NormalNumberedChar">
    <w:name w:val="NormalNumbered Char"/>
    <w:link w:val="NormalNumbered"/>
    <w:locked/>
    <w:rsid w:val="00763884"/>
    <w:rPr>
      <w:rFonts w:ascii="Calibri" w:hAnsi="Calibri"/>
      <w:sz w:val="22"/>
      <w:szCs w:val="22"/>
      <w:lang w:eastAsia="en-US"/>
    </w:rPr>
  </w:style>
  <w:style w:type="character" w:customStyle="1" w:styleId="UnresolvedMention1">
    <w:name w:val="Unresolved Mention1"/>
    <w:basedOn w:val="DefaultParagraphFont"/>
    <w:uiPriority w:val="99"/>
    <w:semiHidden/>
    <w:unhideWhenUsed/>
    <w:rsid w:val="00CD1EBE"/>
    <w:rPr>
      <w:color w:val="605E5C"/>
      <w:shd w:val="clear" w:color="auto" w:fill="E1DFDD"/>
    </w:rPr>
  </w:style>
  <w:style w:type="paragraph" w:customStyle="1" w:styleId="pf0">
    <w:name w:val="pf0"/>
    <w:basedOn w:val="Normal"/>
    <w:rsid w:val="00A92797"/>
    <w:pPr>
      <w:spacing w:before="100" w:beforeAutospacing="1" w:after="100" w:afterAutospacing="1"/>
    </w:pPr>
    <w:rPr>
      <w:rFonts w:ascii="Times New Roman" w:hAnsi="Times New Roman" w:cs="Times New Roman"/>
      <w:sz w:val="24"/>
    </w:rPr>
  </w:style>
  <w:style w:type="character" w:customStyle="1" w:styleId="cf01">
    <w:name w:val="cf01"/>
    <w:basedOn w:val="DefaultParagraphFont"/>
    <w:rsid w:val="00A92797"/>
    <w:rPr>
      <w:rFonts w:ascii="Segoe UI" w:hAnsi="Segoe UI" w:cs="Segoe UI" w:hint="default"/>
      <w:sz w:val="18"/>
      <w:szCs w:val="18"/>
    </w:rPr>
  </w:style>
  <w:style w:type="character" w:customStyle="1" w:styleId="cf11">
    <w:name w:val="cf11"/>
    <w:basedOn w:val="DefaultParagraphFont"/>
    <w:rsid w:val="00C0669C"/>
    <w:rPr>
      <w:rFonts w:ascii="Segoe UI" w:hAnsi="Segoe UI" w:cs="Segoe UI" w:hint="default"/>
      <w:i/>
      <w:iCs/>
      <w:sz w:val="18"/>
      <w:szCs w:val="18"/>
    </w:rPr>
  </w:style>
  <w:style w:type="character" w:customStyle="1" w:styleId="Mention1">
    <w:name w:val="Mention1"/>
    <w:basedOn w:val="DefaultParagraphFont"/>
    <w:uiPriority w:val="99"/>
    <w:unhideWhenUsed/>
    <w:rPr>
      <w:color w:val="2B579A"/>
      <w:shd w:val="clear" w:color="auto" w:fill="E6E6E6"/>
    </w:rPr>
  </w:style>
  <w:style w:type="paragraph" w:customStyle="1" w:styleId="EndNoteBibliographyTitle">
    <w:name w:val="EndNote Bibliography Title"/>
    <w:basedOn w:val="Normal"/>
    <w:link w:val="EndNoteBibliographyTitleChar"/>
    <w:rsid w:val="00E827A9"/>
    <w:pPr>
      <w:jc w:val="center"/>
    </w:pPr>
    <w:rPr>
      <w:noProof/>
    </w:rPr>
  </w:style>
  <w:style w:type="character" w:customStyle="1" w:styleId="ListParagraphChar">
    <w:name w:val="List Paragraph Char"/>
    <w:basedOn w:val="DefaultParagraphFont"/>
    <w:link w:val="ListParagraph"/>
    <w:uiPriority w:val="34"/>
    <w:rsid w:val="00E827A9"/>
    <w:rPr>
      <w:rFonts w:ascii="Arial" w:hAnsi="Arial" w:cs="Arial"/>
      <w:sz w:val="22"/>
      <w:szCs w:val="24"/>
    </w:rPr>
  </w:style>
  <w:style w:type="character" w:customStyle="1" w:styleId="EndNoteBibliographyTitleChar">
    <w:name w:val="EndNote Bibliography Title Char"/>
    <w:basedOn w:val="ListParagraphChar"/>
    <w:link w:val="EndNoteBibliographyTitle"/>
    <w:rsid w:val="00E827A9"/>
    <w:rPr>
      <w:rFonts w:ascii="Arial" w:hAnsi="Arial" w:cs="Arial"/>
      <w:noProof/>
      <w:sz w:val="22"/>
      <w:szCs w:val="24"/>
    </w:rPr>
  </w:style>
  <w:style w:type="paragraph" w:customStyle="1" w:styleId="EndNoteBibliography">
    <w:name w:val="EndNote Bibliography"/>
    <w:basedOn w:val="Normal"/>
    <w:link w:val="EndNoteBibliographyChar"/>
    <w:rsid w:val="00E827A9"/>
    <w:rPr>
      <w:noProof/>
    </w:rPr>
  </w:style>
  <w:style w:type="character" w:customStyle="1" w:styleId="EndNoteBibliographyChar">
    <w:name w:val="EndNote Bibliography Char"/>
    <w:basedOn w:val="ListParagraphChar"/>
    <w:link w:val="EndNoteBibliography"/>
    <w:rsid w:val="00E827A9"/>
    <w:rPr>
      <w:rFonts w:ascii="Arial" w:hAnsi="Arial" w:cs="Arial"/>
      <w:noProof/>
      <w:sz w:val="22"/>
      <w:szCs w:val="24"/>
    </w:rPr>
  </w:style>
  <w:style w:type="character" w:customStyle="1" w:styleId="UnresolvedMention2">
    <w:name w:val="Unresolved Mention2"/>
    <w:basedOn w:val="DefaultParagraphFont"/>
    <w:uiPriority w:val="99"/>
    <w:semiHidden/>
    <w:unhideWhenUsed/>
    <w:rsid w:val="004A201C"/>
    <w:rPr>
      <w:color w:val="605E5C"/>
      <w:shd w:val="clear" w:color="auto" w:fill="E1DFDD"/>
    </w:rPr>
  </w:style>
  <w:style w:type="character" w:customStyle="1" w:styleId="UnresolvedMention20">
    <w:name w:val="Unresolved Mention20"/>
    <w:basedOn w:val="DefaultParagraphFont"/>
    <w:uiPriority w:val="99"/>
    <w:semiHidden/>
    <w:unhideWhenUsed/>
    <w:rsid w:val="0091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325">
      <w:bodyDiv w:val="1"/>
      <w:marLeft w:val="0"/>
      <w:marRight w:val="0"/>
      <w:marTop w:val="0"/>
      <w:marBottom w:val="0"/>
      <w:divBdr>
        <w:top w:val="none" w:sz="0" w:space="0" w:color="auto"/>
        <w:left w:val="none" w:sz="0" w:space="0" w:color="auto"/>
        <w:bottom w:val="none" w:sz="0" w:space="0" w:color="auto"/>
        <w:right w:val="none" w:sz="0" w:space="0" w:color="auto"/>
      </w:divBdr>
    </w:div>
    <w:div w:id="187454005">
      <w:bodyDiv w:val="1"/>
      <w:marLeft w:val="0"/>
      <w:marRight w:val="0"/>
      <w:marTop w:val="0"/>
      <w:marBottom w:val="0"/>
      <w:divBdr>
        <w:top w:val="none" w:sz="0" w:space="0" w:color="auto"/>
        <w:left w:val="none" w:sz="0" w:space="0" w:color="auto"/>
        <w:bottom w:val="none" w:sz="0" w:space="0" w:color="auto"/>
        <w:right w:val="none" w:sz="0" w:space="0" w:color="auto"/>
      </w:divBdr>
    </w:div>
    <w:div w:id="190538534">
      <w:bodyDiv w:val="1"/>
      <w:marLeft w:val="0"/>
      <w:marRight w:val="0"/>
      <w:marTop w:val="0"/>
      <w:marBottom w:val="0"/>
      <w:divBdr>
        <w:top w:val="none" w:sz="0" w:space="0" w:color="auto"/>
        <w:left w:val="none" w:sz="0" w:space="0" w:color="auto"/>
        <w:bottom w:val="none" w:sz="0" w:space="0" w:color="auto"/>
        <w:right w:val="none" w:sz="0" w:space="0" w:color="auto"/>
      </w:divBdr>
    </w:div>
    <w:div w:id="310598084">
      <w:bodyDiv w:val="1"/>
      <w:marLeft w:val="0"/>
      <w:marRight w:val="0"/>
      <w:marTop w:val="0"/>
      <w:marBottom w:val="0"/>
      <w:divBdr>
        <w:top w:val="none" w:sz="0" w:space="0" w:color="auto"/>
        <w:left w:val="none" w:sz="0" w:space="0" w:color="auto"/>
        <w:bottom w:val="none" w:sz="0" w:space="0" w:color="auto"/>
        <w:right w:val="none" w:sz="0" w:space="0" w:color="auto"/>
      </w:divBdr>
    </w:div>
    <w:div w:id="383069580">
      <w:bodyDiv w:val="1"/>
      <w:marLeft w:val="0"/>
      <w:marRight w:val="0"/>
      <w:marTop w:val="0"/>
      <w:marBottom w:val="0"/>
      <w:divBdr>
        <w:top w:val="none" w:sz="0" w:space="0" w:color="auto"/>
        <w:left w:val="none" w:sz="0" w:space="0" w:color="auto"/>
        <w:bottom w:val="none" w:sz="0" w:space="0" w:color="auto"/>
        <w:right w:val="none" w:sz="0" w:space="0" w:color="auto"/>
      </w:divBdr>
    </w:div>
    <w:div w:id="526064623">
      <w:bodyDiv w:val="1"/>
      <w:marLeft w:val="0"/>
      <w:marRight w:val="0"/>
      <w:marTop w:val="0"/>
      <w:marBottom w:val="0"/>
      <w:divBdr>
        <w:top w:val="none" w:sz="0" w:space="0" w:color="auto"/>
        <w:left w:val="none" w:sz="0" w:space="0" w:color="auto"/>
        <w:bottom w:val="none" w:sz="0" w:space="0" w:color="auto"/>
        <w:right w:val="none" w:sz="0" w:space="0" w:color="auto"/>
      </w:divBdr>
    </w:div>
    <w:div w:id="537544062">
      <w:bodyDiv w:val="1"/>
      <w:marLeft w:val="0"/>
      <w:marRight w:val="0"/>
      <w:marTop w:val="0"/>
      <w:marBottom w:val="0"/>
      <w:divBdr>
        <w:top w:val="none" w:sz="0" w:space="0" w:color="auto"/>
        <w:left w:val="none" w:sz="0" w:space="0" w:color="auto"/>
        <w:bottom w:val="none" w:sz="0" w:space="0" w:color="auto"/>
        <w:right w:val="none" w:sz="0" w:space="0" w:color="auto"/>
      </w:divBdr>
    </w:div>
    <w:div w:id="706760107">
      <w:bodyDiv w:val="1"/>
      <w:marLeft w:val="0"/>
      <w:marRight w:val="0"/>
      <w:marTop w:val="0"/>
      <w:marBottom w:val="0"/>
      <w:divBdr>
        <w:top w:val="none" w:sz="0" w:space="0" w:color="auto"/>
        <w:left w:val="none" w:sz="0" w:space="0" w:color="auto"/>
        <w:bottom w:val="none" w:sz="0" w:space="0" w:color="auto"/>
        <w:right w:val="none" w:sz="0" w:space="0" w:color="auto"/>
      </w:divBdr>
    </w:div>
    <w:div w:id="892617917">
      <w:bodyDiv w:val="1"/>
      <w:marLeft w:val="0"/>
      <w:marRight w:val="0"/>
      <w:marTop w:val="0"/>
      <w:marBottom w:val="0"/>
      <w:divBdr>
        <w:top w:val="none" w:sz="0" w:space="0" w:color="auto"/>
        <w:left w:val="none" w:sz="0" w:space="0" w:color="auto"/>
        <w:bottom w:val="none" w:sz="0" w:space="0" w:color="auto"/>
        <w:right w:val="none" w:sz="0" w:space="0" w:color="auto"/>
      </w:divBdr>
    </w:div>
    <w:div w:id="921059992">
      <w:bodyDiv w:val="1"/>
      <w:marLeft w:val="0"/>
      <w:marRight w:val="0"/>
      <w:marTop w:val="0"/>
      <w:marBottom w:val="0"/>
      <w:divBdr>
        <w:top w:val="none" w:sz="0" w:space="0" w:color="auto"/>
        <w:left w:val="none" w:sz="0" w:space="0" w:color="auto"/>
        <w:bottom w:val="none" w:sz="0" w:space="0" w:color="auto"/>
        <w:right w:val="none" w:sz="0" w:space="0" w:color="auto"/>
      </w:divBdr>
    </w:div>
    <w:div w:id="999389461">
      <w:bodyDiv w:val="1"/>
      <w:marLeft w:val="0"/>
      <w:marRight w:val="0"/>
      <w:marTop w:val="0"/>
      <w:marBottom w:val="0"/>
      <w:divBdr>
        <w:top w:val="none" w:sz="0" w:space="0" w:color="auto"/>
        <w:left w:val="none" w:sz="0" w:space="0" w:color="auto"/>
        <w:bottom w:val="none" w:sz="0" w:space="0" w:color="auto"/>
        <w:right w:val="none" w:sz="0" w:space="0" w:color="auto"/>
      </w:divBdr>
    </w:div>
    <w:div w:id="1146627041">
      <w:bodyDiv w:val="1"/>
      <w:marLeft w:val="0"/>
      <w:marRight w:val="0"/>
      <w:marTop w:val="0"/>
      <w:marBottom w:val="0"/>
      <w:divBdr>
        <w:top w:val="none" w:sz="0" w:space="0" w:color="auto"/>
        <w:left w:val="none" w:sz="0" w:space="0" w:color="auto"/>
        <w:bottom w:val="none" w:sz="0" w:space="0" w:color="auto"/>
        <w:right w:val="none" w:sz="0" w:space="0" w:color="auto"/>
      </w:divBdr>
    </w:div>
    <w:div w:id="1428429683">
      <w:bodyDiv w:val="1"/>
      <w:marLeft w:val="0"/>
      <w:marRight w:val="0"/>
      <w:marTop w:val="0"/>
      <w:marBottom w:val="0"/>
      <w:divBdr>
        <w:top w:val="none" w:sz="0" w:space="0" w:color="auto"/>
        <w:left w:val="none" w:sz="0" w:space="0" w:color="auto"/>
        <w:bottom w:val="none" w:sz="0" w:space="0" w:color="auto"/>
        <w:right w:val="none" w:sz="0" w:space="0" w:color="auto"/>
      </w:divBdr>
    </w:div>
    <w:div w:id="1568804684">
      <w:bodyDiv w:val="1"/>
      <w:marLeft w:val="0"/>
      <w:marRight w:val="0"/>
      <w:marTop w:val="0"/>
      <w:marBottom w:val="0"/>
      <w:divBdr>
        <w:top w:val="none" w:sz="0" w:space="0" w:color="auto"/>
        <w:left w:val="none" w:sz="0" w:space="0" w:color="auto"/>
        <w:bottom w:val="none" w:sz="0" w:space="0" w:color="auto"/>
        <w:right w:val="none" w:sz="0" w:space="0" w:color="auto"/>
      </w:divBdr>
    </w:div>
    <w:div w:id="1663386962">
      <w:bodyDiv w:val="1"/>
      <w:marLeft w:val="0"/>
      <w:marRight w:val="0"/>
      <w:marTop w:val="0"/>
      <w:marBottom w:val="0"/>
      <w:divBdr>
        <w:top w:val="none" w:sz="0" w:space="0" w:color="auto"/>
        <w:left w:val="none" w:sz="0" w:space="0" w:color="auto"/>
        <w:bottom w:val="none" w:sz="0" w:space="0" w:color="auto"/>
        <w:right w:val="none" w:sz="0" w:space="0" w:color="auto"/>
      </w:divBdr>
    </w:div>
    <w:div w:id="1735081483">
      <w:bodyDiv w:val="1"/>
      <w:marLeft w:val="0"/>
      <w:marRight w:val="0"/>
      <w:marTop w:val="0"/>
      <w:marBottom w:val="0"/>
      <w:divBdr>
        <w:top w:val="none" w:sz="0" w:space="0" w:color="auto"/>
        <w:left w:val="none" w:sz="0" w:space="0" w:color="auto"/>
        <w:bottom w:val="none" w:sz="0" w:space="0" w:color="auto"/>
        <w:right w:val="none" w:sz="0" w:space="0" w:color="auto"/>
      </w:divBdr>
    </w:div>
    <w:div w:id="1788767735">
      <w:bodyDiv w:val="1"/>
      <w:marLeft w:val="0"/>
      <w:marRight w:val="0"/>
      <w:marTop w:val="0"/>
      <w:marBottom w:val="0"/>
      <w:divBdr>
        <w:top w:val="none" w:sz="0" w:space="0" w:color="auto"/>
        <w:left w:val="none" w:sz="0" w:space="0" w:color="auto"/>
        <w:bottom w:val="none" w:sz="0" w:space="0" w:color="auto"/>
        <w:right w:val="none" w:sz="0" w:space="0" w:color="auto"/>
      </w:divBdr>
    </w:div>
    <w:div w:id="1876503733">
      <w:bodyDiv w:val="1"/>
      <w:marLeft w:val="0"/>
      <w:marRight w:val="0"/>
      <w:marTop w:val="0"/>
      <w:marBottom w:val="0"/>
      <w:divBdr>
        <w:top w:val="none" w:sz="0" w:space="0" w:color="auto"/>
        <w:left w:val="none" w:sz="0" w:space="0" w:color="auto"/>
        <w:bottom w:val="none" w:sz="0" w:space="0" w:color="auto"/>
        <w:right w:val="none" w:sz="0" w:space="0" w:color="auto"/>
      </w:divBdr>
    </w:div>
    <w:div w:id="1950160615">
      <w:bodyDiv w:val="1"/>
      <w:marLeft w:val="0"/>
      <w:marRight w:val="0"/>
      <w:marTop w:val="0"/>
      <w:marBottom w:val="0"/>
      <w:divBdr>
        <w:top w:val="none" w:sz="0" w:space="0" w:color="auto"/>
        <w:left w:val="none" w:sz="0" w:space="0" w:color="auto"/>
        <w:bottom w:val="none" w:sz="0" w:space="0" w:color="auto"/>
        <w:right w:val="none" w:sz="0" w:space="0" w:color="auto"/>
      </w:divBdr>
      <w:divsChild>
        <w:div w:id="367797550">
          <w:marLeft w:val="0"/>
          <w:marRight w:val="0"/>
          <w:marTop w:val="0"/>
          <w:marBottom w:val="0"/>
          <w:divBdr>
            <w:top w:val="none" w:sz="0" w:space="0" w:color="auto"/>
            <w:left w:val="none" w:sz="0" w:space="0" w:color="auto"/>
            <w:bottom w:val="none" w:sz="0" w:space="0" w:color="auto"/>
            <w:right w:val="none" w:sz="0" w:space="0" w:color="auto"/>
          </w:divBdr>
        </w:div>
        <w:div w:id="445806303">
          <w:marLeft w:val="0"/>
          <w:marRight w:val="0"/>
          <w:marTop w:val="0"/>
          <w:marBottom w:val="0"/>
          <w:divBdr>
            <w:top w:val="none" w:sz="0" w:space="0" w:color="auto"/>
            <w:left w:val="none" w:sz="0" w:space="0" w:color="auto"/>
            <w:bottom w:val="none" w:sz="0" w:space="0" w:color="auto"/>
            <w:right w:val="none" w:sz="0" w:space="0" w:color="auto"/>
          </w:divBdr>
        </w:div>
        <w:div w:id="829518753">
          <w:marLeft w:val="0"/>
          <w:marRight w:val="0"/>
          <w:marTop w:val="0"/>
          <w:marBottom w:val="0"/>
          <w:divBdr>
            <w:top w:val="none" w:sz="0" w:space="0" w:color="auto"/>
            <w:left w:val="none" w:sz="0" w:space="0" w:color="auto"/>
            <w:bottom w:val="none" w:sz="0" w:space="0" w:color="auto"/>
            <w:right w:val="none" w:sz="0" w:space="0" w:color="auto"/>
          </w:divBdr>
        </w:div>
        <w:div w:id="1786922240">
          <w:marLeft w:val="0"/>
          <w:marRight w:val="0"/>
          <w:marTop w:val="0"/>
          <w:marBottom w:val="0"/>
          <w:divBdr>
            <w:top w:val="none" w:sz="0" w:space="0" w:color="auto"/>
            <w:left w:val="none" w:sz="0" w:space="0" w:color="auto"/>
            <w:bottom w:val="none" w:sz="0" w:space="0" w:color="auto"/>
            <w:right w:val="none" w:sz="0" w:space="0" w:color="auto"/>
          </w:divBdr>
        </w:div>
      </w:divsChild>
    </w:div>
    <w:div w:id="21136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34"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36"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DF5C2D44-5DBE-4945-9DB9-D8DA3D516861}">
    <t:Anchor>
      <t:Comment id="1375869348"/>
    </t:Anchor>
    <t:History>
      <t:Event id="{EADC636F-D65A-422B-B51B-FC6EFF59E657}" time="2023-03-13T05:49:56.188Z">
        <t:Attribution userId="S::simone.hodges@govteams.gov.au::3f8c902f-05da-4bad-91c0-1bb91fa32a43" userProvider="AD" userName="Simone Hodges"/>
        <t:Anchor>
          <t:Comment id="2119977076"/>
        </t:Anchor>
        <t:Create/>
      </t:Event>
      <t:Event id="{342CBA61-78E3-48F9-BE3A-909EE70E624F}" time="2023-03-13T05:49:56.188Z">
        <t:Attribution userId="S::simone.hodges@govteams.gov.au::3f8c902f-05da-4bad-91c0-1bb91fa32a43" userProvider="AD" userName="Simone Hodges"/>
        <t:Anchor>
          <t:Comment id="2119977076"/>
        </t:Anchor>
        <t:Assign userId="S::david.janik@govteams.gov.au::4aec5086-587f-4b35-ae01-e216cdeeea71" userProvider="AD" userName="David Janik"/>
      </t:Event>
      <t:Event id="{BD732D2C-9E5A-4B18-89C8-F89565380E85}" time="2023-03-13T05:49:56.188Z">
        <t:Attribution userId="S::simone.hodges@govteams.gov.au::3f8c902f-05da-4bad-91c0-1bb91fa32a43" userProvider="AD" userName="Simone Hodges"/>
        <t:Anchor>
          <t:Comment id="2119977076"/>
        </t:Anchor>
        <t:SetTitle title="@David Janik Test assigned to David"/>
      </t:Event>
      <t:Event id="{5F5E5092-2098-43DC-B4BF-017C31534BC7}" time="2023-03-13T05:51:43.146Z">
        <t:Attribution userId="S::david.janik@govteams.gov.au::4aec5086-587f-4b35-ae01-e216cdeeea71" userProvider="AD" userName="David Janik"/>
        <t:Progress percentComplete="100"/>
      </t:Event>
    </t:History>
  </t:Task>
  <t:Task id="{1C610CD7-4E57-48D8-941A-602D3A63B5D1}">
    <t:Anchor>
      <t:Comment id="52954795"/>
    </t:Anchor>
    <t:History>
      <t:Event id="{47CB0B4C-5FD7-4E78-A3D6-C4B57960711D}" time="2023-03-16T23:33:03.496Z">
        <t:Attribution userId="S::simone.hodges@govteams.gov.au::3f8c902f-05da-4bad-91c0-1bb91fa32a43" userProvider="AD" userName="Simone Hodges"/>
        <t:Anchor>
          <t:Comment id="1569686959"/>
        </t:Anchor>
        <t:Create/>
      </t:Event>
      <t:Event id="{F00CC5CF-97D9-42B2-84DD-64BAEC6D72B3}" time="2023-03-16T23:33:03.496Z">
        <t:Attribution userId="S::simone.hodges@govteams.gov.au::3f8c902f-05da-4bad-91c0-1bb91fa32a43" userProvider="AD" userName="Simone Hodges"/>
        <t:Anchor>
          <t:Comment id="1569686959"/>
        </t:Anchor>
        <t:Assign userId="S::david.janik@govteams.gov.au::4aec5086-587f-4b35-ae01-e216cdeeea71" userProvider="AD" userName="David Janik"/>
      </t:Event>
      <t:Event id="{0FFF8F2E-A30A-4BEB-98CB-867064BB9122}" time="2023-03-16T23:33:03.496Z">
        <t:Attribution userId="S::simone.hodges@govteams.gov.au::3f8c902f-05da-4bad-91c0-1bb91fa32a43" userProvider="AD" userName="Simone Hodges"/>
        <t:Anchor>
          <t:Comment id="1569686959"/>
        </t:Anchor>
        <t:SetTitle title="@David Janik Legal advice needed here"/>
      </t:Event>
      <t:Event id="{A3CD5291-8CAD-4D5F-B6CF-B45364A727B7}" time="2023-03-23T07:33:11.641Z">
        <t:Attribution userId="S::simone.hodges@govteams.gov.au::3f8c902f-05da-4bad-91c0-1bb91fa32a43" userProvider="AD" userName="Simone Hodges"/>
        <t:Progress percentComplete="100"/>
      </t:Event>
      <t:Event id="{FF1C7B37-A28E-4EE3-B631-8C50FD93FBF4}" time="2023-03-23T07:33:18.456Z">
        <t:Attribution userId="S::simone.hodges@govteams.gov.au::3f8c902f-05da-4bad-91c0-1bb91fa32a43" userProvider="AD" userName="Simone Hodges"/>
        <t:Progress percentComplete="0"/>
      </t:Event>
      <t:Event id="{28BACFD7-E627-493A-BDBF-6D21069E23DF}" time="2023-03-23T07:33:39.191Z">
        <t:Attribution userId="S::simone.hodges@govteams.gov.au::3f8c902f-05da-4bad-91c0-1bb91fa32a43" userProvider="AD" userName="Simone Hodges"/>
        <t:Progress percentComplete="100"/>
      </t:Event>
    </t:History>
  </t:Task>
  <t:Task id="{E198485D-328E-426E-BDC5-1BFFD375E525}">
    <t:Anchor>
      <t:Comment id="665025468"/>
    </t:Anchor>
    <t:History>
      <t:Event id="{5533F4F0-14DD-40CB-B335-6B06203E8534}" time="2023-03-16T23:32:45.356Z">
        <t:Attribution userId="S::simone.hodges@govteams.gov.au::3f8c902f-05da-4bad-91c0-1bb91fa32a43" userProvider="AD" userName="Simone Hodges"/>
        <t:Anchor>
          <t:Comment id="1415663139"/>
        </t:Anchor>
        <t:Create/>
      </t:Event>
      <t:Event id="{3CAAEC43-61A6-405B-95BA-84AF8EDDAEFC}" time="2023-03-16T23:32:45.356Z">
        <t:Attribution userId="S::simone.hodges@govteams.gov.au::3f8c902f-05da-4bad-91c0-1bb91fa32a43" userProvider="AD" userName="Simone Hodges"/>
        <t:Anchor>
          <t:Comment id="1415663139"/>
        </t:Anchor>
        <t:Assign userId="S::david.janik@govteams.gov.au::4aec5086-587f-4b35-ae01-e216cdeeea71" userProvider="AD" userName="David Janik"/>
      </t:Event>
      <t:Event id="{A61018AD-97CC-41C7-83C9-50C6F6E5B945}" time="2023-03-16T23:32:45.356Z">
        <t:Attribution userId="S::simone.hodges@govteams.gov.au::3f8c902f-05da-4bad-91c0-1bb91fa32a43" userProvider="AD" userName="Simone Hodges"/>
        <t:Anchor>
          <t:Comment id="1415663139"/>
        </t:Anchor>
        <t:SetTitle title="@David Janik Legal advice needed here"/>
      </t:Event>
    </t:History>
  </t:Task>
  <t:Task id="{FA0C79BD-A728-4699-ADC7-E051D935AF96}">
    <t:Anchor>
      <t:Comment id="665094506"/>
    </t:Anchor>
    <t:History>
      <t:Event id="{DDF7C146-CC37-4B76-884E-8A448B60B246}" time="2023-03-16T23:34:48.87Z">
        <t:Attribution userId="S::simone.hodges@govteams.gov.au::3f8c902f-05da-4bad-91c0-1bb91fa32a43" userProvider="AD" userName="Simone Hodges"/>
        <t:Anchor>
          <t:Comment id="214192766"/>
        </t:Anchor>
        <t:Create/>
      </t:Event>
      <t:Event id="{DC7B5AF8-0DB6-4A73-86D3-E02A80BB9CA4}" time="2023-03-16T23:34:48.87Z">
        <t:Attribution userId="S::simone.hodges@govteams.gov.au::3f8c902f-05da-4bad-91c0-1bb91fa32a43" userProvider="AD" userName="Simone Hodges"/>
        <t:Anchor>
          <t:Comment id="214192766"/>
        </t:Anchor>
        <t:Assign userId="S::david.janik@govteams.gov.au::4aec5086-587f-4b35-ae01-e216cdeeea71" userProvider="AD" userName="David Janik"/>
      </t:Event>
      <t:Event id="{0D979A4A-6EAE-431D-9AEC-54B2237DFC7C}" time="2023-03-16T23:34:48.87Z">
        <t:Attribution userId="S::simone.hodges@govteams.gov.au::3f8c902f-05da-4bad-91c0-1bb91fa32a43" userProvider="AD" userName="Simone Hodges"/>
        <t:Anchor>
          <t:Comment id="214192766"/>
        </t:Anchor>
        <t:SetTitle title="@David Janik Legal advice needed here"/>
      </t:Event>
      <t:Event id="{56454588-EAC3-47A4-B038-52C656819DC4}" time="2023-03-23T07:34:39.335Z">
        <t:Attribution userId="S::simone.hodges@govteams.gov.au::3f8c902f-05da-4bad-91c0-1bb91fa32a43" userProvider="AD" userName="Simone Hodg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68F0-0B61-4FA2-A780-DE00C069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20566</Words>
  <Characters>117227</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2023-05-23T07:23:00Z</dcterms:created>
  <dcterms:modified xsi:type="dcterms:W3CDTF">2023-05-23T07:23:00Z</dcterms:modified>
</cp:coreProperties>
</file>